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292D852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/>
        <w:jc w:val="center"/>
        <w:rPr>
          <w:rFonts w:ascii="SimHei" w:hAnsi="SimSun" w:eastAsia="SimHei" w:cs="SimHei"/>
          <w:sz w:val="36"/>
          <w:szCs w:val="36"/>
        </w:rPr>
      </w:pPr>
      <w:r>
        <w:rPr>
          <w:rFonts w:hint="eastAsia" w:ascii="SimHei" w:hAnsi="SimSun" w:eastAsia="SimHei" w:cs="SimHei"/>
          <w:sz w:val="36"/>
          <w:szCs w:val="36"/>
        </w:rPr>
        <w:t>黑龙江省哈尔滨市中级人民法院</w:t>
      </w:r>
    </w:p>
    <w:p w14:paraId="57A4D0C9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/>
        <w:jc w:val="center"/>
        <w:rPr>
          <w:rFonts w:hint="eastAsia" w:ascii="SimHei" w:hAnsi="SimSun" w:eastAsia="SimHei" w:cs="SimHei"/>
          <w:sz w:val="36"/>
          <w:szCs w:val="36"/>
        </w:rPr>
      </w:pPr>
      <w:r>
        <w:rPr>
          <w:rFonts w:hint="eastAsia" w:ascii="SimHei" w:hAnsi="SimSun" w:eastAsia="SimHei" w:cs="SimHei"/>
          <w:sz w:val="36"/>
          <w:szCs w:val="36"/>
        </w:rPr>
        <w:t>民 事 判 决 书</w:t>
      </w:r>
    </w:p>
    <w:p w14:paraId="0FE94FFF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（2023）黑01民终1096号</w:t>
      </w:r>
    </w:p>
    <w:p w14:paraId="67BF2757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上诉人（原审原告）：韩某安，男，汉族，2008年11月8日出生，住黑龙江省哈尔滨市道里区。</w:t>
      </w:r>
    </w:p>
    <w:p w14:paraId="714E83AC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法定代理人：朱某霞，女，1978年1月26日出生，汉族，住黑龙江省哈尔滨市道里区。</w:t>
      </w:r>
    </w:p>
    <w:p w14:paraId="7019049C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被上诉人（原审被告）：韩某波，男，汉族，1977年8月10日出生，住黑龙江省哈尔滨市香坊区。</w:t>
      </w:r>
    </w:p>
    <w:p w14:paraId="64761746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上诉人韩某安因与被上诉人韩某波抚养费纠纷一案，不服哈尔滨市香坊区人民法院（2022）黑0110民初12756号民事判决，向本院提起上诉。本院于2023年2月7日立案后，依法组成合议庭，以阅卷、询问的方式进行了审理。本案现已审理终结。</w:t>
      </w:r>
    </w:p>
    <w:p w14:paraId="5D0F0928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韩某安上诉请求：一、撤销原审判决，发回重审或依法改判，判令韩某波每月增加给其1000元抚养费，由原来的每月3500元增加到每月4500元，至韩某安独立生活为止；二、一、二审案件受理费由韩某波承担。</w:t>
      </w:r>
    </w:p>
    <w:p w14:paraId="4648C33D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韩某波辩称，一审判决认定事实清楚，适用法律正确，请求驳回上诉，维持原判。</w:t>
      </w:r>
    </w:p>
    <w:p w14:paraId="4EF3D74B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韩某安向一审法院起诉请求：一、判令韩某波每月增加给付韩某安1000元抚养费，由原来的每月3500元增加到每月4500元，直至韩某安能够独立负担生活即参与工作为止；二、本案诉讼费用韩某波承担。</w:t>
      </w:r>
    </w:p>
    <w:p w14:paraId="61491471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一审认定：韩某安与韩某波系父子关系。2014年8月6日，韩某波与韩某安法定代理人经该院调解离婚。调解书约定：韩某安由其母亲朱某霞抚养，韩某波每月支付抚养费3500元。韩某波近一年平均工资为131778元。</w:t>
      </w:r>
    </w:p>
    <w:p w14:paraId="2869530F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一审认为，韩某波与朱某霞经该院调解离婚，调解书中约定为双方真实的意思表示，合法有效。朱某霞作为韩某安的法定监护人，有权与韩某波约定关于抚养费的数额、给付形式等，双方就抚养费的约定具有法律约束力，双方应秉承诚实信用原则履行各自义务。按照相关法律规定，离婚时，双方就抚养费进行的约定，不妨碍子女在必要时向父母一方增加抚养费。韩某安向韩某波起诉要求增加抚养费，但提供证据无法证明存在增加抚养费的情形，其诉讼请求，不予支持。韩某波虽现未增加抚养费，但仍应对韩某安承担抚养、抚育、教育和保护的义务，及时充分的了解韩某安的生活、学习情况，增加沟通与交流。判决：驳回韩某安的诉讼请求。案件受理费50元（韩某安已预交），由韩某安负担。</w:t>
      </w:r>
    </w:p>
    <w:p w14:paraId="52168403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本院二审期间，韩某安围绕上诉请求依法提交了证据。本院组织当事人进行了证据交换和质证。韩某安向法庭提交证据如下：证据一、哈尔滨市道里区共乐派出所出具的处罚单一份。拟证明：3500元抚养费是韩某波自愿承担；证据二、照片3张，病例一张。拟证明：韩某安早产体弱多病，确诊为缺氧缺血性脑损伤，学习能力差，现在走路还踮脚、胃食管反流至今未愈；证据三、就医票据24张。拟证明：韩某安体弱多病，流感花了7500元。韩某波质证意见为，对证据一真实性、合法性无异议，但与本案无关，其没有家暴，倒是朱某霞长期对其言语暴力；证据二缺血缺氧性脑病、早产事实存在没有异议；证据三是2016至2018年全部加在一起的钱，没达到7000元。本院认证意见为，上述证据不能证明本案待证的事实，本院不予采信。</w:t>
      </w:r>
    </w:p>
    <w:p w14:paraId="3E0AF641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本院查明事实与原审认定事实一致。</w:t>
      </w:r>
    </w:p>
    <w:p w14:paraId="16AAC09E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本院认为，本案争议焦点为韩某波是否应为韩某安增加抚养抚养费问题。《最高人民法院关于适用《中华人民共和国民法典》婚姻家庭编的解释（一）第五十八条规定“具有下列情形之一，子女要求有负担能力的父或母增加抚养费的，人民法院应予以支持：（一）原定抚养费数额不足以维持当地实际生活水平；（二）因子女患病、上学、实际需要超过原定数额；（三）有其他正当理由应当当增加。”韩某安以父母已经离婚八年，韩某波每月给付3500元抚养费不能满足就已、学习及生活费用，韩某安为其主张成立在原审中向法庭提交餐费、校车费、课后服务费、保险费等，在二审审理期间提供补强证据。但并不符合需要增加抚养费的法定情形，依据当地实际生活水平，韩某安上诉提出增加抚养费的依据不足。原审法院以韩某波仍应对韩某安承担抚养、抚育、教育和保护的义务，及时充分的了解韩某安的生活、学习情况，增加沟通与交流并无不当。现韩某安上诉提出增加抚养费请求，本院不予支持。</w:t>
      </w:r>
    </w:p>
    <w:p w14:paraId="6F534D46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综上，韩某安上诉请求不能成立，应予驳回；一审判决认定事实清楚，适用法律正确，应予维持。依照《中华人民共和国民事诉讼法》第一百七十六条、第一百七十七条第一款第一项规定，判决如下：</w:t>
      </w:r>
    </w:p>
    <w:p w14:paraId="0E9F3368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驳回上诉，维持原判。</w:t>
      </w:r>
    </w:p>
    <w:p w14:paraId="6FB4A23A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二审案件受理费50元，由韩某安承担。</w:t>
      </w:r>
    </w:p>
    <w:p w14:paraId="78507C55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本判决为终审判决。</w:t>
      </w:r>
    </w:p>
    <w:p w14:paraId="6B228487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审 判 长　卢　　煌</w:t>
      </w:r>
    </w:p>
    <w:p w14:paraId="637F3D24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审 判 员　龙　　敏</w:t>
      </w:r>
    </w:p>
    <w:p w14:paraId="6C0149BF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审 判 员　端木繁辉</w:t>
      </w:r>
    </w:p>
    <w:p w14:paraId="7985B446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二〇二三年四月四日</w:t>
      </w:r>
    </w:p>
    <w:p w14:paraId="6C3BFB32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法官助理　张　　舒</w:t>
      </w:r>
    </w:p>
    <w:p w14:paraId="68750DDA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书 记 员　刘 君 上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doNotUseIndentAsNumberingTabStop/>
    <w:useAltKinsokuLineBreakRules/>
    <w:compatSetting w:name="compatibilityMode" w:uri="http://schemas.microsoft.com/office/word" w:val="11"/>
  </w:compat>
  <w:rsids>
    <w:rsidRoot w:val="00000000"/>
    <w:rsid w:val="18A123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36</Pages>
  <TotalTime>0</TotalTime>
  <ScaleCrop>false</ScaleCrop>
  <LinksUpToDate>false</LinksUpToDate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2025-12-30T01:51:44Z</dcterms:created>
  <cp:lastModifiedBy>T490s</cp:lastModifiedBy>
  <dcterms:modified xsi:type="dcterms:W3CDTF">2025-12-30T01:51:45Z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8ACD921BC846433E913AE64C792A5AA0_13</vt:lpwstr>
  </property>
</Properties>
</file>