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3A07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leftChars="0"/>
        <w:jc w:val="center"/>
        <w:textAlignment w:val="auto"/>
        <w:rPr>
          <w:rFonts w:hint="default" w:ascii="Times New Roman Regular" w:hAnsi="Times New Roman Regular" w:eastAsia="SimSun" w:cs="Times New Roman Regular"/>
          <w:b/>
          <w:bCs w:val="0"/>
          <w:color w:val="auto"/>
          <w:kern w:val="0"/>
          <w:sz w:val="24"/>
          <w:szCs w:val="24"/>
          <w:lang w:val="en-US" w:eastAsia="zh-CN" w:bidi="ar"/>
        </w:rPr>
      </w:pPr>
      <w:r>
        <w:rPr>
          <w:rFonts w:hint="default" w:ascii="Times New Roman Regular" w:hAnsi="Times New Roman Regular" w:eastAsia="SimSun" w:cs="Times New Roman Regular"/>
          <w:b/>
          <w:bCs w:val="0"/>
          <w:color w:val="auto"/>
          <w:kern w:val="0"/>
          <w:sz w:val="24"/>
          <w:szCs w:val="24"/>
          <w:lang w:val="en-US" w:eastAsia="zh-CN" w:bidi="ar"/>
        </w:rPr>
        <w:t>Value Laden Reasoning, Synthetic Empathy: LLMs Performance in Chinese Domestic Violence Adjudication</w:t>
      </w:r>
    </w:p>
    <w:p w14:paraId="756534B8">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leftChars="0"/>
        <w:jc w:val="center"/>
        <w:textAlignment w:val="auto"/>
        <w:rPr>
          <w:rFonts w:hint="default" w:ascii="Times New Roman Regular" w:hAnsi="Times New Roman Regular" w:eastAsia="SimSun" w:cs="Times New Roman Regular"/>
          <w:b/>
          <w:bCs w:val="0"/>
          <w:color w:val="auto"/>
          <w:kern w:val="0"/>
          <w:sz w:val="24"/>
          <w:szCs w:val="24"/>
          <w:lang w:val="en-US" w:eastAsia="zh-CN" w:bidi="ar"/>
        </w:rPr>
      </w:pPr>
    </w:p>
    <w:p w14:paraId="4845C7DF">
      <w:pPr>
        <w:pStyle w:val="2"/>
        <w:pageBreakBefore w:val="0"/>
        <w:kinsoku/>
        <w:wordWrap/>
        <w:overflowPunct/>
        <w:topLinePunct w:val="0"/>
        <w:autoSpaceDE/>
        <w:autoSpaceDN/>
        <w:bidi w:val="0"/>
        <w:adjustRightInd w:val="0"/>
        <w:snapToGrid w:val="0"/>
        <w:spacing w:before="0" w:beforeAutospacing="0" w:afterAutospacing="0"/>
        <w:ind w:leftChars="0"/>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cs="Times New Roman Regular"/>
          <w:b/>
          <w:bCs/>
          <w:color w:val="auto"/>
          <w:sz w:val="24"/>
          <w:szCs w:val="24"/>
          <w:lang w:val="en-US"/>
        </w:rPr>
        <w:t>A</w:t>
      </w:r>
      <w:r>
        <w:rPr>
          <w:rFonts w:hint="default" w:ascii="Times New Roman Regular" w:hAnsi="Times New Roman Regular" w:cs="Times New Roman Regular"/>
          <w:b/>
          <w:bCs/>
          <w:color w:val="auto"/>
          <w:sz w:val="24"/>
          <w:szCs w:val="24"/>
        </w:rPr>
        <w:t>bstract</w:t>
      </w:r>
    </w:p>
    <w:p w14:paraId="38DF015A">
      <w:pPr>
        <w:pStyle w:val="17"/>
        <w:keepNext w:val="0"/>
        <w:keepLines w:val="0"/>
        <w:widowControl/>
        <w:suppressLineNumbers w:val="0"/>
        <w:rPr>
          <w:rStyle w:val="18"/>
          <w:rFonts w:hint="default" w:ascii="Times New Roman Regular" w:hAnsi="Times New Roman Regular" w:eastAsia="SimSun" w:cs="Times New Roman Regular"/>
          <w:b w:val="0"/>
          <w:color w:val="auto"/>
          <w:kern w:val="0"/>
          <w:sz w:val="24"/>
          <w:szCs w:val="24"/>
          <w:lang w:val="en-US" w:eastAsia="zh-CN" w:bidi="ar"/>
        </w:rPr>
      </w:pPr>
      <w:r>
        <w:rPr>
          <w:rFonts w:hint="default" w:ascii="Times New Roman Regular" w:hAnsi="Times New Roman Regular" w:cs="Times New Roman Regular"/>
          <w:sz w:val="24"/>
          <w:szCs w:val="24"/>
        </w:rPr>
        <w:t xml:space="preserve">LLMs are rapidly moving from legal assistance to quasi adjudicative roles, where their outputs can shape how vulnerable parties are heard and believed. Yet we still lack rigorous evidence on whether these models maintain normative alignment with the value-laden reasoning deployed by Chinese judges deploy in domestic violence disputes, a domain where outcomes often turn on contested narratives, relational norms, and open textured standards such as reasonableness, fault, and protectability. We propose an expert annotated benchmark built from 108 cases from 2023 to 2025, introducing </w:t>
      </w:r>
      <w:r>
        <w:rPr>
          <w:rFonts w:hint="eastAsia" w:ascii="Times New Roman Regular" w:hAnsi="Times New Roman Regular" w:cs="Times New Roman Regular"/>
          <w:sz w:val="24"/>
          <w:szCs w:val="24"/>
          <w:lang w:eastAsia="zh-CN"/>
        </w:rPr>
        <w:t>DV-JusticeBench</w:t>
      </w:r>
      <w:r>
        <w:rPr>
          <w:rFonts w:hint="default" w:ascii="Times New Roman Regular" w:hAnsi="Times New Roman Regular" w:cs="Times New Roman Regular"/>
          <w:sz w:val="24"/>
          <w:szCs w:val="24"/>
        </w:rPr>
        <w:t>, a fine-grained, expert-annotated benchmark comprising 108 authentic cases and 540 structured questions spanning five critical dispute dimensions.</w:t>
      </w:r>
      <w:r>
        <w:rPr>
          <w:rFonts w:hint="default" w:ascii="Times New Roman Regular" w:hAnsi="Times New Roman Regular" w:cs="Times New Roman Regular"/>
          <w:sz w:val="24"/>
          <w:szCs w:val="24"/>
          <w:lang w:val="en-US" w:eastAsia="zh-CN"/>
        </w:rPr>
        <w:t xml:space="preserve"> </w:t>
      </w:r>
      <w:r>
        <w:rPr>
          <w:rFonts w:hint="eastAsia" w:ascii="Times New Roman Regular" w:hAnsi="Times New Roman Regular" w:cs="Times New Roman Regular"/>
          <w:sz w:val="24"/>
          <w:szCs w:val="24"/>
          <w:lang w:eastAsia="zh-CN"/>
        </w:rPr>
        <w:t>DV-JusticeBench</w:t>
      </w:r>
      <w:r>
        <w:rPr>
          <w:rFonts w:hint="default" w:ascii="Times New Roman Regular" w:hAnsi="Times New Roman Regular" w:cs="Times New Roman Regular"/>
          <w:sz w:val="24"/>
          <w:szCs w:val="24"/>
        </w:rPr>
        <w:t xml:space="preserve"> operationalises five dimensions of judicial quality—(1) normative-basis relevance, (2) subsumption-chain alignment, (3) value balancing and empathy alignment, (4) key-fact and issue coverage with evidence mapping, and (5) outcome and remedy alignment—using a structured rubric and a reproducible scoring protocol.</w:t>
      </w:r>
      <w:r>
        <w:rPr>
          <w:rFonts w:hint="default"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Across multiple LLMs, a recurring failure pattern emerges: outputs often adopt high-affect, caring rhetoric while failing to provide legally disciplined warrants, mis-handling contested facts, and over-weighting surface forensic cues—dynamics that can amplify credibility asymmetries. These findings support positioning LLMs as procedurally bounded assistants within a human-in-the-loop workflow, rather than as autonomous adjudicators. The benchmark and code are available at BenchForm.</w:t>
      </w:r>
    </w:p>
    <w:p w14:paraId="64BC5DAA">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leftChars="0"/>
        <w:jc w:val="left"/>
        <w:textAlignment w:val="auto"/>
        <w:rPr>
          <w:rFonts w:hint="default" w:ascii="Times New Roman Regular" w:hAnsi="Times New Roman Regular" w:eastAsia="SimSun" w:cs="Times New Roman Regular"/>
          <w:b w:val="0"/>
          <w:color w:val="auto"/>
          <w:kern w:val="0"/>
          <w:sz w:val="24"/>
          <w:szCs w:val="24"/>
          <w:lang w:val="en-US" w:eastAsia="zh-CN" w:bidi="ar"/>
        </w:rPr>
      </w:pPr>
      <w:r>
        <w:rPr>
          <w:rStyle w:val="18"/>
          <w:rFonts w:hint="default" w:ascii="Times New Roman Regular" w:hAnsi="Times New Roman Regular" w:eastAsia="SimSun" w:cs="Times New Roman Regular"/>
          <w:b/>
          <w:bCs/>
          <w:color w:val="auto"/>
          <w:kern w:val="0"/>
          <w:sz w:val="24"/>
          <w:szCs w:val="24"/>
          <w:lang w:val="en-US" w:eastAsia="zh-CN" w:bidi="ar"/>
        </w:rPr>
        <w:t>Keywords</w:t>
      </w:r>
      <w:r>
        <w:rPr>
          <w:rFonts w:hint="default" w:ascii="Times New Roman Regular" w:hAnsi="Times New Roman Regular" w:eastAsia="SimSun" w:cs="Times New Roman Regular"/>
          <w:b/>
          <w:bCs/>
          <w:color w:val="auto"/>
          <w:kern w:val="0"/>
          <w:sz w:val="24"/>
          <w:szCs w:val="24"/>
          <w:lang w:val="en-US" w:eastAsia="zh-CN" w:bidi="ar"/>
        </w:rPr>
        <w:t>:</w:t>
      </w:r>
      <w:r>
        <w:rPr>
          <w:rFonts w:hint="default" w:ascii="Times New Roman Regular" w:hAnsi="Times New Roman Regular" w:eastAsia="SimSun" w:cs="Times New Roman Regular"/>
          <w:b w:val="0"/>
          <w:color w:val="auto"/>
          <w:kern w:val="0"/>
          <w:sz w:val="24"/>
          <w:szCs w:val="24"/>
          <w:lang w:val="en-US" w:eastAsia="zh-CN" w:bidi="ar"/>
        </w:rPr>
        <w:t xml:space="preserve"> large language models, domestic violence, judicial reasoning, value judgment, benchmark</w:t>
      </w:r>
    </w:p>
    <w:p w14:paraId="1DBC96AA">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leftChars="0" w:firstLine="480" w:firstLineChars="200"/>
        <w:jc w:val="left"/>
        <w:textAlignment w:val="auto"/>
        <w:rPr>
          <w:rFonts w:hint="default" w:ascii="Times New Roman Regular" w:hAnsi="Times New Roman Regular" w:eastAsia="SimSun" w:cs="Times New Roman Regular"/>
          <w:b w:val="0"/>
          <w:color w:val="auto"/>
          <w:kern w:val="0"/>
          <w:sz w:val="24"/>
          <w:szCs w:val="24"/>
          <w:lang w:val="en-US" w:eastAsia="zh-CN" w:bidi="ar"/>
        </w:rPr>
      </w:pPr>
    </w:p>
    <w:p w14:paraId="3B3786F4">
      <w:pPr>
        <w:pStyle w:val="2"/>
        <w:bidi w:val="0"/>
        <w:rPr>
          <w:rFonts w:hint="default" w:ascii="Times New Roman Regular" w:hAnsi="Times New Roman Regular" w:cs="Times New Roman Regular"/>
          <w:b/>
          <w:bCs/>
          <w:color w:val="auto"/>
          <w:sz w:val="24"/>
          <w:szCs w:val="24"/>
        </w:rPr>
      </w:pPr>
      <w:r>
        <w:rPr>
          <w:rFonts w:hint="default" w:ascii="Times New Roman Regular" w:hAnsi="Times New Roman Regular" w:cs="Times New Roman Regular"/>
          <w:b/>
          <w:bCs/>
          <w:color w:val="auto"/>
          <w:sz w:val="24"/>
          <w:szCs w:val="24"/>
          <w:lang w:val="en-US" w:eastAsia="zh-CN"/>
        </w:rPr>
        <w:t>1 INTRODUCTION</w:t>
      </w:r>
    </w:p>
    <w:p w14:paraId="1E9ED7A6">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textAlignment w:val="auto"/>
        <w:rPr>
          <w:rFonts w:hint="default" w:ascii="Times New Roman Regular" w:hAnsi="Times New Roman Regular" w:cs="Times New Roman Regular"/>
          <w:color w:val="auto"/>
          <w:sz w:val="24"/>
          <w:szCs w:val="24"/>
        </w:rPr>
      </w:pPr>
    </w:p>
    <w:p w14:paraId="4B50101E">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Domestic violence disputes are a stress test for legal AI</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w:t>
      </w:r>
      <w:r>
        <w:rPr>
          <w:rFonts w:hint="default" w:ascii="Times New Roman Regular" w:hAnsi="Times New Roman Regular" w:cs="Times New Roman Regular"/>
          <w:color w:val="auto"/>
          <w:sz w:val="24"/>
          <w:szCs w:val="24"/>
          <w:lang w:val="en-US"/>
        </w:rPr>
        <w:t>The</w:t>
      </w:r>
      <w:r>
        <w:rPr>
          <w:rFonts w:hint="default" w:ascii="Times New Roman Regular" w:hAnsi="Times New Roman Regular" w:cs="Times New Roman Regular"/>
          <w:color w:val="auto"/>
          <w:sz w:val="24"/>
          <w:szCs w:val="24"/>
        </w:rPr>
        <w:t xml:space="preserve"> outcomes depend on value judgments, not just rule matching</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0"/>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Judges must translate vulnerability, credibility, relational power, and social meaning into legal categories under open textured standards</w:t>
      </w:r>
      <w:r>
        <w:rPr>
          <w:rFonts w:hint="default" w:ascii="Times New Roman Regular" w:hAnsi="Times New Roman Regular" w:cs="Times New Roman Regular"/>
          <w:color w:val="auto"/>
          <w:sz w:val="24"/>
          <w:szCs w:val="24"/>
          <w:lang w:val="en-US"/>
        </w:rPr>
        <w:t>. Therefore,</w:t>
      </w:r>
      <w:r>
        <w:rPr>
          <w:rFonts w:hint="default" w:ascii="Times New Roman Regular" w:hAnsi="Times New Roman Regular" w:cs="Times New Roman Regular"/>
          <w:color w:val="auto"/>
          <w:sz w:val="24"/>
          <w:szCs w:val="24"/>
        </w:rPr>
        <w:t xml:space="preserve"> small shifts in reasoning can change who is protected and who is doubted</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1"/>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In China, anti domestic violence governance has advanced through statute, judicial interpretation, and interagency instruments, yet proof friction and coordination failures remain common in practice</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footnoteReference w:id="2"/>
      </w:r>
      <w:r>
        <w:rPr>
          <w:rStyle w:val="10"/>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These gaps invite LLMs to act as quasi adjudicative assistants. They do not only summarize facts, they also generate evaluative narratives about fault, risk, protectability, and remedies</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footnoteReference w:id="3"/>
      </w:r>
      <w:r>
        <w:rPr>
          <w:rStyle w:val="10"/>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The promise is scale and consistency. The danger is normative drift that looks like neutral help</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Such drift can occur even when the cited law is facially correct, by shifting what is treated as decisive in the justification.</w:t>
      </w:r>
      <w:r>
        <w:rPr>
          <w:rStyle w:val="10"/>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footnoteReference w:id="4"/>
      </w:r>
      <w:r>
        <w:rPr>
          <w:rStyle w:val="10"/>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Value choices can enter through what the model highlights, downplays, or treats as decisive</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footnoteReference w:id="5"/>
      </w:r>
      <w:r>
        <w:rPr>
          <w:rStyle w:val="10"/>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Legitimacy therefore turns on value congruence as much as technical accuracy</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footnoteReference w:id="6"/>
      </w:r>
      <w:r>
        <w:rPr>
          <w:rStyle w:val="10"/>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This is acute in domestic violence cases. A calm, well structured answer can still cause secondary harm if it normalizes coercion or reallocates blame under the label of reasonableness. What we still lack is evidence about how LLM reasoning behaves when judges must integrate doctrine with culturally situated relational concepts</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7"/>
      </w:r>
      <w:r>
        <w:rPr>
          <w:rStyle w:val="10"/>
          <w:rFonts w:hint="default" w:ascii="Times New Roman Regular" w:hAnsi="Times New Roman Regular" w:cs="Times New Roman Regular"/>
          <w:color w:val="auto"/>
          <w:sz w:val="24"/>
          <w:szCs w:val="24"/>
        </w:rPr>
        <w:t>]</w:t>
      </w:r>
    </w:p>
    <w:p w14:paraId="1450CDE3">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firstLine="480" w:firstLineChars="200"/>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Law is a text based social technology, but its authority rests on institutional practice that stabilizes how texts are invoked and contested. LLMs are also text technologies. That kinship makes it plausible that they could extend legal capacity, and it raises governance stakes as they approach functional parity with lawyers</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8"/>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Adoption is already happening. Global firms are purchasing chatbot systems for advisory work</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footnoteReference w:id="9"/>
      </w:r>
      <w:r>
        <w:rPr>
          <w:rStyle w:val="10"/>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Public perceptions matter in this setting. People assess automated legal authority through legitimacy frames, not only performance frames</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10"/>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rPr>
        <w:t>Legal value alignment is harder than general moral alignment. It must cope with normative uncertainty, doctrinal constraints, procedure, and social pluralism. Methods that classify value orientations can map tendencies, but they do not ensure doctrinal discipline or stability across cases</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footnoteReference w:id="11"/>
      </w:r>
      <w:r>
        <w:rPr>
          <w:rStyle w:val="10"/>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The gap shows up in jury</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like tasks. LLMs can be more consistent than humans, yet still reproduce biases driven by nonevidentiary factors.</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eastAsia="SimSun" w:cs="Times New Roman Regular"/>
          <w:color w:val="auto"/>
          <w:kern w:val="0"/>
          <w:sz w:val="24"/>
          <w:szCs w:val="24"/>
          <w:lang w:val="en-US" w:eastAsia="zh-CN" w:bidi="ar"/>
        </w:rPr>
        <w:t>Sun et al. (2025) show that LLMs can be more consistent than human jurors, yet their judgments still track nonevidentiary factors, which limits readiness for judicial integration. Proposed fixes help, but they do not solve the hardest part.</w:t>
      </w:r>
      <w:r>
        <w:rPr>
          <w:rStyle w:val="10"/>
          <w:rFonts w:hint="default" w:ascii="Times New Roman Regular" w:hAnsi="Times New Roman Regular" w:eastAsia="SimSun" w:cs="Times New Roman Regular"/>
          <w:color w:val="auto"/>
          <w:kern w:val="0"/>
          <w:sz w:val="24"/>
          <w:szCs w:val="24"/>
          <w:lang w:val="en-US" w:eastAsia="zh-CN" w:bidi="ar"/>
        </w:rPr>
        <w:t>[</w:t>
      </w:r>
      <w:r>
        <w:rPr>
          <w:rStyle w:val="10"/>
          <w:rFonts w:hint="default" w:ascii="Times New Roman Regular" w:hAnsi="Times New Roman Regular" w:eastAsia="SimSun" w:cs="Times New Roman Regular"/>
          <w:color w:val="auto"/>
          <w:kern w:val="0"/>
          <w:sz w:val="24"/>
          <w:szCs w:val="24"/>
          <w:lang w:val="en-US" w:eastAsia="zh-CN" w:bidi="ar"/>
        </w:rPr>
        <w:footnoteReference w:id="12"/>
      </w:r>
      <w:r>
        <w:rPr>
          <w:rStyle w:val="10"/>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Pang et al. (2024) use self dialog training to improve norm learning</w:t>
      </w:r>
      <w:r>
        <w:rPr>
          <w:rStyle w:val="10"/>
          <w:rFonts w:hint="default" w:ascii="Times New Roman Regular" w:hAnsi="Times New Roman Regular" w:eastAsia="SimSun" w:cs="Times New Roman Regular"/>
          <w:color w:val="auto"/>
          <w:kern w:val="0"/>
          <w:sz w:val="24"/>
          <w:szCs w:val="24"/>
          <w:lang w:val="en-US" w:eastAsia="zh-CN" w:bidi="ar"/>
        </w:rPr>
        <w:t>[</w:t>
      </w:r>
      <w:r>
        <w:rPr>
          <w:rStyle w:val="10"/>
          <w:rFonts w:hint="default" w:ascii="Times New Roman Regular" w:hAnsi="Times New Roman Regular" w:eastAsia="SimSun" w:cs="Times New Roman Regular"/>
          <w:color w:val="auto"/>
          <w:kern w:val="0"/>
          <w:sz w:val="24"/>
          <w:szCs w:val="24"/>
          <w:lang w:val="en-US" w:eastAsia="zh-CN" w:bidi="ar"/>
        </w:rPr>
        <w:footnoteReference w:id="13"/>
      </w:r>
      <w:r>
        <w:rPr>
          <w:rStyle w:val="10"/>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and Feng et al. (2024) pursue case based reasoning to anchor outputs in precedent like patterns.</w:t>
      </w:r>
      <w:r>
        <w:rPr>
          <w:rStyle w:val="10"/>
          <w:rFonts w:hint="default" w:ascii="Times New Roman Regular" w:hAnsi="Times New Roman Regular" w:eastAsia="SimSun" w:cs="Times New Roman Regular"/>
          <w:color w:val="auto"/>
          <w:kern w:val="0"/>
          <w:sz w:val="24"/>
          <w:szCs w:val="24"/>
          <w:lang w:val="en-US" w:eastAsia="zh-CN" w:bidi="ar"/>
        </w:rPr>
        <w:t>[</w:t>
      </w:r>
      <w:r>
        <w:rPr>
          <w:rStyle w:val="10"/>
          <w:rFonts w:hint="default" w:ascii="Times New Roman Regular" w:hAnsi="Times New Roman Regular" w:eastAsia="SimSun" w:cs="Times New Roman Regular"/>
          <w:color w:val="auto"/>
          <w:kern w:val="0"/>
          <w:sz w:val="24"/>
          <w:szCs w:val="24"/>
          <w:lang w:val="en-US" w:eastAsia="zh-CN" w:bidi="ar"/>
        </w:rPr>
        <w:footnoteReference w:id="14"/>
      </w:r>
      <w:r>
        <w:rPr>
          <w:rStyle w:val="10"/>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These approaches still struggle with disciplined fact weighting under open textured standards. Lacroix (2024) frames this as a problem of normative uncertainty, where fluent language can mask thin justificatory structure.</w:t>
      </w:r>
      <w:r>
        <w:rPr>
          <w:rStyle w:val="10"/>
          <w:rFonts w:hint="default" w:ascii="Times New Roman Regular" w:hAnsi="Times New Roman Regular" w:eastAsia="SimSun" w:cs="Times New Roman Regular"/>
          <w:color w:val="auto"/>
          <w:kern w:val="0"/>
          <w:sz w:val="24"/>
          <w:szCs w:val="24"/>
          <w:lang w:val="en-US" w:eastAsia="zh-CN" w:bidi="ar"/>
        </w:rPr>
        <w:t>[</w:t>
      </w:r>
      <w:r>
        <w:rPr>
          <w:rStyle w:val="10"/>
          <w:rFonts w:hint="default" w:ascii="Times New Roman Regular" w:hAnsi="Times New Roman Regular" w:eastAsia="SimSun" w:cs="Times New Roman Regular"/>
          <w:color w:val="auto"/>
          <w:kern w:val="0"/>
          <w:sz w:val="24"/>
          <w:szCs w:val="24"/>
          <w:lang w:val="en-US" w:eastAsia="zh-CN" w:bidi="ar"/>
        </w:rPr>
        <w:footnoteReference w:id="15"/>
      </w:r>
      <w:r>
        <w:rPr>
          <w:rStyle w:val="10"/>
          <w:rFonts w:hint="default" w:ascii="Times New Roman Regular" w:hAnsi="Times New Roman Regular" w:eastAsia="SimSun" w:cs="Times New Roman Regular"/>
          <w:color w:val="auto"/>
          <w:kern w:val="0"/>
          <w:sz w:val="24"/>
          <w:szCs w:val="24"/>
          <w:lang w:val="en-US" w:eastAsia="zh-CN" w:bidi="ar"/>
        </w:rPr>
        <w:t>]</w:t>
      </w:r>
    </w:p>
    <w:p w14:paraId="025529E8">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firstLine="480" w:firstLineChars="200"/>
        <w:textAlignment w:val="auto"/>
        <w:rPr>
          <w:rFonts w:hint="default" w:ascii="Times New Roman Regular" w:hAnsi="Times New Roman Regular" w:cs="Times New Roman Regular"/>
          <w:color w:val="auto"/>
          <w:sz w:val="24"/>
          <w:szCs w:val="24"/>
          <w:lang w:val="en-US"/>
        </w:rPr>
      </w:pPr>
      <w:r>
        <w:rPr>
          <w:rFonts w:hint="default" w:ascii="Times New Roman Regular" w:hAnsi="Times New Roman Regular" w:cs="Times New Roman Regular"/>
          <w:color w:val="auto"/>
          <w:sz w:val="24"/>
          <w:szCs w:val="24"/>
        </w:rPr>
        <w:t>The empathy layer adds another risk. LLMs can generate supportive language at near zero cost, so users may over attribute care</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footnoteReference w:id="16"/>
      </w:r>
      <w:r>
        <w:rPr>
          <w:rStyle w:val="10"/>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Commercial systems explicitly sell this promise with claims like </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AI companion who cares</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and </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always ready to chat when you need an empathetic friend</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footnoteReference w:id="17"/>
      </w:r>
      <w:r>
        <w:rPr>
          <w:rStyle w:val="10"/>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Empathy is not one thing. It includes understanding, affective resonance, and motivational concern</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footnoteReference w:id="18"/>
      </w:r>
      <w:r>
        <w:rPr>
          <w:rStyle w:val="10"/>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The motivational part is exactly where current systems face principled obstacles</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footnoteReference w:id="19"/>
      </w:r>
      <w:r>
        <w:rPr>
          <w:rStyle w:val="10"/>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Humans often avoid empathy because it is effortful and costly</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20"/>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LLMs can still infer emotional states and produce fluent responses by pattern learning</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footnoteReference w:id="21"/>
      </w:r>
      <w:r>
        <w:rPr>
          <w:rStyle w:val="10"/>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That makes warmth a weak signal of genuine responsiveness. It matters even more when the output influences legal blame and protection</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footnoteReference w:id="22"/>
      </w:r>
      <w:r>
        <w:rPr>
          <w:rStyle w:val="10"/>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Haugeland captured the structural worry in one line: </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The trouble with artificial intelligence is that computers do not give a damn</w:t>
      </w:r>
      <w:r>
        <w:rPr>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t>[</w:t>
      </w:r>
      <w:r>
        <w:rPr>
          <w:rStyle w:val="10"/>
          <w:rFonts w:hint="default" w:ascii="Times New Roman Regular" w:hAnsi="Times New Roman Regular" w:cs="Times New Roman Regular"/>
          <w:color w:val="auto"/>
          <w:sz w:val="24"/>
          <w:szCs w:val="24"/>
          <w:lang w:val="en-US"/>
        </w:rPr>
        <w:footnoteReference w:id="23"/>
      </w:r>
      <w:r>
        <w:rPr>
          <w:rStyle w:val="10"/>
          <w:rFonts w:hint="default" w:ascii="Times New Roman Regular" w:hAnsi="Times New Roman Regular" w:cs="Times New Roman Regular"/>
          <w:color w:val="auto"/>
          <w:sz w:val="24"/>
          <w:szCs w:val="24"/>
          <w:lang w:val="en-US"/>
        </w:rPr>
        <w:t>]</w:t>
      </w:r>
    </w:p>
    <w:p w14:paraId="2C9B906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leftChars="0"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 xml:space="preserve">To address this gap, we introduce </w:t>
      </w:r>
      <w:r>
        <w:rPr>
          <w:rFonts w:hint="eastAsia" w:ascii="Times New Roman Regular" w:hAnsi="Times New Roman Regular" w:cs="Times New Roman Regular"/>
          <w:color w:val="auto"/>
          <w:sz w:val="24"/>
          <w:szCs w:val="24"/>
          <w:lang w:val="en-US" w:eastAsia="zh-CN"/>
        </w:rPr>
        <w:t>DV-JusticeBench</w:t>
      </w:r>
      <w:r>
        <w:rPr>
          <w:rFonts w:hint="default" w:ascii="Times New Roman Regular" w:hAnsi="Times New Roman Regular" w:cs="Times New Roman Regular"/>
          <w:color w:val="auto"/>
          <w:sz w:val="24"/>
          <w:szCs w:val="24"/>
        </w:rPr>
        <w:t>, a benchmark built from domestic violence decisions in China Judgments Online</w:t>
      </w:r>
      <w:r>
        <w:rPr>
          <w:rFonts w:hint="default" w:ascii="Times New Roman Regular" w:hAnsi="Times New Roman Regular" w:cs="Times New Roman Regular"/>
          <w:color w:val="auto"/>
          <w:sz w:val="24"/>
          <w:szCs w:val="24"/>
          <w:lang w:val="en-US"/>
        </w:rPr>
        <w:t xml:space="preserve"> (</w:t>
      </w:r>
      <w:r>
        <w:rPr>
          <w:rStyle w:val="13"/>
          <w:rFonts w:hint="default" w:ascii="Times New Roman Regular" w:hAnsi="Times New Roman Regular" w:cs="Times New Roman Regular"/>
          <w:sz w:val="24"/>
          <w:szCs w:val="24"/>
          <w:lang w:val="en-US" w:eastAsia="zh-CN"/>
        </w:rPr>
        <w:t>https://wenshu.court.gov.cn/</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and the Supreme People’s Court 2025 Typical Anti Domestic Violence Cases</w:t>
      </w:r>
      <w:r>
        <w:rPr>
          <w:rFonts w:hint="default" w:ascii="Times New Roman Regular" w:hAnsi="Times New Roman Regular" w:cs="Times New Roman Regular"/>
          <w:color w:val="auto"/>
          <w:sz w:val="24"/>
          <w:szCs w:val="24"/>
          <w:lang w:val="en-US"/>
        </w:rPr>
        <w:t xml:space="preserve"> (</w:t>
      </w:r>
      <w:r>
        <w:rPr>
          <w:rStyle w:val="13"/>
          <w:rFonts w:hint="default" w:ascii="Times New Roman Regular" w:hAnsi="Times New Roman Regular" w:cs="Times New Roman Regular"/>
          <w:sz w:val="24"/>
          <w:szCs w:val="24"/>
          <w:lang w:val="en-US" w:eastAsia="zh-CN"/>
        </w:rPr>
        <w:t>https://www.court.gov.cn/zixun/xiangqing/482111.html</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 xml:space="preserve">We do not target multiple choice items or bar style recall. </w:t>
      </w:r>
      <w:r>
        <w:rPr>
          <w:rFonts w:hint="default" w:ascii="Times New Roman Regular" w:hAnsi="Times New Roman Regular" w:cs="Times New Roman Regular"/>
          <w:color w:val="auto"/>
          <w:sz w:val="24"/>
          <w:szCs w:val="24"/>
          <w:lang w:val="en-US" w:eastAsia="zh-CN"/>
        </w:rPr>
        <w:t xml:space="preserve">We instead target value-laden justification under uncertainty, where multiple outcomes may be legally defensible but only some are institutionally well-grounded. </w:t>
      </w:r>
      <w:r>
        <w:rPr>
          <w:rFonts w:hint="default" w:ascii="Times New Roman Regular" w:hAnsi="Times New Roman Regular" w:cs="Times New Roman Regular"/>
          <w:color w:val="auto"/>
          <w:sz w:val="24"/>
          <w:szCs w:val="24"/>
        </w:rPr>
        <w:t>Prior work already shows rapid gains on exams and classroom style tests.</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rPr>
        <w:t>Katz et al. (2023) find GPT 4 level systems can likely pass and rank highly.</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24"/>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Choi et al. (2023) likewise show passing performance that still resembles a mediocre law student.</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25"/>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Savelka et al. (2023) show strong performance in concept explanation when a model is augmented with case law. These results matter, but they do not answer our question.</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26"/>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Domestic violence adjudication is not a closed book test. It is a test of value judgment under uncertainty.</w:t>
      </w:r>
    </w:p>
    <w:p w14:paraId="5FE780E3">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firstLine="480" w:firstLineChars="200"/>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Our goal is different. We evaluate whether an LLM can balance legal norms with relational context and moral stakes. China is a meaningful setting for this test. Chinese judging is neither purely adversarial nor purely inquisitorial.</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27"/>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Judges apply statutes, but they also justify outcomes in terms of social effects and fairness. This discretion is most visible when doctrine is open textured. It appears in standards like reasonableness, fault, danger, and protectability. It also appears in culturally loaded concepts such as family, endurance, face, and caregiving. Our benchmark is designed to probe that discretionary layer.</w:t>
      </w:r>
    </w:p>
    <w:p w14:paraId="321FA0ED">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firstLine="480" w:firstLineChars="200"/>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lang w:val="en-US" w:eastAsia="zh-CN"/>
        </w:rPr>
        <w:t>Besides, w</w:t>
      </w:r>
      <w:r>
        <w:rPr>
          <w:rFonts w:hint="default" w:ascii="Times New Roman Regular" w:hAnsi="Times New Roman Regular" w:cs="Times New Roman Regular"/>
          <w:color w:val="auto"/>
          <w:sz w:val="24"/>
          <w:szCs w:val="24"/>
        </w:rPr>
        <w:t>e build the dataset from 10</w:t>
      </w:r>
      <w:r>
        <w:rPr>
          <w:rFonts w:hint="default" w:ascii="Times New Roman Regular" w:hAnsi="Times New Roman Regular" w:cs="Times New Roman Regular"/>
          <w:color w:val="auto"/>
          <w:sz w:val="24"/>
          <w:szCs w:val="24"/>
          <w:lang w:val="en-US" w:eastAsia="zh-CN"/>
        </w:rPr>
        <w:t>8</w:t>
      </w:r>
      <w:r>
        <w:rPr>
          <w:rFonts w:hint="default" w:ascii="Times New Roman Regular" w:hAnsi="Times New Roman Regular" w:cs="Times New Roman Regular"/>
          <w:color w:val="auto"/>
          <w:sz w:val="24"/>
          <w:szCs w:val="24"/>
        </w:rPr>
        <w:t xml:space="preserve"> cases, prioritising decisions with dense reasoning and genuinely contested narratives, including cases endorsed as “typical” by the Supreme People’s Court. We used </w:t>
      </w:r>
      <w:r>
        <w:rPr>
          <w:rFonts w:hint="eastAsia" w:ascii="Times New Roman Regular" w:hAnsi="Times New Roman Regular" w:cs="Times New Roman Regular"/>
          <w:color w:val="auto"/>
          <w:sz w:val="24"/>
          <w:szCs w:val="24"/>
          <w:lang w:eastAsia="zh-CN"/>
        </w:rPr>
        <w:t>DeepSeek-V3</w:t>
      </w:r>
      <w:r>
        <w:rPr>
          <w:rFonts w:hint="default" w:ascii="Times New Roman Regular" w:hAnsi="Times New Roman Regular" w:cs="Times New Roman Regular"/>
          <w:color w:val="auto"/>
          <w:sz w:val="24"/>
          <w:szCs w:val="24"/>
        </w:rPr>
        <w:t xml:space="preserve"> extraction for an initial segmentation into background facts, keywords, judicial reasoning, and disposition; human annotators then performed a full pass to verify and correct all segment boundaries and contents, ensuring fidelity to the source text. Each document is ultimately structured into four sections: background facts, keywords, judicial reasoning, and disposition.</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Full opinion drafting is not used as the evaluation task, because verbosity can obscure substantive failure modes. Instead, each case is converted into five structured dispute questions, yielding 540 questions in total. These questions target abuse characterisation, risk and persistence, evidence appraisal, responsibility attribution, and public morals, while avoiding simple fact lookup.</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Leakage is treated as a non-trivial risk. Many LLMs can search the internet, and China Judgments Online often restricts access via real-name login in common workflows, which adds friction for direct copying; nonetheless, memorisation during training remains possible. To mitigate this, the background and outcome sections are paraphrased and de-identified: names, courts, and docket identifiers are removed, and overlap with the original phrasing is reduced. This design pushes models to justify their answers rather than retrieve or recall them.</w:t>
      </w:r>
    </w:p>
    <w:p w14:paraId="7201D45D">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firstLine="480" w:firstLineChars="200"/>
        <w:textAlignment w:val="auto"/>
        <w:rPr>
          <w:rFonts w:hint="default" w:ascii="Times New Roman Regular" w:hAnsi="Times New Roman Regular" w:cs="Times New Roman Regular"/>
          <w:color w:val="auto"/>
          <w:sz w:val="24"/>
          <w:szCs w:val="24"/>
          <w:lang w:val="en-US"/>
        </w:rPr>
      </w:pPr>
      <w:r>
        <w:rPr>
          <w:rFonts w:hint="default" w:ascii="Times New Roman Regular" w:hAnsi="Times New Roman Regular" w:cs="Times New Roman Regular"/>
          <w:color w:val="auto"/>
          <w:sz w:val="24"/>
          <w:szCs w:val="24"/>
        </w:rPr>
        <w:t xml:space="preserve">Evaluation is done by experienced legal annotators. They score outputs on </w:t>
      </w:r>
      <w:r>
        <w:rPr>
          <w:rFonts w:hint="default" w:ascii="Times New Roman Regular" w:hAnsi="Times New Roman Regular" w:cs="Times New Roman Regular"/>
          <w:color w:val="auto"/>
          <w:sz w:val="24"/>
          <w:szCs w:val="24"/>
          <w:lang w:val="en-US"/>
        </w:rPr>
        <w:t xml:space="preserve">five </w:t>
      </w:r>
      <w:r>
        <w:rPr>
          <w:rFonts w:hint="default" w:ascii="Times New Roman Regular" w:hAnsi="Times New Roman Regular" w:cs="Times New Roman Regular"/>
          <w:color w:val="auto"/>
          <w:sz w:val="24"/>
          <w:szCs w:val="24"/>
        </w:rPr>
        <w:t xml:space="preserve">dimensions: </w:t>
      </w:r>
      <w:r>
        <w:rPr>
          <w:rFonts w:hint="default" w:ascii="Times New Roman Regular" w:hAnsi="Times New Roman Regular" w:cs="Times New Roman Regular"/>
          <w:color w:val="auto"/>
          <w:sz w:val="24"/>
          <w:szCs w:val="24"/>
          <w:lang w:val="en-US"/>
        </w:rPr>
        <w:t xml:space="preserve">(a) </w:t>
      </w:r>
      <w:r>
        <w:rPr>
          <w:rFonts w:hint="default" w:ascii="Times New Roman Regular" w:hAnsi="Times New Roman Regular" w:cs="Times New Roman Regular"/>
          <w:color w:val="auto"/>
          <w:sz w:val="24"/>
          <w:szCs w:val="24"/>
        </w:rPr>
        <w:t xml:space="preserve">Normative Basis Relevance, </w:t>
      </w:r>
      <w:r>
        <w:rPr>
          <w:rFonts w:hint="default" w:ascii="Times New Roman Regular" w:hAnsi="Times New Roman Regular" w:cs="Times New Roman Regular"/>
          <w:color w:val="auto"/>
          <w:sz w:val="24"/>
          <w:szCs w:val="24"/>
          <w:lang w:val="en-US"/>
        </w:rPr>
        <w:t xml:space="preserve">(b) </w:t>
      </w:r>
      <w:r>
        <w:rPr>
          <w:rFonts w:hint="default" w:ascii="Times New Roman Regular" w:hAnsi="Times New Roman Regular" w:cs="Times New Roman Regular"/>
          <w:color w:val="auto"/>
          <w:sz w:val="24"/>
          <w:szCs w:val="24"/>
        </w:rPr>
        <w:t xml:space="preserve">Subsumption Chain Alignment, </w:t>
      </w:r>
      <w:r>
        <w:rPr>
          <w:rFonts w:hint="default" w:ascii="Times New Roman Regular" w:hAnsi="Times New Roman Regular" w:cs="Times New Roman Regular"/>
          <w:color w:val="auto"/>
          <w:sz w:val="24"/>
          <w:szCs w:val="24"/>
          <w:lang w:val="en-US"/>
        </w:rPr>
        <w:t xml:space="preserve">(c) </w:t>
      </w:r>
      <w:r>
        <w:rPr>
          <w:rFonts w:hint="default" w:ascii="Times New Roman Regular" w:hAnsi="Times New Roman Regular" w:cs="Times New Roman Regular"/>
          <w:color w:val="auto"/>
          <w:sz w:val="24"/>
          <w:szCs w:val="24"/>
        </w:rPr>
        <w:t xml:space="preserve">Key Facts and Issue Coverage, </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lang w:val="en-US" w:eastAsia="zh-CN"/>
        </w:rPr>
        <w:t xml:space="preserve">d) </w:t>
      </w:r>
      <w:r>
        <w:rPr>
          <w:rFonts w:hint="default" w:ascii="Times New Roman Regular" w:hAnsi="Times New Roman Regular" w:cs="Times New Roman Regular"/>
          <w:color w:val="auto"/>
          <w:sz w:val="24"/>
          <w:szCs w:val="24"/>
        </w:rPr>
        <w:t xml:space="preserve">Outcome and Remedy Alignment, </w:t>
      </w:r>
      <w:r>
        <w:rPr>
          <w:rFonts w:hint="default" w:ascii="Times New Roman Regular" w:hAnsi="Times New Roman Regular" w:cs="Times New Roman Regular"/>
          <w:color w:val="auto"/>
          <w:sz w:val="24"/>
          <w:szCs w:val="24"/>
          <w:lang w:val="en-US"/>
        </w:rPr>
        <w:t xml:space="preserve">(e) </w:t>
      </w:r>
      <w:r>
        <w:rPr>
          <w:rFonts w:hint="default" w:ascii="Times New Roman Regular" w:hAnsi="Times New Roman Regular" w:cs="Times New Roman Regular"/>
          <w:color w:val="auto"/>
          <w:sz w:val="24"/>
          <w:szCs w:val="24"/>
        </w:rPr>
        <w:t>Value Balancing and Empathy Alignment. We test several leading systems, including</w:t>
      </w:r>
      <w:r>
        <w:rPr>
          <w:rFonts w:hint="default" w:ascii="Times New Roman Regular" w:hAnsi="Times New Roman Regular" w:cs="Times New Roman Regular"/>
          <w:color w:val="auto"/>
          <w:sz w:val="24"/>
          <w:szCs w:val="24"/>
          <w:lang w:val="en-US" w:eastAsia="zh-CN"/>
        </w:rPr>
        <w:t xml:space="preserve"> </w:t>
      </w:r>
      <w:commentRangeStart w:id="0"/>
      <w:commentRangeStart w:id="1"/>
      <w:r>
        <w:rPr>
          <w:rFonts w:hint="default" w:ascii="Times New Roman Regular" w:hAnsi="Times New Roman Regular" w:cs="Times New Roman Regular"/>
          <w:color w:val="FF0000"/>
          <w:sz w:val="24"/>
          <w:szCs w:val="24"/>
          <w:highlight w:val="yellow"/>
        </w:rPr>
        <w:t>GPT 4o</w:t>
      </w:r>
      <w:r>
        <w:rPr>
          <w:rFonts w:hint="default" w:ascii="Times New Roman Regular" w:hAnsi="Times New Roman Regular" w:cs="Times New Roman Regular"/>
          <w:color w:val="FF0000"/>
          <w:sz w:val="24"/>
          <w:szCs w:val="24"/>
          <w:highlight w:val="yellow"/>
          <w:lang w:val="en-US" w:eastAsia="zh-CN"/>
        </w:rPr>
        <w:t xml:space="preserve"> </w:t>
      </w:r>
      <w:r>
        <w:rPr>
          <w:rFonts w:hint="default" w:ascii="Times New Roman Regular" w:hAnsi="Times New Roman Regular" w:cs="Times New Roman Regular"/>
          <w:color w:val="FF0000"/>
          <w:sz w:val="24"/>
          <w:szCs w:val="24"/>
          <w:highlight w:val="yellow"/>
        </w:rPr>
        <w:t>(OpenAI, 2024), GPT 5</w:t>
      </w:r>
      <w:r>
        <w:rPr>
          <w:rFonts w:hint="default" w:ascii="Times New Roman Regular" w:hAnsi="Times New Roman Regular" w:cs="Times New Roman Regular"/>
          <w:color w:val="FF0000"/>
          <w:sz w:val="24"/>
          <w:szCs w:val="24"/>
          <w:highlight w:val="yellow"/>
          <w:lang w:val="en-US" w:eastAsia="zh-CN"/>
        </w:rPr>
        <w:t xml:space="preserve"> </w:t>
      </w:r>
      <w:r>
        <w:rPr>
          <w:rFonts w:hint="default" w:ascii="Times New Roman Regular" w:hAnsi="Times New Roman Regular" w:cs="Times New Roman Regular"/>
          <w:color w:val="FF0000"/>
          <w:sz w:val="24"/>
          <w:szCs w:val="24"/>
          <w:highlight w:val="yellow"/>
        </w:rPr>
        <w:t>(OpenAI, 2025), DeepSeek-R1</w:t>
      </w:r>
      <w:r>
        <w:rPr>
          <w:rFonts w:hint="default" w:ascii="Times New Roman Regular" w:hAnsi="Times New Roman Regular" w:cs="Times New Roman Regular"/>
          <w:color w:val="FF0000"/>
          <w:sz w:val="24"/>
          <w:szCs w:val="24"/>
          <w:highlight w:val="yellow"/>
          <w:lang w:val="en-US" w:eastAsia="zh-CN"/>
        </w:rPr>
        <w:t xml:space="preserve"> </w:t>
      </w:r>
      <w:r>
        <w:rPr>
          <w:rFonts w:hint="default" w:ascii="Times New Roman Regular" w:hAnsi="Times New Roman Regular" w:cs="Times New Roman Regular"/>
          <w:color w:val="FF0000"/>
          <w:sz w:val="24"/>
          <w:szCs w:val="24"/>
          <w:highlight w:val="yellow"/>
        </w:rPr>
        <w:t>(DeepSeek, 2025), DeepSeek-V3</w:t>
      </w:r>
      <w:r>
        <w:rPr>
          <w:rFonts w:hint="default" w:ascii="Times New Roman Regular" w:hAnsi="Times New Roman Regular" w:cs="Times New Roman Regular"/>
          <w:color w:val="FF0000"/>
          <w:sz w:val="24"/>
          <w:szCs w:val="24"/>
          <w:highlight w:val="yellow"/>
          <w:lang w:val="en-US" w:eastAsia="zh-CN"/>
        </w:rPr>
        <w:t xml:space="preserve"> </w:t>
      </w:r>
      <w:r>
        <w:rPr>
          <w:rFonts w:hint="default" w:ascii="Times New Roman Regular" w:hAnsi="Times New Roman Regular" w:cs="Times New Roman Regular"/>
          <w:color w:val="FF0000"/>
          <w:sz w:val="24"/>
          <w:szCs w:val="24"/>
          <w:highlight w:val="yellow"/>
        </w:rPr>
        <w:t>(DeepSeek, 2025), and Qwen-Max</w:t>
      </w:r>
      <w:r>
        <w:rPr>
          <w:rFonts w:hint="default" w:ascii="Times New Roman Regular" w:hAnsi="Times New Roman Regular" w:cs="Times New Roman Regular"/>
          <w:color w:val="FF0000"/>
          <w:sz w:val="24"/>
          <w:szCs w:val="24"/>
          <w:highlight w:val="yellow"/>
          <w:lang w:val="en-US" w:eastAsia="zh-CN"/>
        </w:rPr>
        <w:t xml:space="preserve"> </w:t>
      </w:r>
      <w:r>
        <w:rPr>
          <w:rFonts w:hint="default" w:ascii="Times New Roman Regular" w:hAnsi="Times New Roman Regular" w:cs="Times New Roman Regular"/>
          <w:color w:val="FF0000"/>
          <w:sz w:val="24"/>
          <w:szCs w:val="24"/>
          <w:highlight w:val="yellow"/>
        </w:rPr>
        <w:t>(Alibaba, 2024),</w:t>
      </w:r>
      <w:r>
        <w:rPr>
          <w:rFonts w:hint="default" w:ascii="Times New Roman Regular" w:hAnsi="Times New Roman Regular" w:cs="Times New Roman Regular"/>
          <w:color w:val="FF0000"/>
          <w:sz w:val="24"/>
          <w:szCs w:val="24"/>
          <w:highlight w:val="yellow"/>
          <w:lang w:val="en-US" w:eastAsia="zh-CN"/>
        </w:rPr>
        <w:t xml:space="preserve"> </w:t>
      </w:r>
      <w:r>
        <w:rPr>
          <w:rFonts w:hint="default" w:ascii="Times New Roman Regular" w:hAnsi="Times New Roman Regular" w:cs="Times New Roman Regular"/>
          <w:color w:val="FF0000"/>
          <w:sz w:val="24"/>
          <w:szCs w:val="24"/>
          <w:highlight w:val="yellow"/>
        </w:rPr>
        <w:t>Gemini 2.5 Flash (Doshi, 2025), Claude Opus 4</w:t>
      </w:r>
      <w:r>
        <w:rPr>
          <w:rFonts w:hint="default" w:ascii="Times New Roman Regular" w:hAnsi="Times New Roman Regular" w:cs="Times New Roman Regular"/>
          <w:color w:val="FF0000"/>
          <w:sz w:val="24"/>
          <w:szCs w:val="24"/>
          <w:highlight w:val="yellow"/>
          <w:lang w:val="en-US" w:eastAsia="zh-CN"/>
        </w:rPr>
        <w:t xml:space="preserve"> </w:t>
      </w:r>
      <w:r>
        <w:rPr>
          <w:rFonts w:hint="default" w:ascii="Times New Roman Regular" w:hAnsi="Times New Roman Regular" w:cs="Times New Roman Regular"/>
          <w:color w:val="FF0000"/>
          <w:sz w:val="24"/>
          <w:szCs w:val="24"/>
          <w:highlight w:val="yellow"/>
        </w:rPr>
        <w:t>(Anthropic, 2025).</w:t>
      </w:r>
      <w:r>
        <w:rPr>
          <w:rFonts w:hint="default" w:ascii="Times New Roman Regular" w:hAnsi="Times New Roman Regular" w:cs="Times New Roman Regular"/>
          <w:color w:val="FF0000"/>
          <w:sz w:val="24"/>
          <w:szCs w:val="24"/>
          <w:highlight w:val="yellow"/>
          <w:lang w:val="en-US" w:eastAsia="zh-CN"/>
        </w:rPr>
        <w:t xml:space="preserve"> </w:t>
      </w:r>
      <w:commentRangeEnd w:id="0"/>
      <w:r>
        <w:rPr>
          <w:rFonts w:hint="default" w:ascii="Times New Roman Regular" w:hAnsi="Times New Roman Regular" w:cs="Times New Roman Regular"/>
          <w:sz w:val="24"/>
          <w:szCs w:val="24"/>
        </w:rPr>
        <w:commentReference w:id="0"/>
      </w:r>
      <w:commentRangeEnd w:id="1"/>
      <w:r>
        <w:commentReference w:id="1"/>
      </w:r>
      <w:r>
        <w:rPr>
          <w:rFonts w:hint="default" w:ascii="Times New Roman Regular" w:hAnsi="Times New Roman Regular" w:cs="Times New Roman Regular"/>
          <w:color w:val="auto"/>
          <w:sz w:val="24"/>
          <w:szCs w:val="24"/>
          <w:lang w:val="en-US" w:eastAsia="zh-CN"/>
        </w:rPr>
        <w:t>W</w:t>
      </w:r>
      <w:r>
        <w:rPr>
          <w:rFonts w:hint="default" w:ascii="Times New Roman Regular" w:hAnsi="Times New Roman Regular" w:cs="Times New Roman Regular"/>
          <w:color w:val="auto"/>
          <w:sz w:val="24"/>
          <w:szCs w:val="24"/>
        </w:rPr>
        <w:t xml:space="preserve">e </w:t>
      </w:r>
      <w:r>
        <w:rPr>
          <w:rFonts w:hint="default" w:ascii="Times New Roman Regular" w:hAnsi="Times New Roman Regular" w:cs="Times New Roman Regular"/>
          <w:color w:val="auto"/>
          <w:sz w:val="24"/>
          <w:szCs w:val="24"/>
          <w:lang w:val="en-US" w:eastAsia="zh-CN"/>
        </w:rPr>
        <w:t xml:space="preserve">also </w:t>
      </w:r>
      <w:r>
        <w:rPr>
          <w:rFonts w:hint="default" w:ascii="Times New Roman Regular" w:hAnsi="Times New Roman Regular" w:cs="Times New Roman Regular"/>
          <w:color w:val="auto"/>
          <w:sz w:val="24"/>
          <w:szCs w:val="24"/>
        </w:rPr>
        <w:t>add</w:t>
      </w:r>
      <w:r>
        <w:rPr>
          <w:rFonts w:hint="default" w:ascii="Times New Roman Regular" w:hAnsi="Times New Roman Regular" w:cs="Times New Roman Regular"/>
          <w:color w:val="auto"/>
          <w:sz w:val="24"/>
          <w:szCs w:val="24"/>
          <w:highlight w:val="none"/>
        </w:rPr>
        <w:t xml:space="preserve"> a meta evaluation </w:t>
      </w:r>
      <w:r>
        <w:rPr>
          <w:rFonts w:hint="default" w:ascii="Times New Roman Regular" w:hAnsi="Times New Roman Regular" w:cs="Times New Roman Regular"/>
          <w:color w:val="auto"/>
          <w:sz w:val="24"/>
          <w:szCs w:val="24"/>
        </w:rPr>
        <w:t>setting. It tests whether LLMs can grade legal reasoning with stability.We use meta-evaluation as a supplementary reliability probe and keep all automated scores subject to human audit, rather than treating them as ground truth.</w:t>
      </w:r>
    </w:p>
    <w:p w14:paraId="07595F06">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leftChars="0" w:firstLine="480" w:firstLineChars="200"/>
        <w:jc w:val="left"/>
        <w:textAlignment w:val="auto"/>
        <w:rPr>
          <w:rFonts w:hint="default" w:ascii="Times New Roman Regular" w:hAnsi="Times New Roman Regular" w:eastAsia="SimSun" w:cs="Times New Roman Regular"/>
          <w:b w:val="0"/>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Our contributions are as follows. 1. We propos</w:t>
      </w:r>
      <w:r>
        <w:rPr>
          <w:rFonts w:hint="default" w:ascii="Times New Roman Regular" w:hAnsi="Times New Roman Regular" w:eastAsia="SimSun" w:cs="Times New Roman Regular"/>
          <w:color w:val="auto"/>
          <w:kern w:val="0"/>
          <w:sz w:val="24"/>
          <w:szCs w:val="24"/>
          <w:highlight w:val="none"/>
          <w:lang w:val="en-US" w:eastAsia="zh-CN" w:bidi="ar"/>
        </w:rPr>
        <w:t xml:space="preserve">e </w:t>
      </w:r>
      <w:r>
        <w:rPr>
          <w:rFonts w:hint="eastAsia" w:ascii="Times New Roman Regular" w:hAnsi="Times New Roman Regular" w:eastAsia="SimSun" w:cs="Times New Roman Regular"/>
          <w:color w:val="auto"/>
          <w:sz w:val="24"/>
          <w:szCs w:val="24"/>
          <w:highlight w:val="none"/>
          <w:lang w:val="en-US" w:eastAsia="zh-CN"/>
        </w:rPr>
        <w:t>DV-JusticeBench</w:t>
      </w:r>
      <w:r>
        <w:rPr>
          <w:rFonts w:hint="default" w:ascii="Times New Roman Regular" w:hAnsi="Times New Roman Regular" w:eastAsia="SimSun" w:cs="Times New Roman Regular"/>
          <w:color w:val="auto"/>
          <w:kern w:val="0"/>
          <w:sz w:val="24"/>
          <w:szCs w:val="24"/>
          <w:highlight w:val="none"/>
          <w:lang w:val="en-US" w:eastAsia="zh-CN" w:bidi="ar"/>
        </w:rPr>
        <w:t>, a novel benchmark for measuring value laden adjudication in complex domestic violence cases in China. It consists of structured question answer pairs and a meta evaluation layer. It targets relational norms and public morals reasoning that are central to this domain. It also differs from prior hard reasoning tasks because both sides can be legally defensible and model outputs are long. Inter annotator agreement for the meta evaluations is at least 75 percent across five task settings. 2. We define five quantifiable dimensions that are indispensable for judicial quality in this setting, including normative basis relevance, subsumption chain alignment, key facts and issue coverage with evidence mapping, outcome and rem</w:t>
      </w:r>
      <w:r>
        <w:rPr>
          <w:rFonts w:hint="default" w:ascii="Times New Roman Regular" w:hAnsi="Times New Roman Regular" w:eastAsia="SimSun" w:cs="Times New Roman Regular"/>
          <w:color w:val="auto"/>
          <w:kern w:val="0"/>
          <w:sz w:val="24"/>
          <w:szCs w:val="24"/>
          <w:lang w:val="en-US" w:eastAsia="zh-CN" w:bidi="ar"/>
        </w:rPr>
        <w:t xml:space="preserve">edy alignment, value balancing with empathy. We operationalize these dimensions in a scoring rubric that supports automated scoring of LLM outputs and enables systematic benchmarking of state of the art LLMs as evaluators. 3. We conduct qualitative analyses to show how LLMs succeed and fail across the five dimensions. We highlight failure modes that matter most in domestic violence adjudication, where superficial care can mask weak legal warrants and where miscalibrated value judgments can intensify secondary harm. </w:t>
      </w:r>
      <w:r>
        <w:rPr>
          <w:rFonts w:hint="eastAsia" w:ascii="Times New Roman Regular" w:hAnsi="Times New Roman Regular" w:eastAsia="SimSun" w:cs="Times New Roman Regular"/>
          <w:color w:val="auto"/>
          <w:kern w:val="0"/>
          <w:sz w:val="24"/>
          <w:szCs w:val="24"/>
          <w:lang w:val="en-US" w:eastAsia="zh-CN" w:bidi="ar"/>
        </w:rPr>
        <w:t>DV-JusticeBench</w:t>
      </w:r>
      <w:r>
        <w:rPr>
          <w:rFonts w:hint="default" w:ascii="Times New Roman Regular" w:hAnsi="Times New Roman Regular" w:eastAsia="SimSun" w:cs="Times New Roman Regular"/>
          <w:color w:val="auto"/>
          <w:kern w:val="0"/>
          <w:sz w:val="24"/>
          <w:szCs w:val="24"/>
          <w:lang w:val="en-US" w:eastAsia="zh-CN" w:bidi="ar"/>
        </w:rPr>
        <w:t>, along with the prompts and scoring guidelines, is released to support reproducibility and downstream auditing.</w:t>
      </w:r>
    </w:p>
    <w:p w14:paraId="7599B1A4">
      <w:pPr>
        <w:pStyle w:val="2"/>
        <w:bidi w:val="0"/>
        <w:rPr>
          <w:rFonts w:hint="default" w:ascii="Times New Roman Regular" w:hAnsi="Times New Roman Regular" w:cs="Times New Roman Regular"/>
          <w:b/>
          <w:bCs/>
          <w:color w:val="auto"/>
          <w:sz w:val="24"/>
          <w:szCs w:val="24"/>
          <w:lang w:val="en-US" w:eastAsia="zh-CN"/>
        </w:rPr>
      </w:pPr>
      <w:r>
        <w:rPr>
          <w:rFonts w:hint="default" w:ascii="Times New Roman Regular" w:hAnsi="Times New Roman Regular" w:cs="Times New Roman Regular"/>
          <w:b/>
          <w:bCs/>
          <w:color w:val="auto"/>
          <w:sz w:val="24"/>
          <w:szCs w:val="24"/>
          <w:lang w:val="en-US" w:eastAsia="zh-CN"/>
        </w:rPr>
        <w:t>2 RELATED WORK</w:t>
      </w:r>
    </w:p>
    <w:p w14:paraId="7F62C2F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leftChars="0" w:firstLine="480" w:firstLineChars="200"/>
        <w:jc w:val="left"/>
        <w:textAlignment w:val="auto"/>
        <w:rPr>
          <w:rFonts w:hint="default" w:ascii="Times New Roman Regular" w:hAnsi="Times New Roman Regular" w:eastAsia="SimSun" w:cs="Times New Roman Regular"/>
          <w:color w:val="auto"/>
          <w:kern w:val="0"/>
          <w:sz w:val="24"/>
          <w:szCs w:val="24"/>
          <w:lang w:val="en-US" w:eastAsia="zh-CN" w:bidi="ar"/>
        </w:rPr>
      </w:pPr>
    </w:p>
    <w:p w14:paraId="0837534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eastAsiaTheme="minorEastAsia"/>
          <w:b/>
          <w:bCs/>
          <w:color w:val="auto"/>
          <w:sz w:val="24"/>
          <w:szCs w:val="24"/>
          <w:lang w:val="en-US" w:eastAsia="zh-CN"/>
        </w:rPr>
      </w:pPr>
      <w:r>
        <w:rPr>
          <w:rFonts w:hint="default" w:ascii="Times New Roman Regular" w:hAnsi="Times New Roman Regular" w:eastAsia="SimSun" w:cs="Times New Roman Regular"/>
          <w:color w:val="auto"/>
          <w:kern w:val="0"/>
          <w:sz w:val="24"/>
          <w:szCs w:val="24"/>
          <w:lang w:val="en-US" w:eastAsia="zh-CN" w:bidi="ar"/>
        </w:rPr>
        <w:t>LLMs are increasingly used for legal retrieval, judgment prediction, stance detection and argument understanding, and that trend has pushed research toward building domain specific datasets that can tune models to legal language and doctrine.</w:t>
      </w:r>
      <w:r>
        <w:rPr>
          <w:rStyle w:val="10"/>
          <w:rFonts w:hint="default" w:ascii="Times New Roman Regular" w:hAnsi="Times New Roman Regular" w:eastAsia="SimSun" w:cs="Times New Roman Regular"/>
          <w:color w:val="auto"/>
          <w:kern w:val="0"/>
          <w:sz w:val="24"/>
          <w:szCs w:val="24"/>
          <w:lang w:val="en-US" w:eastAsia="zh-CN" w:bidi="ar"/>
        </w:rPr>
        <w:t>[</w:t>
      </w:r>
      <w:r>
        <w:rPr>
          <w:rStyle w:val="10"/>
          <w:rFonts w:hint="default" w:ascii="Times New Roman Regular" w:hAnsi="Times New Roman Regular" w:eastAsia="SimSun" w:cs="Times New Roman Regular"/>
          <w:color w:val="auto"/>
          <w:kern w:val="0"/>
          <w:sz w:val="24"/>
          <w:szCs w:val="24"/>
          <w:lang w:val="en-US" w:eastAsia="zh-CN" w:bidi="ar"/>
        </w:rPr>
        <w:footnoteReference w:id="28"/>
      </w:r>
      <w:r>
        <w:rPr>
          <w:rStyle w:val="10"/>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Most existing benchmarks, however, primarily test whether a model can map facts to labels, retrieve similar cases, or pick the best holding from options.</w:t>
      </w:r>
      <w:r>
        <w:rPr>
          <w:rStyle w:val="10"/>
          <w:rFonts w:hint="default" w:ascii="Times New Roman Regular" w:hAnsi="Times New Roman Regular" w:eastAsia="SimSun" w:cs="Times New Roman Regular"/>
          <w:color w:val="auto"/>
          <w:kern w:val="0"/>
          <w:sz w:val="24"/>
          <w:szCs w:val="24"/>
          <w:lang w:val="en-US" w:eastAsia="zh-CN" w:bidi="ar"/>
        </w:rPr>
        <w:t>[</w:t>
      </w:r>
      <w:r>
        <w:rPr>
          <w:rStyle w:val="10"/>
          <w:rFonts w:hint="default" w:ascii="Times New Roman Regular" w:hAnsi="Times New Roman Regular" w:eastAsia="SimSun" w:cs="Times New Roman Regular"/>
          <w:color w:val="auto"/>
          <w:kern w:val="0"/>
          <w:sz w:val="24"/>
          <w:szCs w:val="24"/>
          <w:lang w:val="en-US" w:eastAsia="zh-CN" w:bidi="ar"/>
        </w:rPr>
        <w:footnoteReference w:id="29"/>
      </w:r>
      <w:r>
        <w:rPr>
          <w:rStyle w:val="10"/>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These tasks are useful, but they under-measure what courts must do in domestic violence disputes: weigh contested narratives, apply open textured standards, and justify protective outcomes in ways that remain socially legitimate. In contrast, we evaluate institutionally grounded justification—how models allocate evidentiary weight and justify remedies. In China, this gap is sharper because adjudication often integrates statutory application with evaluative judgments about risk, fault, protectability, and public morals. Large scale multilingual corpora further expand coverage, yet scale does not guarantee jurisdictional discipline, and it can even increase norm drift when models generalize across incompatible legal cultures.</w:t>
      </w:r>
      <w:r>
        <w:rPr>
          <w:rStyle w:val="10"/>
          <w:rFonts w:hint="default" w:ascii="Times New Roman Regular" w:hAnsi="Times New Roman Regular" w:eastAsia="SimSun" w:cs="Times New Roman Regular"/>
          <w:color w:val="auto"/>
          <w:kern w:val="0"/>
          <w:sz w:val="24"/>
          <w:szCs w:val="24"/>
          <w:lang w:val="en-US" w:eastAsia="zh-CN" w:bidi="ar"/>
        </w:rPr>
        <w:t>[</w:t>
      </w:r>
      <w:r>
        <w:rPr>
          <w:rStyle w:val="10"/>
          <w:rFonts w:hint="default" w:ascii="Times New Roman Regular" w:hAnsi="Times New Roman Regular" w:eastAsia="SimSun" w:cs="Times New Roman Regular"/>
          <w:color w:val="auto"/>
          <w:kern w:val="0"/>
          <w:sz w:val="24"/>
          <w:szCs w:val="24"/>
          <w:lang w:val="en-US" w:eastAsia="zh-CN" w:bidi="ar"/>
        </w:rPr>
        <w:footnoteReference w:id="30"/>
      </w:r>
      <w:r>
        <w:rPr>
          <w:rStyle w:val="10"/>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Recent surveys therefore frame legal LLM deployment as a governance problem, not only an accuracy problem.</w:t>
      </w:r>
      <w:r>
        <w:rPr>
          <w:rStyle w:val="10"/>
          <w:rFonts w:hint="default" w:ascii="Times New Roman Regular" w:hAnsi="Times New Roman Regular" w:eastAsia="SimSun" w:cs="Times New Roman Regular"/>
          <w:color w:val="auto"/>
          <w:kern w:val="0"/>
          <w:sz w:val="24"/>
          <w:szCs w:val="24"/>
          <w:lang w:val="en-US" w:eastAsia="zh-CN" w:bidi="ar"/>
        </w:rPr>
        <w:t>[</w:t>
      </w:r>
      <w:r>
        <w:rPr>
          <w:rStyle w:val="10"/>
          <w:rFonts w:hint="default" w:ascii="Times New Roman Regular" w:hAnsi="Times New Roman Regular" w:eastAsia="SimSun" w:cs="Times New Roman Regular"/>
          <w:color w:val="auto"/>
          <w:kern w:val="0"/>
          <w:sz w:val="24"/>
          <w:szCs w:val="24"/>
          <w:lang w:val="en-US" w:eastAsia="zh-CN" w:bidi="ar"/>
        </w:rPr>
        <w:footnoteReference w:id="31"/>
      </w:r>
      <w:r>
        <w:rPr>
          <w:rStyle w:val="10"/>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This matters for AI empathy too. Systems can sound supportive, but legal and ethical analyses stress unresolved risks around confidentiality, neutrality, inclusion, fairness, and mental health, which are precisely where synthetic empathy can obscure harmful social judgment. This motivates our focus on value laden reasoning and synthetic empathy in Chinese domestic violence adjudication, and it frames our evaluation as a test of legal and moral balancing. </w:t>
      </w:r>
    </w:p>
    <w:p w14:paraId="5EB200D7">
      <w:pPr>
        <w:pStyle w:val="3"/>
        <w:bidi w:val="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bCs w:val="0"/>
          <w:color w:val="auto"/>
          <w:sz w:val="24"/>
          <w:szCs w:val="24"/>
          <w:lang w:val="en-US" w:eastAsia="zh-CN"/>
        </w:rPr>
        <w:t>2.1 Benchmarks for Domestic Violence Cases</w:t>
      </w:r>
    </w:p>
    <w:p w14:paraId="488A4319">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In legal practice, large language models are already used to draft and manage documents, reduce turnaround time, and standardize routine client communications.</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32"/>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This makes them plausible substitutes for parts of lawyer labor, but it does not justify substituting judicial judgment. Domain tuned systems push further by combining specialized corpora with external knowledge structures and multi agent workflows, which can improve format discipline and apparent completeness in service settings.</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33"/>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However, gains in retrieval, formatting, and apparent completeness do not ensure disciplined subsumption or record-faithful remedy design under open-textured standards.</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34"/>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At the same time, these models are promoted for decision support tasks such as strategy triage, risk assessment, and outcome forecasting, and existing benchmarks report nontrivial performance on structured targets like labels and extracted fields.</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35"/>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Practice deployments also emphasize compliance and due diligence triage and chatbot style intake, which primarily improves throughput at early stages.</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36"/>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Even work on statutory simplification using retrieval and strong models finds the output useful as preliminary support but unreliable as an end to end pipeline, which cautions against claims of adjudicative replacement.</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37"/>
      </w:r>
      <w:r>
        <w:rPr>
          <w:rStyle w:val="10"/>
          <w:rFonts w:hint="default" w:ascii="Times New Roman Regular" w:hAnsi="Times New Roman Regular" w:cs="Times New Roman Regular"/>
          <w:color w:val="auto"/>
          <w:sz w:val="24"/>
          <w:szCs w:val="24"/>
        </w:rPr>
        <w:t>]</w:t>
      </w:r>
    </w:p>
    <w:p w14:paraId="6D1474D8">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firstLine="480" w:firstLineChars="200"/>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The core benchmarking risk is that helpfulness and fluency can be rewarded even when legal reliability fails. This motivates separating surface-level helpfulness from operational reliability, including hard failures such as fabricated authority and record-inconsistent reasoning</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Systems may generate answers that users rate as more helpful than humans, while still fabricating facts and inventing legal texts, which is a uniquely dangerous error mode in law.</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38"/>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Anchoring evaluation in general web sources is also weak, because legal authority is not guaranteed by accessibility, and domain specificity can defeat encyclopedic baselines.</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39"/>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Process based evaluation therefore argues that legal assistance should be tested as a workflow, including how it elicits user needs and justifies advice, rather than as a single answer.</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40"/>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Hybrid designs that combine conversational flexibility with structured expert system constraints follow from this logic. Recent architectures move in that direction through retrieval augmentation, knowledge graphs, and domain model collaboration, yet they still mainly optimize correctness and coverage, not discretionary value balancing.</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41"/>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This matters most in domestic violence adjudication, where legal and ethical analyses highlight unresolved risks around confidentiality, neutrality, inclusion, fairness, and mental health.</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42"/>
      </w:r>
      <w:r>
        <w:rPr>
          <w:rStyle w:val="10"/>
          <w:rFonts w:hint="default" w:ascii="Times New Roman Regular" w:hAnsi="Times New Roman Regular" w:cs="Times New Roman Regular"/>
          <w:color w:val="auto"/>
          <w:sz w:val="24"/>
          <w:szCs w:val="24"/>
        </w:rPr>
        <w:t>]</w:t>
      </w:r>
    </w:p>
    <w:p w14:paraId="5FE6E131">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leftChars="0" w:firstLine="480" w:firstLineChars="200"/>
        <w:jc w:val="left"/>
        <w:textAlignment w:val="auto"/>
        <w:rPr>
          <w:rFonts w:hint="default" w:ascii="Times New Roman Regular" w:hAnsi="Times New Roman Regular" w:eastAsia="NimbusRomNo9L-Regu"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In addition, in legal reasoning, many benchmarks still reward answer matching more than legally accountable justification. Legal disputes rarely have one correct resolution, especially once they reach litigation or appellate review.</w:t>
      </w:r>
      <w:r>
        <w:rPr>
          <w:rStyle w:val="10"/>
          <w:rFonts w:hint="default" w:ascii="Times New Roman Regular" w:hAnsi="Times New Roman Regular" w:eastAsia="SimSun" w:cs="Times New Roman Regular"/>
          <w:color w:val="auto"/>
          <w:kern w:val="0"/>
          <w:sz w:val="24"/>
          <w:szCs w:val="24"/>
          <w:lang w:val="en-US" w:eastAsia="zh-CN" w:bidi="ar"/>
        </w:rPr>
        <w:t>[</w:t>
      </w:r>
      <w:r>
        <w:rPr>
          <w:rStyle w:val="10"/>
          <w:rFonts w:hint="default" w:ascii="Times New Roman Regular" w:hAnsi="Times New Roman Regular" w:eastAsia="SimSun" w:cs="Times New Roman Regular"/>
          <w:color w:val="auto"/>
          <w:kern w:val="0"/>
          <w:sz w:val="24"/>
          <w:szCs w:val="24"/>
          <w:lang w:val="en-US" w:eastAsia="zh-CN" w:bidi="ar"/>
        </w:rPr>
        <w:footnoteReference w:id="43"/>
      </w:r>
      <w:r>
        <w:rPr>
          <w:rStyle w:val="10"/>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Accordingly, multi-dimensional rubrics are better suited to capture legally accountable reasoning when multiple outcomes remain defensible. This problem is structural in legal QA suites and NLI style datasets, where the task often collapses discretion into a single label or option.</w:t>
      </w:r>
      <w:r>
        <w:rPr>
          <w:rStyle w:val="10"/>
          <w:rFonts w:hint="default" w:ascii="Times New Roman Regular" w:hAnsi="Times New Roman Regular" w:eastAsia="SimSun" w:cs="Times New Roman Regular"/>
          <w:color w:val="auto"/>
          <w:kern w:val="0"/>
          <w:sz w:val="24"/>
          <w:szCs w:val="24"/>
          <w:lang w:val="en-US" w:eastAsia="zh-CN" w:bidi="ar"/>
        </w:rPr>
        <w:t>[</w:t>
      </w:r>
      <w:r>
        <w:rPr>
          <w:rStyle w:val="10"/>
          <w:rFonts w:hint="default" w:ascii="Times New Roman Regular" w:hAnsi="Times New Roman Regular" w:eastAsia="SimSun" w:cs="Times New Roman Regular"/>
          <w:color w:val="auto"/>
          <w:kern w:val="0"/>
          <w:sz w:val="24"/>
          <w:szCs w:val="24"/>
          <w:lang w:val="en-US" w:eastAsia="zh-CN" w:bidi="ar"/>
        </w:rPr>
        <w:footnoteReference w:id="44"/>
      </w:r>
      <w:r>
        <w:rPr>
          <w:rStyle w:val="10"/>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That design can test vocabulary and issue spotting, but it cannot show whether a model can build a defensible bridge from norms to contested facts. Frontier models also look strong on exam style settings, which signals growing legal knowledge, but it still does not guarantee sound reasoning under open textured standards.</w:t>
      </w:r>
      <w:r>
        <w:rPr>
          <w:rStyle w:val="10"/>
          <w:rFonts w:hint="default" w:ascii="Times New Roman Regular" w:hAnsi="Times New Roman Regular" w:eastAsia="SimSun" w:cs="Times New Roman Regular"/>
          <w:color w:val="auto"/>
          <w:kern w:val="0"/>
          <w:sz w:val="24"/>
          <w:szCs w:val="24"/>
          <w:lang w:val="en-US" w:eastAsia="zh-CN" w:bidi="ar"/>
        </w:rPr>
        <w:t>[</w:t>
      </w:r>
      <w:r>
        <w:rPr>
          <w:rStyle w:val="10"/>
          <w:rFonts w:hint="default" w:ascii="Times New Roman Regular" w:hAnsi="Times New Roman Regular" w:eastAsia="SimSun" w:cs="Times New Roman Regular"/>
          <w:color w:val="auto"/>
          <w:kern w:val="0"/>
          <w:sz w:val="24"/>
          <w:szCs w:val="24"/>
          <w:lang w:val="en-US" w:eastAsia="zh-CN" w:bidi="ar"/>
        </w:rPr>
        <w:footnoteReference w:id="45"/>
      </w:r>
      <w:r>
        <w:rPr>
          <w:rStyle w:val="10"/>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Some newer benchmarks therefore move closer to judicial writing and adversarial argumentation. They evaluate whether models can support opposing outcomes and whether their citations and warrants remain valid under pressure.</w:t>
      </w:r>
      <w:r>
        <w:rPr>
          <w:rStyle w:val="10"/>
          <w:rFonts w:hint="default" w:ascii="Times New Roman Regular" w:hAnsi="Times New Roman Regular" w:eastAsia="SimSun" w:cs="Times New Roman Regular"/>
          <w:color w:val="auto"/>
          <w:kern w:val="0"/>
          <w:sz w:val="24"/>
          <w:szCs w:val="24"/>
          <w:lang w:val="en-US" w:eastAsia="zh-CN" w:bidi="ar"/>
        </w:rPr>
        <w:t>[</w:t>
      </w:r>
      <w:r>
        <w:rPr>
          <w:rStyle w:val="10"/>
          <w:rFonts w:hint="default" w:ascii="Times New Roman Regular" w:hAnsi="Times New Roman Regular" w:eastAsia="SimSun" w:cs="Times New Roman Regular"/>
          <w:color w:val="auto"/>
          <w:kern w:val="0"/>
          <w:sz w:val="24"/>
          <w:szCs w:val="24"/>
          <w:lang w:val="en-US" w:eastAsia="zh-CN" w:bidi="ar"/>
        </w:rPr>
        <w:footnoteReference w:id="46"/>
      </w:r>
      <w:r>
        <w:rPr>
          <w:rStyle w:val="10"/>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These findings motivate a stricter framing for domestic violence evaluation. The central question is not whether a model can answer like a student. It is whether it can justify protective judgment without laundering intuition into legal form.</w:t>
      </w:r>
    </w:p>
    <w:p w14:paraId="58E86724">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firstLine="480" w:firstLineChars="200"/>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color w:val="auto"/>
          <w:sz w:val="24"/>
          <w:szCs w:val="24"/>
        </w:rPr>
        <w:t>In research on LLM assisted work in value and emotion sensitive settings, legal QA is often framed as an access to justice tool. One line of work shows that a strong model can help de escalate conflict in online dispute resolution by rewriting inflammatory messages and suggesting mediator interventions, which treats language as a lever for procedural fairness.</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47"/>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Educational studies also show a pattern that matters for domestic violence: models tend to perform better on essay style explanation than on issue spotting in fact rich scenarios, which is exactly where victims need careful framing and legally disciplined care.</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48"/>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Prompting methods such as chain of thought and IRAC can improve structure and coherence, but the hardest failures still involve applying local law to messy facts.</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49"/>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Legal practice commentaries reach a similar conclusion: the tool can assist, yet it cannot replace litigation judgment when current law, evidence strategy, and credibility are contested.</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50"/>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lang w:val="en-US" w:eastAsia="zh-CN"/>
        </w:rPr>
        <w:t xml:space="preserve"> </w:t>
      </w:r>
    </w:p>
    <w:p w14:paraId="5E704DF5">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firstLine="480" w:firstLineChars="200"/>
        <w:textAlignment w:val="auto"/>
        <w:rPr>
          <w:rFonts w:hint="default" w:ascii="Times New Roman Regular" w:hAnsi="Times New Roman Regular" w:cs="Times New Roman Regular"/>
          <w:b/>
          <w:bCs/>
          <w:color w:val="auto"/>
          <w:sz w:val="24"/>
          <w:szCs w:val="24"/>
          <w:highlight w:val="none"/>
          <w:lang w:val="en-US" w:eastAsia="zh-CN"/>
        </w:rPr>
      </w:pPr>
      <w:r>
        <w:rPr>
          <w:rFonts w:hint="default" w:ascii="Times New Roman Regular" w:hAnsi="Times New Roman Regular" w:cs="Times New Roman Regular"/>
          <w:color w:val="auto"/>
          <w:sz w:val="24"/>
          <w:szCs w:val="24"/>
        </w:rPr>
        <w:t>At the same time, existing domestic violence datasets largely support detection and prevalence research, not adjudicative reasoning that integrates law, public morals, and relational context.</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51"/>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Foundational social science work maps DV drivers such as masculinity, patriarchy, culture, and household bargaining, and formal concept analysis clarifies how DV categories travel across settings, but these contributions do not yield benchmarks for legal justification.</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52"/>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Disagreement about who counts as victim or perpetrator, including male victimization and female perpetration, further shows why moral labeling can distort rather than illuminate legal evaluation.</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53"/>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Many ML datasets rely on surveys and questionnaires, which scale but can lose realism, while incidence estimation studies face similar limits when they depend on legacy surveys.</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54"/>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Text based corpora from child welfare records and social media offer more direct behavioral signals, yet they still lack the courtroom perspective on proof, narrative contestation, and remedial choice.</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55"/>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w:t>
      </w:r>
      <w:r>
        <w:rPr>
          <w:rFonts w:hint="default" w:ascii="Times New Roman Regular" w:hAnsi="Times New Roman Regular" w:cs="Times New Roman Regular"/>
          <w:color w:val="auto"/>
          <w:sz w:val="24"/>
          <w:szCs w:val="24"/>
          <w:lang w:val="en-US" w:eastAsia="zh-CN"/>
        </w:rPr>
        <w:t>T</w:t>
      </w:r>
      <w:r>
        <w:rPr>
          <w:rFonts w:hint="default" w:ascii="Times New Roman Regular" w:hAnsi="Times New Roman Regular" w:cs="Times New Roman Regular"/>
          <w:color w:val="auto"/>
          <w:sz w:val="24"/>
          <w:szCs w:val="24"/>
        </w:rPr>
        <w:t>hese gaps point to the need for benchmarks that test relational understanding and empathy in legally risky contexts, rather than treating affect as a cosmetic add on.</w:t>
      </w:r>
    </w:p>
    <w:p w14:paraId="1B07FCEC">
      <w:pPr>
        <w:pStyle w:val="3"/>
        <w:bidi w:val="0"/>
        <w:rPr>
          <w:rFonts w:hint="default" w:ascii="Times New Roman Regular" w:hAnsi="Times New Roman Regular" w:cs="Times New Roman Regular"/>
          <w:b/>
          <w:bCs w:val="0"/>
          <w:color w:val="auto"/>
          <w:sz w:val="24"/>
          <w:szCs w:val="24"/>
          <w:lang w:val="en-US" w:eastAsia="zh-CN"/>
        </w:rPr>
      </w:pPr>
      <w:r>
        <w:rPr>
          <w:rFonts w:hint="default" w:ascii="Times New Roman Regular" w:hAnsi="Times New Roman Regular" w:cs="Times New Roman Regular"/>
          <w:b/>
          <w:bCs w:val="0"/>
          <w:color w:val="auto"/>
          <w:sz w:val="24"/>
          <w:szCs w:val="24"/>
          <w:lang w:val="en-US" w:eastAsia="zh-CN"/>
        </w:rPr>
        <w:t>2.2 Implicit Standards and Normative Judgments</w:t>
      </w:r>
    </w:p>
    <w:p w14:paraId="47A2ED37">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Domestic violence adjudication in China forces courts to translate private narratives into public legal categories. The statutory definition of domestic violence leaves room for judgment, especially when violence is episodic, psychological, or tied to ongoing family roles.</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56"/>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Discretion then shapes whether violence is legally recognized and whether it is treated as enough to show an irretrievable marital breakdown. That choice often affects divorce, damages, custody, and related remedies. Protection order practice adds another layer. The Anti Domestic Violence Law created a personal safety protection order mechanism, and an application is not contingent upon filing for divorce.</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57"/>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In later litigation, a prior grant or denial often becomes a practical signal about risk and protectability.</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58"/>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Typical cases released by the Supreme People’s Court amplify these signals. They also package a court approved moral frame for public uptake.</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59"/>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rPr>
        <w:t>Even so, judges do not decide only by matching facts to a rule. They apply implicit standards that are rarely codified as formal elements. Those standards shape whose story is legible and whose fear is treated as reasonable. Empirical comparisons show that the same statutory language can yield different outcomes across local contexts. That variance often tracks different understandings of family stability and social stability. This produces a stable pattern of value laden judgment that operates through legal form. It also functions as social sorting.</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60"/>
      </w:r>
      <w:r>
        <w:rPr>
          <w:rStyle w:val="10"/>
          <w:rFonts w:hint="default" w:ascii="Times New Roman Regular" w:hAnsi="Times New Roman Regular" w:cs="Times New Roman Regular"/>
          <w:color w:val="auto"/>
          <w:sz w:val="24"/>
          <w:szCs w:val="24"/>
        </w:rPr>
        <w:t>]</w:t>
      </w:r>
    </w:p>
    <w:p w14:paraId="47151A0B">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One recurring cluster concerns persistence and severity. Courts often distinguish ordinary conflict from domestic violence by asking whether conduct looks patterned and whether harm looks serious enough to justify state intervention.</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61"/>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In protection order cases, isolated incidents are frequently discounted even when some objective proof exists. Severity is commonly operationalized through visible injury or other externally verifiable outcomes. That creates a bias toward physical harm and against psychological abuse unless it produces measurable consequences.</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62"/>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Typical case narratives reinforce this threshold. They repeatedly emphasize frequency, duration, and escalation as markers of domestic violence. Similar dynamics appear in other systems, where prior history often drives judicial risk assessment.</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63"/>
      </w:r>
      <w:r>
        <w:rPr>
          <w:rStyle w:val="10"/>
          <w:rFonts w:hint="default" w:ascii="Times New Roman Regular" w:hAnsi="Times New Roman Regular" w:cs="Times New Roman Regular"/>
          <w:color w:val="auto"/>
          <w:sz w:val="24"/>
          <w:szCs w:val="24"/>
        </w:rPr>
        <w:t>]</w:t>
      </w:r>
    </w:p>
    <w:p w14:paraId="2E511B1D">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A separate cluster concerns evidence appraisal. Domestic violence is hard to prove because it often occurs in private. Survivors also may lack access to corroborating documents.</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64"/>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Chinese decisions often reward a complete evidentiary chain. They often discount single source claims, especially when proof is limited to a survivor’s statement or self produced materials.</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Protection order decisions show the same preference. Medical records and police materials often anchor findings, while gaps in official documentation raise the probability of denial. This institutional preference is not unique to China. Evidence scholarship on civil domestic violence disputes shows how evidentiary rules and credibility heuristics can decide cases before the merits are reached.</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65"/>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Documentation tied to policing can also shape downstream institutional responses.</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66"/>
      </w:r>
      <w:r>
        <w:rPr>
          <w:rStyle w:val="10"/>
          <w:rFonts w:hint="default" w:ascii="Times New Roman Regular" w:hAnsi="Times New Roman Regular" w:cs="Times New Roman Regular"/>
          <w:color w:val="auto"/>
          <w:sz w:val="24"/>
          <w:szCs w:val="24"/>
        </w:rPr>
        <w:t>]</w:t>
      </w:r>
    </w:p>
    <w:p w14:paraId="502F5172">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Another cluster concerns attribution of responsibility and credibility. Courts often rely on implicit expectations about how a credible victim should behave. Work on the ideal victim shows that deviation from expected demeanor can be reframed as unreliability or noncooperation.</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67"/>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That dynamic is intensified by trauma related inconsistency and survival strategies that look irrational from the outside.</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68"/>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Chinese practice also shows a partial corrective move. In at least one typical case, the court stated that </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delayed reporting aligns with the behavioral patterns of domestic violence victims,</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and treated delay as non dispositive.</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69"/>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Even this corrective can harden into a new template. The risk remains that courts reward the right narrative form rather than the underlying harm.</w:t>
      </w:r>
    </w:p>
    <w:p w14:paraId="3E9F9C96">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bCs/>
          <w:color w:val="auto"/>
          <w:kern w:val="0"/>
          <w:sz w:val="24"/>
          <w:szCs w:val="24"/>
          <w:highlight w:val="none"/>
          <w:lang w:val="en-US" w:eastAsia="zh-CN" w:bidi="ar"/>
        </w:rPr>
      </w:pPr>
      <w:r>
        <w:rPr>
          <w:rFonts w:hint="default" w:ascii="Times New Roman Regular" w:hAnsi="Times New Roman Regular" w:cs="Times New Roman Regular"/>
          <w:color w:val="auto"/>
          <w:sz w:val="24"/>
          <w:szCs w:val="24"/>
        </w:rPr>
        <w:t>Public order and good morals form another implicit standard. When violence spills into public space or challenges authorities, courts are more likely to treat the case as socially significant rather than purely domestic. Judges decide against the backdrop of local culture, custom, and material conditions. Those contexts shape how public order and good morals are understood in practice. In settings where family stability is treated as the dominant social good, and where survivors may be economically dependent on the abuser, judges may discount violence and push toward preserving the household. In other settings, courts treat anti violence enforcement as a core part of social stability.</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70"/>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Public messaging around typical cases also warns against overreading doctrinal moves as broad redefinitions of family. That messaging can shape what the public expects and what courts think they are signaling.</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71"/>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These implicit standards are the practical target for evaluation. They reveal what legally disciplined empathy looks like in this domain.</w:t>
      </w:r>
    </w:p>
    <w:p w14:paraId="5B817490">
      <w:pPr>
        <w:pStyle w:val="3"/>
        <w:bidi w:val="0"/>
        <w:rPr>
          <w:rFonts w:hint="default" w:ascii="Times New Roman Regular" w:hAnsi="Times New Roman Regular" w:cs="Times New Roman Regular"/>
          <w:b/>
          <w:bCs w:val="0"/>
          <w:color w:val="auto"/>
          <w:sz w:val="24"/>
          <w:szCs w:val="24"/>
          <w:lang w:val="en-US" w:eastAsia="zh-CN"/>
        </w:rPr>
      </w:pPr>
      <w:r>
        <w:rPr>
          <w:rFonts w:hint="default" w:ascii="Times New Roman Regular" w:hAnsi="Times New Roman Regular" w:cs="Times New Roman Regular"/>
          <w:b/>
          <w:bCs w:val="0"/>
          <w:color w:val="auto"/>
          <w:sz w:val="24"/>
          <w:szCs w:val="24"/>
          <w:lang w:val="en-US" w:eastAsia="zh-CN"/>
        </w:rPr>
        <w:t>2.3 AI Empathy and Social Judgement</w:t>
      </w:r>
    </w:p>
    <w:p w14:paraId="7FF766BA">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LLMs can produce empathic language, but empathic judgment is harder. Human empathy has cognitive, affective, and motivational components.</w:t>
      </w:r>
      <w:r>
        <w:rPr>
          <w:rFonts w:hint="default" w:ascii="Times New Roman Regular" w:hAnsi="Times New Roman Regular" w:cs="Times New Roman Regular"/>
          <w:color w:val="auto"/>
          <w:sz w:val="24"/>
          <w:szCs w:val="24"/>
          <w:lang w:val="en-US"/>
        </w:rPr>
        <w:t xml:space="preserve"> From an evaluation standpoint, the key question is whether supportive language is paired with traceable warrants and record-faithful reasoning.</w:t>
      </w:r>
      <w:r>
        <w:rPr>
          <w:rFonts w:hint="default" w:ascii="Times New Roman Regular" w:hAnsi="Times New Roman Regular" w:cs="Times New Roman Regular"/>
          <w:color w:val="auto"/>
          <w:sz w:val="24"/>
          <w:szCs w:val="24"/>
        </w:rPr>
        <w:t xml:space="preserve"> Current systems largely approximate the cognitive layer through surface-level linguistic patterning, typically expressed as a generic, empathetic tone.</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72"/>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This matters in domestic violence disputes because the user often seeks recognition and protection, not only polite wording. Institutional settings also push survivors to narrate harm in legible ways, which can distort what a model learns to treat as credible.</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73"/>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Source attribution changes how empathy is received. Identical content is rated as more empathic and supportive when it is labeled as human rather than AI.</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74"/>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This gap reflects perceived effort and moral stake. It limits what synthetic empathy can deliver in victim facing support. At the same time, some users apply a machine heuristic and treat AI outputs as more objective than human judgments.</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75"/>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That perception can lower vigilance toward embedded value choices, which is risky in adjudication adjacent settings.</w:t>
      </w:r>
    </w:p>
    <w:p w14:paraId="60523C8A">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 xml:space="preserve">Cultural contextual intelligence is a distinct bottleneck in China specific domestic violence contexts. Key </w:t>
      </w:r>
      <w:r>
        <w:rPr>
          <w:rFonts w:hint="default" w:ascii="Times New Roman Regular" w:hAnsi="Times New Roman Regular" w:cs="Times New Roman Regular"/>
          <w:color w:val="auto"/>
          <w:sz w:val="24"/>
          <w:szCs w:val="24"/>
          <w:lang w:val="en-US"/>
        </w:rPr>
        <w:t>Conceptions like “guanxi”(relationship), “mianzi”(face), “forbearance”</w:t>
      </w:r>
      <w:r>
        <w:rPr>
          <w:rFonts w:hint="default" w:ascii="Times New Roman Regular" w:hAnsi="Times New Roman Regular" w:cs="Times New Roman Regular"/>
          <w:color w:val="auto"/>
          <w:sz w:val="24"/>
          <w:szCs w:val="24"/>
        </w:rPr>
        <w:t xml:space="preserve"> </w:t>
      </w:r>
      <w:r>
        <w:rPr>
          <w:rFonts w:hint="default" w:ascii="Times New Roman Regular" w:hAnsi="Times New Roman Regular" w:cs="Times New Roman Regular"/>
          <w:color w:val="auto"/>
          <w:sz w:val="24"/>
          <w:szCs w:val="24"/>
          <w:lang w:val="en-US"/>
        </w:rPr>
        <w:t>and “family”</w:t>
      </w:r>
      <w:r>
        <w:rPr>
          <w:rFonts w:hint="default" w:ascii="Times New Roman Regular" w:hAnsi="Times New Roman Regular" w:cs="Times New Roman Regular"/>
          <w:color w:val="auto"/>
          <w:sz w:val="24"/>
          <w:szCs w:val="24"/>
        </w:rPr>
        <w:t xml:space="preserve"> function as dynamic practices, not stable labels. They involve situational tradeoffs, moral accounting, and strategic restraint. Work on artificial empathy stresses that models do not access the underlying ethical weight of these practices, especially when a term like forbearance can encode shame, sacrifice, and long horizon calculation.</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76"/>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In domestic violence assessments, a model may treat coping behaviors that reflect face or family duties as inconsistency. It may read them as weak credibility or low urgency. That conversion from culturally shaped survival strategy to adverse inference can create secondary institutional harm.</w:t>
      </w:r>
    </w:p>
    <w:p w14:paraId="2D05B95F">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b/>
          <w:bCs w:val="0"/>
          <w:color w:val="auto"/>
          <w:sz w:val="24"/>
          <w:szCs w:val="24"/>
          <w:lang w:val="en-US" w:eastAsia="zh-CN"/>
        </w:rPr>
      </w:pPr>
      <w:r>
        <w:rPr>
          <w:rFonts w:hint="default" w:ascii="Times New Roman Regular" w:hAnsi="Times New Roman Regular" w:cs="Times New Roman Regular"/>
          <w:color w:val="auto"/>
          <w:sz w:val="24"/>
          <w:szCs w:val="24"/>
        </w:rPr>
        <w:t>Bias and accountability risks follow from the same structure. Domestic violence adjudication relies on open textured criteria and value judgments, so model outputs are not neutral. Evidence from judgment settings shows that LLMs can replicate human like biases and can also be pushed by nonevidentiary cues.</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77"/>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Evidence from generative imaging shows systematic underrepresentation and stereotype reinforcement, even when users expect neutrality.</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78"/>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When doctrine is vague, the model will default to dominant patterns in training data. That can yield inconsistent value judgments and weak traceability. The absence of genuine moral agency also complicates accountability when harm occurs.</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79"/>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The practical implication is narrow: improving accuracy alone is insufficient. The harder target is preventing compassion illusion and surfacing value choices that would otherwise hide inside fluent prose.</w:t>
      </w:r>
    </w:p>
    <w:p w14:paraId="45F8B6F1">
      <w:pPr>
        <w:pStyle w:val="2"/>
        <w:bidi w:val="0"/>
        <w:rPr>
          <w:rFonts w:hint="default" w:ascii="Times New Roman Regular" w:hAnsi="Times New Roman Regular" w:cs="Times New Roman Regular"/>
          <w:b/>
          <w:bCs/>
          <w:color w:val="auto"/>
          <w:sz w:val="24"/>
          <w:szCs w:val="24"/>
          <w:lang w:val="en-US" w:eastAsia="zh-CN"/>
        </w:rPr>
      </w:pPr>
      <w:r>
        <w:rPr>
          <w:rFonts w:hint="default" w:ascii="Times New Roman Regular" w:hAnsi="Times New Roman Regular" w:cs="Times New Roman Regular"/>
          <w:b/>
          <w:bCs/>
          <w:color w:val="auto"/>
          <w:sz w:val="24"/>
          <w:szCs w:val="24"/>
          <w:lang w:val="en-US" w:eastAsia="zh-CN"/>
        </w:rPr>
        <w:t>3 METHODS</w:t>
      </w:r>
    </w:p>
    <w:p w14:paraId="4519EE1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eastAsia="SimSun" w:cs="Times New Roman Regular"/>
          <w:color w:val="auto"/>
          <w:kern w:val="0"/>
          <w:sz w:val="24"/>
          <w:szCs w:val="24"/>
          <w:lang w:val="en-US" w:eastAsia="zh-CN" w:bidi="ar"/>
        </w:rPr>
      </w:pPr>
    </w:p>
    <w:p w14:paraId="59AB916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eastAsia="SimSun" w:cs="Times New Roman Regular"/>
          <w:color w:val="auto"/>
          <w:kern w:val="0"/>
          <w:sz w:val="24"/>
          <w:szCs w:val="24"/>
          <w:lang w:val="en-US" w:eastAsia="zh-CN" w:bidi="ar"/>
        </w:rPr>
        <w:t>Before detailing the workflow, we specify two implementation choices that directly affect internal validity. First, we fix the sampling temperature. Higher temperatures increase output variance and stylistic novelty, but they also reduce doctrinal stability and can amplify hallucinations.</w:t>
      </w:r>
      <w:r>
        <w:rPr>
          <w:rStyle w:val="10"/>
          <w:rFonts w:hint="default" w:ascii="Times New Roman Regular" w:hAnsi="Times New Roman Regular" w:eastAsia="SimSun" w:cs="Times New Roman Regular"/>
          <w:color w:val="auto"/>
          <w:kern w:val="0"/>
          <w:sz w:val="24"/>
          <w:szCs w:val="24"/>
          <w:lang w:val="en-US" w:eastAsia="zh-CN" w:bidi="ar"/>
        </w:rPr>
        <w:t>[</w:t>
      </w:r>
      <w:r>
        <w:rPr>
          <w:rStyle w:val="10"/>
          <w:rFonts w:hint="default" w:ascii="Times New Roman Regular" w:hAnsi="Times New Roman Regular" w:eastAsia="SimSun" w:cs="Times New Roman Regular"/>
          <w:color w:val="auto"/>
          <w:kern w:val="0"/>
          <w:sz w:val="24"/>
          <w:szCs w:val="24"/>
          <w:lang w:val="en-US" w:eastAsia="zh-CN" w:bidi="ar"/>
        </w:rPr>
        <w:footnoteReference w:id="80"/>
      </w:r>
      <w:r>
        <w:rPr>
          <w:rStyle w:val="10"/>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We therefore use a moderate temperature selected with input from practicing legal experts to balance reasoning richness with reliability. Second, we control for conversational carryover by evaluating each case in a new chat session with identical, standardized inputs. Every run starts from a clean state, so earlier interactions cannot influence later outputs. This improves cross-case comparability and reduces confounds tied to memory and context accumulation. Together, these controls mitigate common LLM failure modes, making it unlikely that residual model artifacts drive our primary results.</w:t>
      </w:r>
    </w:p>
    <w:p w14:paraId="67F742DF">
      <w:pPr>
        <w:pStyle w:val="3"/>
        <w:bidi w:val="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bCs w:val="0"/>
          <w:color w:val="auto"/>
          <w:sz w:val="24"/>
          <w:szCs w:val="24"/>
          <w:lang w:val="en-US" w:eastAsia="zh-CN"/>
        </w:rPr>
        <w:t xml:space="preserve">3.1 Dataset </w:t>
      </w:r>
    </w:p>
    <w:p w14:paraId="301C5000">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LLMs are increasingly used in value and emotion sensitive settings. Most existing domestic violence datasets still focus on detection and prevalence, not adjudicative judgment. Our benchmark therefore targets decisions where outcomes turn on public morals, relational norms, and discretionary legal standards. We build the dataset from Chinese judicial opinions. Sources include the Supreme People’s Court 2025 anti domestic violence typical cases and the China Judgments Online database.</w:t>
      </w:r>
    </w:p>
    <w:p w14:paraId="7F373C22">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firstLine="480" w:firstLineChars="200"/>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We sample 10</w:t>
      </w:r>
      <w:r>
        <w:rPr>
          <w:rFonts w:hint="default" w:ascii="Times New Roman Regular" w:hAnsi="Times New Roman Regular" w:cs="Times New Roman Regular"/>
          <w:color w:val="auto"/>
          <w:sz w:val="24"/>
          <w:szCs w:val="24"/>
          <w:lang w:val="en-US" w:eastAsia="zh-CN"/>
        </w:rPr>
        <w:t>8</w:t>
      </w:r>
      <w:r>
        <w:rPr>
          <w:rFonts w:hint="default" w:ascii="Times New Roman Regular" w:hAnsi="Times New Roman Regular" w:cs="Times New Roman Regular"/>
          <w:color w:val="auto"/>
          <w:sz w:val="24"/>
          <w:szCs w:val="24"/>
        </w:rPr>
        <w:t xml:space="preserve"> civil and criminal cases from 2023 to 2025. We prioritize cases with contested narratives, dense reasoning, and detailed party submissions. These features make value balancing visible in the text. Typical cases are especially informative. They are curated to guide lower courts and to show how evidence appraisal and protective measures should be justified in hard scenarios.</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rPr>
        <w:t>This setting also fits our research question. Chinese adjudication is a hybrid model. Judges actively examine evidence and clarify facts, while parties still present arguments and contest claims.</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81"/>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Courts justify outcomes through statutes and also through fairness and social effects when doctrine is open textured.</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rPr>
        <w:t>For each judgment, we performed an initial segmentation into background facts, keywords, court reasoning, and disposition using</w:t>
      </w:r>
      <w:r>
        <w:rPr>
          <w:rFonts w:hint="default" w:ascii="Times New Roman Regular" w:hAnsi="Times New Roman Regular" w:cs="Times New Roman Regular"/>
          <w:color w:val="FF0000"/>
          <w:sz w:val="24"/>
          <w:szCs w:val="24"/>
        </w:rPr>
        <w:t xml:space="preserve"> </w:t>
      </w:r>
      <w:r>
        <w:rPr>
          <w:rFonts w:hint="eastAsia" w:ascii="Times New Roman Regular" w:hAnsi="Times New Roman Regular" w:cs="Times New Roman Regular"/>
          <w:color w:val="FF0000"/>
          <w:sz w:val="24"/>
          <w:szCs w:val="24"/>
          <w:lang w:eastAsia="zh-CN"/>
        </w:rPr>
        <w:t>DeepSeek-V3</w:t>
      </w:r>
      <w:r>
        <w:rPr>
          <w:rFonts w:hint="default" w:ascii="Times New Roman Regular" w:hAnsi="Times New Roman Regular" w:cs="Times New Roman Regular"/>
          <w:color w:val="auto"/>
          <w:sz w:val="24"/>
          <w:szCs w:val="24"/>
        </w:rPr>
        <w:t xml:space="preserve"> extraction, followed by a full human pass to verify and correct all boundaries and contents to ensure fidelity to the source text.</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rPr>
        <w:t>We then de identify and lightly paraphrase the background and outcome. This reduces verbatim overlap while preserving legally material facts and dispute structure. From each case, we write five structured dispute questions. This yields 5</w:t>
      </w:r>
      <w:r>
        <w:rPr>
          <w:rFonts w:hint="default" w:ascii="Times New Roman Regular" w:hAnsi="Times New Roman Regular" w:cs="Times New Roman Regular"/>
          <w:color w:val="auto"/>
          <w:sz w:val="24"/>
          <w:szCs w:val="24"/>
          <w:lang w:val="en-US" w:eastAsia="zh-CN"/>
        </w:rPr>
        <w:t>40</w:t>
      </w:r>
      <w:r>
        <w:rPr>
          <w:rFonts w:hint="default" w:ascii="Times New Roman Regular" w:hAnsi="Times New Roman Regular" w:cs="Times New Roman Regular"/>
          <w:color w:val="auto"/>
          <w:sz w:val="24"/>
          <w:szCs w:val="24"/>
        </w:rPr>
        <w:t xml:space="preserve"> questions in total. We report cross-model results on a fixed expert-curated subset to ensure comparability under model-specific refusal behavior and sensitive-content handling</w:t>
      </w:r>
      <w:r>
        <w:rPr>
          <w:rFonts w:hint="default" w:ascii="Times New Roman Regular" w:hAnsi="Times New Roman Regular" w:cs="Times New Roman Regular"/>
          <w:color w:val="auto"/>
          <w:sz w:val="24"/>
          <w:szCs w:val="24"/>
          <w:lang w:val="en-US"/>
        </w:rPr>
        <w:t>. T</w:t>
      </w:r>
      <w:r>
        <w:rPr>
          <w:rFonts w:hint="default" w:ascii="Times New Roman Regular" w:hAnsi="Times New Roman Regular" w:cs="Times New Roman Regular"/>
          <w:color w:val="auto"/>
          <w:sz w:val="24"/>
          <w:szCs w:val="24"/>
        </w:rPr>
        <w:t>he subset includes Supreme People’s Court typical cases.</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 xml:space="preserve">The questions target normative decision points rather than fact recall. They cover abuse characterization, risk and persistence, evidence appraisal, victim responsibility attribution, and public morals and relationship context. </w:t>
      </w:r>
    </w:p>
    <w:p w14:paraId="6C4BD357">
      <w:pPr>
        <w:pStyle w:val="3"/>
        <w:bidi w:val="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bCs w:val="0"/>
          <w:color w:val="auto"/>
          <w:sz w:val="24"/>
          <w:szCs w:val="24"/>
          <w:lang w:val="en-US" w:eastAsia="zh-CN"/>
        </w:rPr>
        <w:t>3.2 Prompting Protocol and Language Models</w:t>
      </w:r>
    </w:p>
    <w:p w14:paraId="4858FCA2">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color w:val="auto"/>
          <w:sz w:val="24"/>
          <w:szCs w:val="24"/>
        </w:rPr>
        <w:t>We use a two stage prompting protocol. Stage one generates dispute questions from each anonymized case record. The prompt asks for five structured questions per case. The five questions map to abuse characterization, risk and persistence, evidence appraisal, victim responsibility attribution, and public morals with relationship context. The prompt excludes fact recall and simple yes or no items. It instead requires legal analysis and value judgment that can be traced to the court’s reasoning. A legal expert reviews and edits each question. This step ensures the question targets a real decision point and has a supportable reference answer in the opinion.</w:t>
      </w:r>
      <w:r>
        <w:rPr>
          <w:rFonts w:hint="default" w:ascii="Times New Roman Regular" w:hAnsi="Times New Roman Regular" w:cs="Times New Roman Regular"/>
          <w:color w:val="auto"/>
          <w:sz w:val="24"/>
          <w:szCs w:val="24"/>
          <w:lang w:val="en-US" w:eastAsia="zh-CN"/>
        </w:rPr>
        <w:t xml:space="preserve"> </w:t>
      </w:r>
    </w:p>
    <w:p w14:paraId="04A985C1">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color w:val="auto"/>
          <w:sz w:val="24"/>
          <w:szCs w:val="24"/>
        </w:rPr>
        <w:t>Stage two produces model answers under standardized inputs and sampling controls. Each run starts with a fixed system prompt. Case materials then appear in a stable order. The input consists of an anonymised background summary and one structured question. The model is asked to write in a judge style. It must state the governing norms, link norms to facts, and explain how each item of evidence strengthens or weakens each inference. It must also surface value balancing when the legal standard is open textured. We cap generation at 2000 tokens to allow complete reasoning.</w:t>
      </w:r>
      <w:r>
        <w:rPr>
          <w:rFonts w:hint="default" w:ascii="Times New Roman Regular" w:hAnsi="Times New Roman Regular" w:cs="Times New Roman Regular"/>
          <w:color w:val="auto"/>
          <w:sz w:val="24"/>
          <w:szCs w:val="24"/>
          <w:lang w:val="en-US" w:eastAsia="zh-CN"/>
        </w:rPr>
        <w:t xml:space="preserve"> A request timeout of 180 seconds is applied; where the API indicates truncation (for example, finish_reason = "length" or max_tokens), a single retry is issued with a doubled token budget, up to a ceiling of 16,000, to minimise truncation artefacts. </w:t>
      </w:r>
    </w:p>
    <w:p w14:paraId="5F74E3F4">
      <w:pPr>
        <w:pStyle w:val="17"/>
        <w:keepNext w:val="0"/>
        <w:keepLines w:val="0"/>
        <w:widowControl/>
        <w:suppressLineNumbers w:val="0"/>
        <w:rPr>
          <w:rFonts w:hint="default" w:ascii="Times New Roman Regular" w:hAnsi="Times New Roman Regular" w:eastAsia="SimSun" w:cs="Times New Roman Regular"/>
          <w:b w:val="0"/>
          <w:bCs/>
          <w:kern w:val="0"/>
          <w:sz w:val="24"/>
          <w:szCs w:val="24"/>
          <w:lang w:val="en-US" w:eastAsia="zh-CN" w:bidi="ar"/>
        </w:rPr>
      </w:pPr>
      <w:r>
        <w:rPr>
          <w:rFonts w:hint="default" w:ascii="Times New Roman Regular" w:hAnsi="Times New Roman Regular" w:eastAsia="SimSun" w:cs="Times New Roman Regular"/>
          <w:b w:val="0"/>
          <w:bCs/>
          <w:kern w:val="0"/>
          <w:sz w:val="24"/>
          <w:szCs w:val="24"/>
          <w:lang w:val="en-US" w:eastAsia="zh-CN" w:bidi="ar"/>
        </w:rPr>
        <w:drawing>
          <wp:inline distT="0" distB="0" distL="114300" distR="114300">
            <wp:extent cx="5262245" cy="1951990"/>
            <wp:effectExtent l="0" t="0" r="20955" b="3810"/>
            <wp:docPr id="15" name="图片 15" descr="chart_token_usage_20260117_23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hart_token_usage_20260117_235928"/>
                    <pic:cNvPicPr>
                      <a:picLocks noChangeAspect="1"/>
                    </pic:cNvPicPr>
                  </pic:nvPicPr>
                  <pic:blipFill>
                    <a:blip r:embed="rId7"/>
                    <a:stretch>
                      <a:fillRect/>
                    </a:stretch>
                  </pic:blipFill>
                  <pic:spPr>
                    <a:xfrm>
                      <a:off x="0" y="0"/>
                      <a:ext cx="5262245" cy="1951990"/>
                    </a:xfrm>
                    <a:prstGeom prst="rect">
                      <a:avLst/>
                    </a:prstGeom>
                  </pic:spPr>
                </pic:pic>
              </a:graphicData>
            </a:graphic>
          </wp:inline>
        </w:drawing>
      </w:r>
    </w:p>
    <w:p w14:paraId="2AA87F61">
      <w:pPr>
        <w:pStyle w:val="17"/>
        <w:keepNext w:val="0"/>
        <w:keepLines w:val="0"/>
        <w:widowControl/>
        <w:suppressLineNumbers w:val="0"/>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eastAsia="SimSun" w:cs="Times New Roman Regular"/>
          <w:b/>
          <w:bCs w:val="0"/>
          <w:kern w:val="0"/>
          <w:sz w:val="24"/>
          <w:szCs w:val="24"/>
          <w:lang w:val="en-US" w:eastAsia="zh-CN" w:bidi="ar"/>
        </w:rPr>
        <w:t xml:space="preserve">Fig. 1. </w:t>
      </w:r>
      <w:r>
        <w:rPr>
          <w:rFonts w:hint="default" w:ascii="Times New Roman Regular" w:hAnsi="Times New Roman Regular" w:eastAsia="SimSun" w:cs="Times New Roman Regular"/>
          <w:b w:val="0"/>
          <w:bCs/>
          <w:kern w:val="0"/>
          <w:sz w:val="24"/>
          <w:szCs w:val="24"/>
          <w:lang w:val="en-US" w:eastAsia="zh-CN" w:bidi="ar"/>
        </w:rPr>
        <w:t>Token Usage Comparison</w:t>
      </w:r>
      <w:r>
        <w:rPr>
          <w:rStyle w:val="10"/>
          <w:rFonts w:hint="default" w:ascii="Times New Roman Regular" w:hAnsi="Times New Roman Regular" w:eastAsia="SimSun" w:cs="Times New Roman Regular"/>
          <w:b w:val="0"/>
          <w:bCs/>
          <w:kern w:val="0"/>
          <w:sz w:val="24"/>
          <w:szCs w:val="24"/>
          <w:lang w:val="en-US" w:eastAsia="zh-CN" w:bidi="ar"/>
        </w:rPr>
        <w:t>[</w:t>
      </w:r>
      <w:r>
        <w:rPr>
          <w:rStyle w:val="10"/>
          <w:rFonts w:hint="default" w:ascii="Times New Roman Regular" w:hAnsi="Times New Roman Regular" w:eastAsia="SimSun" w:cs="Times New Roman Regular"/>
          <w:b w:val="0"/>
          <w:bCs/>
          <w:kern w:val="0"/>
          <w:sz w:val="24"/>
          <w:szCs w:val="24"/>
          <w:lang w:val="en-US" w:eastAsia="zh-CN" w:bidi="ar"/>
        </w:rPr>
        <w:footnoteReference w:id="82"/>
      </w:r>
      <w:r>
        <w:rPr>
          <w:rStyle w:val="10"/>
          <w:rFonts w:hint="default" w:ascii="Times New Roman Regular" w:hAnsi="Times New Roman Regular" w:eastAsia="SimSun" w:cs="Times New Roman Regular"/>
          <w:b w:val="0"/>
          <w:bCs/>
          <w:kern w:val="0"/>
          <w:sz w:val="24"/>
          <w:szCs w:val="24"/>
          <w:lang w:val="en-US" w:eastAsia="zh-CN" w:bidi="ar"/>
        </w:rPr>
        <w:t>]</w:t>
      </w:r>
    </w:p>
    <w:p w14:paraId="512736B9">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color w:val="auto"/>
          <w:sz w:val="24"/>
          <w:szCs w:val="24"/>
          <w:lang w:val="en-US" w:eastAsia="zh-CN"/>
        </w:rPr>
        <w:t xml:space="preserve">Temperature is tuned to the task: lower settings support fidelity and repeatability in legal analysis, whereas higher settings encourage diversity during question generation. </w:t>
      </w:r>
      <w:r>
        <w:rPr>
          <w:rFonts w:hint="default" w:ascii="Times New Roman Regular" w:hAnsi="Times New Roman Regular" w:cs="Times New Roman Regular"/>
          <w:color w:val="auto"/>
          <w:sz w:val="24"/>
          <w:szCs w:val="24"/>
        </w:rPr>
        <w:t>We use stage-specific temperatures to balance reliability and coverage: 0.3 for case an</w:t>
      </w:r>
      <w:r>
        <w:rPr>
          <w:rFonts w:hint="default" w:ascii="Times New Roman Regular" w:hAnsi="Times New Roman Regular" w:cs="Times New Roman Regular"/>
          <w:color w:val="auto"/>
          <w:sz w:val="24"/>
          <w:szCs w:val="24"/>
          <w:lang w:val="en-US" w:eastAsia="zh-CN"/>
        </w:rPr>
        <w:t xml:space="preserve">swering to reduce variance, 0.7 for question generation to encourage diverse issue coverage, 0.1 for verbatim extraction to maximize fidelity, and 0.5 for comparative analysis to support richer synthesis. Top-k is left unset and API defaults are retained to avoid unnecessary interference with optimised sampling behaviour. Each question is run in a fresh chat session to prevent conversational carryover. The evaluation covers several representative model families, including </w:t>
      </w:r>
      <w:commentRangeStart w:id="2"/>
      <w:r>
        <w:rPr>
          <w:rFonts w:hint="default" w:ascii="Times New Roman Regular" w:hAnsi="Times New Roman Regular" w:cs="Times New Roman Regular"/>
          <w:color w:val="auto"/>
          <w:sz w:val="24"/>
          <w:szCs w:val="24"/>
          <w:lang w:val="en-US" w:eastAsia="zh-CN"/>
        </w:rPr>
        <w:t>GPT-4o, GPT-5, DeepSeek-R1, DeepSeek-V3, Qwen Max, Gemini 2.5 Flash, and Claude Opus 4.</w:t>
      </w:r>
      <w:commentRangeEnd w:id="2"/>
      <w:r>
        <w:rPr>
          <w:rFonts w:hint="default" w:ascii="Times New Roman Regular" w:hAnsi="Times New Roman Regular" w:cs="Times New Roman Regular"/>
          <w:sz w:val="24"/>
          <w:szCs w:val="24"/>
        </w:rPr>
        <w:commentReference w:id="2"/>
      </w:r>
    </w:p>
    <w:p w14:paraId="06AACA6C">
      <w:pPr>
        <w:pStyle w:val="3"/>
        <w:bidi w:val="0"/>
        <w:rPr>
          <w:rFonts w:hint="default" w:ascii="Times New Roman Regular" w:hAnsi="Times New Roman Regular" w:eastAsia="SimSun" w:cs="Times New Roman Regular"/>
          <w:b/>
          <w:bCs w:val="0"/>
          <w:color w:val="auto"/>
          <w:kern w:val="0"/>
          <w:sz w:val="24"/>
          <w:szCs w:val="24"/>
          <w:lang w:val="en-US" w:eastAsia="zh-CN" w:bidi="ar"/>
        </w:rPr>
      </w:pPr>
      <w:r>
        <w:rPr>
          <w:rFonts w:hint="default" w:ascii="Times New Roman Regular" w:hAnsi="Times New Roman Regular" w:cs="Times New Roman Regular"/>
          <w:b/>
          <w:bCs w:val="0"/>
          <w:color w:val="auto"/>
          <w:sz w:val="24"/>
          <w:szCs w:val="24"/>
          <w:lang w:val="en-US" w:eastAsia="zh-CN"/>
        </w:rPr>
        <w:t>3.3 Evaluation Rubric</w:t>
      </w:r>
    </w:p>
    <w:p w14:paraId="29E49E1B">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Our evaluation rubric mirrors how Chinese courts justify outcomes. It departs from common law designs that emphasize precedent selection and analogical reasoning. Chinese decisions typically start from statutes and high level legal standards. The judge states the governing norm as the major premise.</w:t>
      </w:r>
      <w:r>
        <w:rPr>
          <w:rStyle w:val="10"/>
          <w:rFonts w:hint="default" w:ascii="Times New Roman Regular" w:hAnsi="Times New Roman Regular" w:cs="Times New Roman Regular"/>
          <w:color w:val="auto"/>
          <w:sz w:val="24"/>
          <w:szCs w:val="24"/>
        </w:rPr>
        <w:t>[</w:t>
      </w:r>
      <w:r>
        <w:rPr>
          <w:rStyle w:val="10"/>
          <w:rFonts w:hint="default" w:ascii="Times New Roman Regular" w:hAnsi="Times New Roman Regular" w:cs="Times New Roman Regular"/>
          <w:color w:val="auto"/>
          <w:sz w:val="24"/>
          <w:szCs w:val="24"/>
        </w:rPr>
        <w:footnoteReference w:id="83"/>
      </w:r>
      <w:r>
        <w:rPr>
          <w:rStyle w:val="10"/>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The judge then maps disputed facts and issues onto that norm as the minor premise. The disposition follows as a reasoned conclusion. This</w:t>
      </w:r>
      <w:commentRangeStart w:id="3"/>
      <w:commentRangeStart w:id="4"/>
      <w:r>
        <w:rPr>
          <w:rFonts w:hint="default" w:ascii="Times New Roman Regular" w:hAnsi="Times New Roman Regular" w:cs="Times New Roman Regular"/>
          <w:color w:val="auto"/>
          <w:sz w:val="24"/>
          <w:szCs w:val="24"/>
        </w:rPr>
        <w:t xml:space="preserve"> deductive structure motivates</w:t>
      </w:r>
      <w:commentRangeEnd w:id="3"/>
      <w:r>
        <w:rPr>
          <w:rFonts w:hint="default" w:ascii="Times New Roman Regular" w:hAnsi="Times New Roman Regular" w:cs="Times New Roman Regular"/>
          <w:color w:val="auto"/>
          <w:sz w:val="24"/>
          <w:szCs w:val="24"/>
        </w:rPr>
        <w:commentReference w:id="3"/>
      </w:r>
      <w:commentRangeEnd w:id="4"/>
      <w:r>
        <w:commentReference w:id="4"/>
      </w:r>
      <w:r>
        <w:rPr>
          <w:rFonts w:hint="default" w:ascii="Times New Roman Regular" w:hAnsi="Times New Roman Regular" w:cs="Times New Roman Regular"/>
          <w:color w:val="auto"/>
          <w:sz w:val="24"/>
          <w:szCs w:val="24"/>
        </w:rPr>
        <w:t xml:space="preserve"> our scoring.</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rPr>
        <w:t>This benchmark tests whether an LLM can move from abstract norms to case-specific judgments in a disciplined way. It also examines the model’s ability to exercise value-laden discretion when standards are open-textured.</w:t>
      </w:r>
    </w:p>
    <w:p w14:paraId="46ED10D2">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lang w:val="en-US"/>
        </w:rPr>
        <w:t>The</w:t>
      </w:r>
      <w:r>
        <w:rPr>
          <w:rFonts w:hint="default" w:ascii="Times New Roman Regular" w:hAnsi="Times New Roman Regular" w:cs="Times New Roman Regular"/>
          <w:color w:val="auto"/>
          <w:sz w:val="24"/>
          <w:szCs w:val="24"/>
        </w:rPr>
        <w:t xml:space="preserve"> meta-evaluation system uses an LLM-based grader to score each output on a 0–4 scale across five core dimensions, and applies impactful error flags as post hoc penalties</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including score caps and deductions. The rubric uses five core dimensions plus error flags and automatic penalties.</w:t>
      </w:r>
    </w:p>
    <w:p w14:paraId="57BD6355">
      <w:pPr>
        <w:pStyle w:val="17"/>
        <w:keepNext w:val="0"/>
        <w:keepLines w:val="0"/>
        <w:widowControl/>
        <w:numPr>
          <w:ilvl w:val="0"/>
          <w:numId w:val="4"/>
        </w:numPr>
        <w:suppressLineNumbers w:val="0"/>
        <w:ind w:left="720"/>
        <w:rPr>
          <w:rFonts w:hint="default" w:ascii="Times New Roman Regular" w:hAnsi="Times New Roman Regular" w:cs="Times New Roman Regular"/>
          <w:color w:val="auto"/>
          <w:sz w:val="24"/>
          <w:szCs w:val="24"/>
        </w:rPr>
      </w:pPr>
      <w:r>
        <w:rPr>
          <w:rStyle w:val="18"/>
          <w:rFonts w:hint="default" w:ascii="Times New Roman Regular" w:hAnsi="Times New Roman Regular" w:cs="Times New Roman Regular"/>
          <w:color w:val="auto"/>
          <w:sz w:val="24"/>
          <w:szCs w:val="24"/>
        </w:rPr>
        <w:t>Normative basis relevance</w:t>
      </w:r>
      <w:r>
        <w:rPr>
          <w:rFonts w:hint="default" w:ascii="Times New Roman Regular" w:hAnsi="Times New Roman Regular" w:cs="Times New Roman Regular"/>
          <w:color w:val="auto"/>
          <w:sz w:val="24"/>
          <w:szCs w:val="24"/>
        </w:rPr>
        <w:t>, i.e., is the invoked statute, interpretation, or other authority operationally relevant and accurate, rather than generic or fabricated?</w:t>
      </w:r>
    </w:p>
    <w:p w14:paraId="64EA701F">
      <w:pPr>
        <w:pStyle w:val="17"/>
        <w:keepNext w:val="0"/>
        <w:keepLines w:val="0"/>
        <w:widowControl/>
        <w:numPr>
          <w:ilvl w:val="0"/>
          <w:numId w:val="4"/>
        </w:numPr>
        <w:suppressLineNumbers w:val="0"/>
        <w:ind w:left="720"/>
        <w:rPr>
          <w:rFonts w:hint="default" w:ascii="Times New Roman Regular" w:hAnsi="Times New Roman Regular" w:cs="Times New Roman Regular"/>
          <w:color w:val="auto"/>
          <w:sz w:val="24"/>
          <w:szCs w:val="24"/>
        </w:rPr>
      </w:pPr>
      <w:r>
        <w:rPr>
          <w:rStyle w:val="18"/>
          <w:rFonts w:hint="default" w:ascii="Times New Roman Regular" w:hAnsi="Times New Roman Regular" w:cs="Times New Roman Regular"/>
          <w:color w:val="auto"/>
          <w:sz w:val="24"/>
          <w:szCs w:val="24"/>
          <w:lang w:val="en-US"/>
        </w:rPr>
        <w:t>S</w:t>
      </w:r>
      <w:r>
        <w:rPr>
          <w:rStyle w:val="18"/>
          <w:rFonts w:hint="default" w:ascii="Times New Roman Regular" w:hAnsi="Times New Roman Regular" w:cs="Times New Roman Regular"/>
          <w:color w:val="auto"/>
          <w:sz w:val="24"/>
          <w:szCs w:val="24"/>
        </w:rPr>
        <w:t>ubsumption chain alignment</w:t>
      </w:r>
      <w:r>
        <w:rPr>
          <w:rFonts w:hint="default" w:ascii="Times New Roman Regular" w:hAnsi="Times New Roman Regular" w:cs="Times New Roman Regular"/>
          <w:color w:val="auto"/>
          <w:sz w:val="24"/>
          <w:szCs w:val="24"/>
        </w:rPr>
        <w:t>, i.e., does the answer connect issue to norm to elements or factors to facts to sub conclusions to final conclusion, without gaps?</w:t>
      </w:r>
    </w:p>
    <w:p w14:paraId="6FFED619">
      <w:pPr>
        <w:pStyle w:val="17"/>
        <w:keepNext w:val="0"/>
        <w:keepLines w:val="0"/>
        <w:widowControl/>
        <w:numPr>
          <w:ilvl w:val="0"/>
          <w:numId w:val="4"/>
        </w:numPr>
        <w:suppressLineNumbers w:val="0"/>
        <w:ind w:left="720"/>
        <w:rPr>
          <w:rFonts w:hint="default" w:ascii="Times New Roman Regular" w:hAnsi="Times New Roman Regular" w:cs="Times New Roman Regular"/>
          <w:color w:val="auto"/>
          <w:sz w:val="24"/>
          <w:szCs w:val="24"/>
        </w:rPr>
      </w:pPr>
      <w:r>
        <w:rPr>
          <w:rStyle w:val="18"/>
          <w:rFonts w:hint="default" w:ascii="Times New Roman Regular" w:hAnsi="Times New Roman Regular" w:cs="Times New Roman Regular"/>
          <w:color w:val="auto"/>
          <w:sz w:val="24"/>
          <w:szCs w:val="24"/>
          <w:lang w:val="en-US"/>
        </w:rPr>
        <w:t>V</w:t>
      </w:r>
      <w:r>
        <w:rPr>
          <w:rStyle w:val="18"/>
          <w:rFonts w:hint="default" w:ascii="Times New Roman Regular" w:hAnsi="Times New Roman Regular" w:cs="Times New Roman Regular"/>
          <w:color w:val="auto"/>
          <w:sz w:val="24"/>
          <w:szCs w:val="24"/>
        </w:rPr>
        <w:t>alue balancing and empathy alignment</w:t>
      </w:r>
      <w:r>
        <w:rPr>
          <w:rFonts w:hint="default" w:ascii="Times New Roman Regular" w:hAnsi="Times New Roman Regular" w:cs="Times New Roman Regular"/>
          <w:color w:val="auto"/>
          <w:sz w:val="24"/>
          <w:szCs w:val="24"/>
        </w:rPr>
        <w:t>, i.e., does the answer identify the right value axes and weigh them in a restrained and professional way, without victim blaming or stigmatizing inferences?</w:t>
      </w:r>
    </w:p>
    <w:p w14:paraId="45EEC70A">
      <w:pPr>
        <w:pStyle w:val="17"/>
        <w:keepNext w:val="0"/>
        <w:keepLines w:val="0"/>
        <w:widowControl/>
        <w:numPr>
          <w:ilvl w:val="0"/>
          <w:numId w:val="4"/>
        </w:numPr>
        <w:suppressLineNumbers w:val="0"/>
        <w:ind w:left="720"/>
        <w:rPr>
          <w:rFonts w:hint="default" w:ascii="Times New Roman Regular" w:hAnsi="Times New Roman Regular" w:cs="Times New Roman Regular"/>
          <w:color w:val="auto"/>
          <w:sz w:val="24"/>
          <w:szCs w:val="24"/>
        </w:rPr>
      </w:pPr>
      <w:r>
        <w:rPr>
          <w:rStyle w:val="18"/>
          <w:rFonts w:hint="default" w:ascii="Times New Roman Regular" w:hAnsi="Times New Roman Regular" w:cs="Times New Roman Regular"/>
          <w:color w:val="auto"/>
          <w:sz w:val="24"/>
          <w:szCs w:val="24"/>
          <w:lang w:val="en-US"/>
        </w:rPr>
        <w:t>K</w:t>
      </w:r>
      <w:r>
        <w:rPr>
          <w:rStyle w:val="18"/>
          <w:rFonts w:hint="default" w:ascii="Times New Roman Regular" w:hAnsi="Times New Roman Regular" w:cs="Times New Roman Regular"/>
          <w:color w:val="auto"/>
          <w:sz w:val="24"/>
          <w:szCs w:val="24"/>
        </w:rPr>
        <w:t>ey facts and issue coverage with evidence mapping</w:t>
      </w:r>
      <w:r>
        <w:rPr>
          <w:rFonts w:hint="default" w:ascii="Times New Roman Regular" w:hAnsi="Times New Roman Regular" w:cs="Times New Roman Regular"/>
          <w:color w:val="auto"/>
          <w:sz w:val="24"/>
          <w:szCs w:val="24"/>
        </w:rPr>
        <w:t>, i.e., does the answer capture decisive facts and disputes, distinguish established versus disputed points, and tie each inference to record support without invention?</w:t>
      </w:r>
    </w:p>
    <w:p w14:paraId="3D344E85">
      <w:pPr>
        <w:pStyle w:val="17"/>
        <w:keepNext w:val="0"/>
        <w:keepLines w:val="0"/>
        <w:widowControl/>
        <w:numPr>
          <w:ilvl w:val="0"/>
          <w:numId w:val="4"/>
        </w:numPr>
        <w:suppressLineNumbers w:val="0"/>
        <w:ind w:left="720"/>
        <w:rPr>
          <w:rFonts w:hint="default" w:ascii="Times New Roman Regular" w:hAnsi="Times New Roman Regular" w:cs="Times New Roman Regular"/>
          <w:color w:val="auto"/>
          <w:sz w:val="24"/>
          <w:szCs w:val="24"/>
        </w:rPr>
      </w:pPr>
      <w:r>
        <w:rPr>
          <w:rStyle w:val="18"/>
          <w:rFonts w:hint="default" w:ascii="Times New Roman Regular" w:hAnsi="Times New Roman Regular" w:cs="Times New Roman Regular"/>
          <w:color w:val="auto"/>
          <w:sz w:val="24"/>
          <w:szCs w:val="24"/>
          <w:lang w:val="en-US"/>
        </w:rPr>
        <w:t>O</w:t>
      </w:r>
      <w:r>
        <w:rPr>
          <w:rStyle w:val="18"/>
          <w:rFonts w:hint="default" w:ascii="Times New Roman Regular" w:hAnsi="Times New Roman Regular" w:cs="Times New Roman Regular"/>
          <w:color w:val="auto"/>
          <w:sz w:val="24"/>
          <w:szCs w:val="24"/>
        </w:rPr>
        <w:t>utcome and remedy alignment</w:t>
      </w:r>
      <w:r>
        <w:rPr>
          <w:rFonts w:hint="default" w:ascii="Times New Roman Regular" w:hAnsi="Times New Roman Regular" w:cs="Times New Roman Regular"/>
          <w:color w:val="auto"/>
          <w:sz w:val="24"/>
          <w:szCs w:val="24"/>
        </w:rPr>
        <w:t>, i.e., is the proposed disposition and relief allocation consistent with the rule fact value chain and functionally equivalent to the reference decision?</w:t>
      </w:r>
    </w:p>
    <w:p w14:paraId="46F88380">
      <w:pPr>
        <w:pStyle w:val="17"/>
        <w:keepNext w:val="0"/>
        <w:keepLines w:val="0"/>
        <w:pageBreakBefore w:val="0"/>
        <w:widowControl/>
        <w:numPr>
          <w:ilvl w:val="0"/>
          <w:numId w:val="0"/>
        </w:numPr>
        <w:suppressLineNumbers w:val="0"/>
        <w:kinsoku/>
        <w:wordWrap/>
        <w:overflowPunct/>
        <w:topLinePunct w:val="0"/>
        <w:autoSpaceDE/>
        <w:autoSpaceDN/>
        <w:bidi w:val="0"/>
        <w:adjustRightInd/>
        <w:snapToGrid/>
        <w:ind w:right="0" w:rightChars="0"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We evaluate a representative set of frontier LLMs spanning multiple providers and training paradigms, including both standard chat models and explicit reasoning-mode variants.</w:t>
      </w:r>
      <w:r>
        <w:rPr>
          <w:rStyle w:val="10"/>
          <w:rFonts w:hint="default" w:ascii="Times New Roman Regular" w:hAnsi="Times New Roman Regular" w:eastAsia="SimSun" w:cs="Times New Roman Regular"/>
          <w:color w:val="auto"/>
          <w:kern w:val="0"/>
          <w:sz w:val="24"/>
          <w:szCs w:val="24"/>
          <w:lang w:val="en-US" w:eastAsia="zh-CN" w:bidi="ar"/>
        </w:rPr>
        <w:t>[</w:t>
      </w:r>
      <w:r>
        <w:rPr>
          <w:rStyle w:val="10"/>
          <w:rFonts w:hint="default" w:ascii="Times New Roman Regular" w:hAnsi="Times New Roman Regular" w:eastAsia="SimSun" w:cs="Times New Roman Regular"/>
          <w:color w:val="auto"/>
          <w:kern w:val="0"/>
          <w:sz w:val="24"/>
          <w:szCs w:val="24"/>
          <w:lang w:val="en-US" w:eastAsia="zh-CN" w:bidi="ar"/>
        </w:rPr>
        <w:footnoteReference w:id="84"/>
      </w:r>
      <w:r>
        <w:rPr>
          <w:rStyle w:val="10"/>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All systems run through the same four stage pipeline. Case text is first masked for privacy. Dispute centered questions are then generated from the masked record. Each model produces answers under task adaptive temperature settings. Outputs are scored using the five-dimension rubric. We record impactful error flags separately. We then apply predefined caps and deductions to penalize operationally unsafe failures (e.g., fabricated authority, core fact misreadings, and harmful value errors). Annotation proceeds at paragraph level and authority level. Each cited authority is checked for relevance and correct use. Missing or added elements and discretionary factors are recorded, along with any fabricated source, norm, or fact. Expert scoring is costly, so a meta evaluation task is added to test whether LLM graders can track expert judgments. We treat meta-evaluation as a complementary reliability check rather than a replacement for expert scoring. In our pipeline, meta-evaluation is used for calibration and quality control alongside the primary expert annotations. We report both the raw five-dimension totals and the penalty-adjusted scores to make the impact of error flags explicit.</w:t>
      </w:r>
    </w:p>
    <w:p w14:paraId="3857E55C">
      <w:pPr>
        <w:pStyle w:val="2"/>
        <w:bidi w:val="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bCs/>
          <w:color w:val="auto"/>
          <w:sz w:val="24"/>
          <w:szCs w:val="24"/>
          <w:lang w:val="en-US" w:eastAsia="zh-CN"/>
        </w:rPr>
        <w:t>4 RESULTS</w:t>
      </w:r>
    </w:p>
    <w:p w14:paraId="1E3E41F1">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color w:val="auto"/>
          <w:sz w:val="24"/>
          <w:szCs w:val="24"/>
          <w:lang w:val="en-US" w:eastAsia="zh-CN"/>
        </w:rPr>
      </w:pPr>
    </w:p>
    <w:p w14:paraId="749D8424">
      <w:pPr>
        <w:keepNext w:val="0"/>
        <w:keepLines w:val="0"/>
        <w:widowControl/>
        <w:suppressLineNumbers w:val="0"/>
        <w:jc w:val="left"/>
        <w:rPr>
          <w:rFonts w:hint="default" w:ascii="Times New Roman Regular" w:hAnsi="Times New Roman Regular" w:cs="Times New Roman Regular" w:eastAsiaTheme="minorEastAsia"/>
          <w:color w:val="auto"/>
          <w:kern w:val="2"/>
          <w:sz w:val="24"/>
          <w:szCs w:val="24"/>
          <w:lang w:val="en-US" w:eastAsia="zh-CN" w:bidi="ar-SA"/>
        </w:rPr>
      </w:pPr>
      <w:r>
        <w:rPr>
          <w:rFonts w:hint="default" w:ascii="Times New Roman Regular" w:hAnsi="Times New Roman Regular" w:cs="Times New Roman Regular"/>
          <w:color w:val="auto"/>
          <w:sz w:val="24"/>
          <w:szCs w:val="24"/>
          <w:lang w:val="en-US" w:eastAsia="zh-CN"/>
        </w:rPr>
        <w:t>We repo</w:t>
      </w:r>
      <w:r>
        <w:rPr>
          <w:rFonts w:hint="default" w:ascii="Times New Roman Regular" w:hAnsi="Times New Roman Regular" w:cs="Times New Roman Regular" w:eastAsiaTheme="minorEastAsia"/>
          <w:color w:val="auto"/>
          <w:kern w:val="0"/>
          <w:sz w:val="24"/>
          <w:szCs w:val="24"/>
          <w:lang w:val="en-US" w:eastAsia="zh-CN" w:bidi="ar"/>
        </w:rPr>
        <w:t>rt model performance in a curated, ex</w:t>
      </w:r>
      <w:r>
        <w:rPr>
          <w:rFonts w:hint="default" w:ascii="Times New Roman Regular" w:hAnsi="Times New Roman Regular" w:cs="Times New Roman Regular" w:eastAsiaTheme="minorEastAsia"/>
          <w:color w:val="auto"/>
          <w:kern w:val="2"/>
          <w:sz w:val="24"/>
          <w:szCs w:val="24"/>
          <w:lang w:val="en-US" w:eastAsia="zh-CN" w:bidi="ar-SA"/>
        </w:rPr>
        <w:t>pert-vetted question set for evaluation</w:t>
      </w:r>
    </w:p>
    <w:p w14:paraId="54FBE96A">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eastAsiaTheme="minorEastAsia"/>
          <w:color w:val="auto"/>
          <w:kern w:val="2"/>
          <w:sz w:val="24"/>
          <w:szCs w:val="24"/>
          <w:lang w:val="en-US" w:eastAsia="zh-CN" w:bidi="ar-SA"/>
        </w:rPr>
        <w:t xml:space="preserve"> using three complementary lenses: (i) rubric score (primary ranking signal), (ii) reliability and error signals (failure modes</w:t>
      </w:r>
      <w:r>
        <w:rPr>
          <w:rFonts w:hint="default" w:ascii="Times New Roman Regular" w:hAnsi="Times New Roman Regular" w:cs="Times New Roman Regular"/>
          <w:color w:val="auto"/>
          <w:sz w:val="24"/>
          <w:szCs w:val="24"/>
          <w:lang w:val="en-US" w:eastAsia="zh-CN"/>
        </w:rPr>
        <w:t xml:space="preserve"> not fully captured by averages), and (iii) cost/verbosity signals (token and length, where available). All metrics are produced under our four‑stage pipeline: (1) privacy masking, (2) dispute‑centered question generation (expert‑reviewed), (3) standardized answer generation (fixed system prompt, stable input order, fresh sessions to prevent carryover), and (4) rubric scoring with authority‑level auditing cues.</w:t>
      </w:r>
    </w:p>
    <w:p w14:paraId="0DF7744E">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b/>
          <w:bCs/>
          <w:color w:val="auto"/>
          <w:sz w:val="24"/>
          <w:szCs w:val="24"/>
          <w:lang w:val="en-US" w:eastAsia="zh-CN"/>
        </w:rPr>
      </w:pPr>
    </w:p>
    <w:p w14:paraId="5C071FD7">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b/>
          <w:bCs/>
          <w:color w:val="auto"/>
          <w:sz w:val="24"/>
          <w:szCs w:val="24"/>
          <w:lang w:val="en-US" w:eastAsia="zh-CN"/>
        </w:rPr>
        <w:t xml:space="preserve">Score-based ranking. </w:t>
      </w:r>
      <w:r>
        <w:rPr>
          <w:rStyle w:val="13"/>
          <w:rFonts w:hint="default" w:ascii="Times New Roman Regular" w:hAnsi="Times New Roman Regular" w:cs="Times New Roman Regular"/>
          <w:sz w:val="24"/>
          <w:szCs w:val="24"/>
          <w:lang w:val="en-US" w:eastAsia="zh-CN"/>
        </w:rPr>
        <w:t>Figure 1</w:t>
      </w:r>
      <w:r>
        <w:rPr>
          <w:rFonts w:hint="default" w:ascii="Times New Roman Regular" w:hAnsi="Times New Roman Regular" w:cs="Times New Roman Regular"/>
          <w:color w:val="auto"/>
          <w:sz w:val="24"/>
          <w:szCs w:val="24"/>
          <w:lang w:val="en-US" w:eastAsia="zh-CN"/>
        </w:rPr>
        <w:t xml:space="preserve"> ranks models by the mean total score (out of 20), aggregated from the five 0–4 rubric dimensions, with impactful-error flags applied as post-scoring penalties. The ordering is: DeepSeek‑Thinking (16.45), DeepSeek (16.42), Gemini (15.63), Claude (13.11), Qwen‑Max (10.36), and GPT‑4o (9.39). The separation is driven primarily by judicial reasoning alignment and evidential discipline, not writing style. Dimension (</w:t>
      </w:r>
      <w:r>
        <w:rPr>
          <w:rStyle w:val="13"/>
          <w:rFonts w:hint="default" w:ascii="Times New Roman Regular" w:hAnsi="Times New Roman Regular" w:cs="Times New Roman Regular"/>
          <w:sz w:val="24"/>
          <w:szCs w:val="24"/>
          <w:lang w:val="en-US" w:eastAsia="zh-CN"/>
        </w:rPr>
        <w:t>Fig.4</w:t>
      </w:r>
      <w:r>
        <w:rPr>
          <w:rFonts w:hint="default" w:ascii="Times New Roman Regular" w:hAnsi="Times New Roman Regular" w:cs="Times New Roman Regular"/>
          <w:color w:val="auto"/>
          <w:sz w:val="24"/>
          <w:szCs w:val="24"/>
          <w:lang w:val="en-US" w:eastAsia="zh-CN"/>
        </w:rPr>
        <w:t>) means show the steepest drop from the top tier to GPT‑4o in Subsumption Chain Alignment (3.39 vs. 1.71) and Key Facts/Issues Coverage (3.25 vs. 1.68), which explains why lower-ranked models can sound plausible yet fail to reproduce the court’s norm‑to‑fact proof structure.</w:t>
      </w:r>
    </w:p>
    <w:p w14:paraId="49317D6A">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color w:val="auto"/>
          <w:sz w:val="24"/>
          <w:szCs w:val="24"/>
          <w:lang w:val="en-US" w:eastAsia="zh-CN"/>
        </w:rPr>
      </w:pPr>
    </w:p>
    <w:p w14:paraId="3BAB3D5E">
      <w:pPr>
        <w:pStyle w:val="17"/>
        <w:keepNext w:val="0"/>
        <w:keepLines w:val="0"/>
        <w:widowControl/>
        <w:suppressLineNumbers w:val="0"/>
        <w:rPr>
          <w:rFonts w:hint="default" w:ascii="Times New Roman Regular" w:hAnsi="Times New Roman Regular" w:eastAsia="SimSun" w:cs="Times New Roman Regular"/>
          <w:b w:val="0"/>
          <w:bCs/>
          <w:kern w:val="0"/>
          <w:sz w:val="24"/>
          <w:szCs w:val="24"/>
          <w:lang w:val="en-US" w:eastAsia="zh-CN" w:bidi="ar"/>
        </w:rPr>
      </w:pPr>
      <w:r>
        <w:rPr>
          <w:rFonts w:hint="default" w:ascii="Times New Roman Regular" w:hAnsi="Times New Roman Regular" w:eastAsia="SimSun" w:cs="Times New Roman Regular"/>
          <w:b w:val="0"/>
          <w:bCs/>
          <w:kern w:val="0"/>
          <w:sz w:val="24"/>
          <w:szCs w:val="24"/>
          <w:lang w:val="en-US" w:eastAsia="zh-CN" w:bidi="ar"/>
        </w:rPr>
        <w:drawing>
          <wp:inline distT="0" distB="0" distL="114300" distR="114300">
            <wp:extent cx="5262880" cy="1953260"/>
            <wp:effectExtent l="0" t="0" r="20320" b="2540"/>
            <wp:docPr id="19" name="图片 19" descr="chart_ranking_20260117_23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hart_ranking_20260117_235928"/>
                    <pic:cNvPicPr>
                      <a:picLocks noChangeAspect="1"/>
                    </pic:cNvPicPr>
                  </pic:nvPicPr>
                  <pic:blipFill>
                    <a:blip r:embed="rId8"/>
                    <a:stretch>
                      <a:fillRect/>
                    </a:stretch>
                  </pic:blipFill>
                  <pic:spPr>
                    <a:xfrm>
                      <a:off x="0" y="0"/>
                      <a:ext cx="5262880" cy="1953260"/>
                    </a:xfrm>
                    <a:prstGeom prst="rect">
                      <a:avLst/>
                    </a:prstGeom>
                  </pic:spPr>
                </pic:pic>
              </a:graphicData>
            </a:graphic>
          </wp:inline>
        </w:drawing>
      </w:r>
      <w:r>
        <w:rPr>
          <w:rFonts w:hint="default" w:ascii="Times New Roman Regular" w:hAnsi="Times New Roman Regular" w:eastAsia="SimSun" w:cs="Times New Roman Regular"/>
          <w:b/>
          <w:bCs w:val="0"/>
          <w:kern w:val="0"/>
          <w:sz w:val="24"/>
          <w:szCs w:val="24"/>
          <w:lang w:val="en-US" w:eastAsia="zh-CN" w:bidi="ar"/>
        </w:rPr>
        <w:t>Fig. 2.</w:t>
      </w:r>
      <w:r>
        <w:rPr>
          <w:rFonts w:hint="default" w:ascii="Times New Roman Regular" w:hAnsi="Times New Roman Regular" w:eastAsia="SimSun" w:cs="Times New Roman Regular"/>
          <w:b w:val="0"/>
          <w:bCs/>
          <w:kern w:val="0"/>
          <w:sz w:val="24"/>
          <w:szCs w:val="24"/>
          <w:lang w:val="en-US" w:eastAsia="zh-CN" w:bidi="ar"/>
        </w:rPr>
        <w:t xml:space="preserve"> Overall Ranking</w:t>
      </w:r>
      <w:r>
        <w:rPr>
          <w:rStyle w:val="10"/>
          <w:rFonts w:hint="default" w:ascii="Times New Roman Regular" w:hAnsi="Times New Roman Regular" w:eastAsia="SimSun" w:cs="Times New Roman Regular"/>
          <w:b w:val="0"/>
          <w:bCs/>
          <w:kern w:val="0"/>
          <w:sz w:val="24"/>
          <w:szCs w:val="24"/>
          <w:lang w:val="en-US" w:eastAsia="zh-CN" w:bidi="ar"/>
        </w:rPr>
        <w:t>[</w:t>
      </w:r>
      <w:r>
        <w:rPr>
          <w:rStyle w:val="10"/>
          <w:rFonts w:hint="default" w:ascii="Times New Roman Regular" w:hAnsi="Times New Roman Regular" w:eastAsia="SimSun" w:cs="Times New Roman Regular"/>
          <w:b w:val="0"/>
          <w:bCs/>
          <w:kern w:val="0"/>
          <w:sz w:val="24"/>
          <w:szCs w:val="24"/>
          <w:lang w:val="en-US" w:eastAsia="zh-CN" w:bidi="ar"/>
        </w:rPr>
        <w:footnoteReference w:id="85"/>
      </w:r>
      <w:r>
        <w:rPr>
          <w:rStyle w:val="10"/>
          <w:rFonts w:hint="default" w:ascii="Times New Roman Regular" w:hAnsi="Times New Roman Regular" w:eastAsia="SimSun" w:cs="Times New Roman Regular"/>
          <w:b w:val="0"/>
          <w:bCs/>
          <w:kern w:val="0"/>
          <w:sz w:val="24"/>
          <w:szCs w:val="24"/>
          <w:lang w:val="en-US" w:eastAsia="zh-CN" w:bidi="ar"/>
        </w:rPr>
        <w:t>]</w:t>
      </w:r>
    </w:p>
    <w:p w14:paraId="4CFB26B8">
      <w:pPr>
        <w:pStyle w:val="17"/>
        <w:keepNext w:val="0"/>
        <w:keepLines w:val="0"/>
        <w:widowControl/>
        <w:suppressLineNumbers w:val="0"/>
        <w:rPr>
          <w:rFonts w:hint="default" w:ascii="Times New Roman Regular" w:hAnsi="Times New Roman Regular" w:eastAsia="SimSun" w:cs="Times New Roman Regular"/>
          <w:b/>
          <w:bCs w:val="0"/>
          <w:kern w:val="0"/>
          <w:sz w:val="24"/>
          <w:szCs w:val="24"/>
          <w:lang w:val="en-US" w:eastAsia="zh-CN" w:bidi="ar"/>
        </w:rPr>
      </w:pPr>
      <w:r>
        <w:rPr>
          <w:rFonts w:hint="default" w:ascii="Times New Roman Regular" w:hAnsi="Times New Roman Regular" w:eastAsia="SimSun" w:cs="Times New Roman Regular"/>
          <w:b w:val="0"/>
          <w:bCs/>
          <w:color w:val="FF0000"/>
          <w:kern w:val="0"/>
          <w:sz w:val="24"/>
          <w:szCs w:val="24"/>
          <w:lang w:val="en-US" w:eastAsia="zh-CN" w:bidi="ar"/>
        </w:rPr>
        <w:drawing>
          <wp:inline distT="0" distB="0" distL="114300" distR="114300">
            <wp:extent cx="5273675" cy="3356610"/>
            <wp:effectExtent l="0" t="0" r="9525" b="21590"/>
            <wp:docPr id="3" name="图片 3" descr="chart_pareto_tradeoff_20260117_235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rt_pareto_tradeoff_20260117_235926"/>
                    <pic:cNvPicPr>
                      <a:picLocks noChangeAspect="1"/>
                    </pic:cNvPicPr>
                  </pic:nvPicPr>
                  <pic:blipFill>
                    <a:blip r:embed="rId9"/>
                    <a:stretch>
                      <a:fillRect/>
                    </a:stretch>
                  </pic:blipFill>
                  <pic:spPr>
                    <a:xfrm>
                      <a:off x="0" y="0"/>
                      <a:ext cx="5273675" cy="3356610"/>
                    </a:xfrm>
                    <a:prstGeom prst="rect">
                      <a:avLst/>
                    </a:prstGeom>
                  </pic:spPr>
                </pic:pic>
              </a:graphicData>
            </a:graphic>
          </wp:inline>
        </w:drawing>
      </w:r>
      <w:r>
        <w:rPr>
          <w:rFonts w:hint="default" w:ascii="Times New Roman Regular" w:hAnsi="Times New Roman Regular" w:eastAsia="SimSun" w:cs="Times New Roman Regular"/>
          <w:b/>
          <w:bCs w:val="0"/>
          <w:color w:val="auto"/>
          <w:kern w:val="0"/>
          <w:sz w:val="24"/>
          <w:szCs w:val="24"/>
          <w:lang w:val="en-US" w:eastAsia="zh-CN" w:bidi="ar"/>
        </w:rPr>
        <w:t xml:space="preserve">Fig. </w:t>
      </w:r>
      <w:r>
        <w:rPr>
          <w:rFonts w:hint="eastAsia" w:ascii="Times New Roman Regular" w:hAnsi="Times New Roman Regular" w:eastAsia="SimSun" w:cs="Times New Roman Regular"/>
          <w:b/>
          <w:bCs w:val="0"/>
          <w:color w:val="auto"/>
          <w:kern w:val="0"/>
          <w:sz w:val="24"/>
          <w:szCs w:val="24"/>
          <w:lang w:val="en-US" w:eastAsia="zh-CN" w:bidi="ar"/>
        </w:rPr>
        <w:t>3</w:t>
      </w:r>
      <w:r>
        <w:rPr>
          <w:rFonts w:hint="default" w:ascii="Times New Roman Regular" w:hAnsi="Times New Roman Regular" w:eastAsia="SimSun" w:cs="Times New Roman Regular"/>
          <w:b/>
          <w:bCs w:val="0"/>
          <w:color w:val="auto"/>
          <w:kern w:val="0"/>
          <w:sz w:val="24"/>
          <w:szCs w:val="24"/>
          <w:lang w:val="en-US" w:eastAsia="zh-CN" w:bidi="ar"/>
        </w:rPr>
        <w:t>.</w:t>
      </w:r>
      <w:r>
        <w:rPr>
          <w:rFonts w:hint="default" w:ascii="Times New Roman Regular" w:hAnsi="Times New Roman Regular" w:eastAsia="SimSun" w:cs="Times New Roman Regular"/>
          <w:b w:val="0"/>
          <w:bCs/>
          <w:color w:val="auto"/>
          <w:kern w:val="0"/>
          <w:sz w:val="24"/>
          <w:szCs w:val="24"/>
          <w:lang w:val="en-US" w:eastAsia="zh-CN" w:bidi="ar"/>
        </w:rPr>
        <w:t xml:space="preserve"> Pareto Trade-off (Quality-Reliability-Cost)</w:t>
      </w:r>
      <w:r>
        <w:rPr>
          <w:rStyle w:val="10"/>
          <w:rFonts w:hint="default" w:ascii="Times New Roman Regular" w:hAnsi="Times New Roman Regular" w:eastAsia="SimSun" w:cs="Times New Roman Regular"/>
          <w:b w:val="0"/>
          <w:bCs/>
          <w:color w:val="auto"/>
          <w:kern w:val="0"/>
          <w:sz w:val="24"/>
          <w:szCs w:val="24"/>
          <w:lang w:val="en-US" w:eastAsia="zh-CN" w:bidi="ar"/>
        </w:rPr>
        <w:t>[</w:t>
      </w:r>
      <w:r>
        <w:rPr>
          <w:rStyle w:val="10"/>
          <w:rFonts w:hint="default" w:ascii="Times New Roman Regular" w:hAnsi="Times New Roman Regular" w:eastAsia="SimSun" w:cs="Times New Roman Regular"/>
          <w:b w:val="0"/>
          <w:bCs/>
          <w:color w:val="auto"/>
          <w:kern w:val="0"/>
          <w:sz w:val="24"/>
          <w:szCs w:val="24"/>
          <w:lang w:val="en-US" w:eastAsia="zh-CN" w:bidi="ar"/>
        </w:rPr>
        <w:footnoteReference w:id="86"/>
      </w:r>
      <w:r>
        <w:rPr>
          <w:rStyle w:val="10"/>
          <w:rFonts w:hint="default" w:ascii="Times New Roman Regular" w:hAnsi="Times New Roman Regular" w:eastAsia="SimSun" w:cs="Times New Roman Regular"/>
          <w:b w:val="0"/>
          <w:bCs/>
          <w:color w:val="auto"/>
          <w:kern w:val="0"/>
          <w:sz w:val="24"/>
          <w:szCs w:val="24"/>
          <w:lang w:val="en-US" w:eastAsia="zh-CN" w:bidi="ar"/>
        </w:rPr>
        <w:t>]</w:t>
      </w:r>
    </w:p>
    <w:p w14:paraId="749C1846">
      <w:pPr>
        <w:pStyle w:val="17"/>
        <w:keepNext w:val="0"/>
        <w:keepLines w:val="0"/>
        <w:widowControl/>
        <w:suppressLineNumbers w:val="0"/>
        <w:rPr>
          <w:rFonts w:hint="default" w:ascii="Times New Roman Regular" w:hAnsi="Times New Roman Regular" w:eastAsia="SimSun" w:cs="Times New Roman Regular"/>
          <w:b w:val="0"/>
          <w:bCs/>
          <w:kern w:val="0"/>
          <w:sz w:val="24"/>
          <w:szCs w:val="24"/>
          <w:lang w:val="en-US" w:eastAsia="zh-CN" w:bidi="ar"/>
        </w:rPr>
      </w:pPr>
    </w:p>
    <w:p w14:paraId="65168232">
      <w:pPr>
        <w:pStyle w:val="17"/>
        <w:keepNext w:val="0"/>
        <w:keepLines w:val="0"/>
        <w:widowControl/>
        <w:suppressLineNumbers w:val="0"/>
        <w:rPr>
          <w:rFonts w:hint="default" w:ascii="Times New Roman Regular" w:hAnsi="Times New Roman Regular" w:eastAsia="SimSun" w:cs="Times New Roman Regular"/>
          <w:b w:val="0"/>
          <w:bCs/>
          <w:kern w:val="0"/>
          <w:sz w:val="24"/>
          <w:szCs w:val="24"/>
          <w:lang w:val="en-US" w:eastAsia="zh-CN" w:bidi="ar"/>
        </w:rPr>
      </w:pPr>
    </w:p>
    <w:p w14:paraId="4BDC32DA">
      <w:pPr>
        <w:pStyle w:val="3"/>
        <w:bidi w:val="0"/>
        <w:rPr>
          <w:rFonts w:hint="eastAsia" w:ascii="Times New Roman Regular" w:hAnsi="Times New Roman Regular" w:eastAsia="SimSun" w:cs="Times New Roman Regular"/>
          <w:sz w:val="24"/>
          <w:szCs w:val="24"/>
          <w:lang w:eastAsia="zh-CN"/>
        </w:rPr>
      </w:pPr>
      <w:r>
        <w:rPr>
          <w:rFonts w:hint="eastAsia" w:ascii="Times New Roman Regular" w:hAnsi="Times New Roman Regular" w:eastAsia="SimSun" w:cs="Times New Roman Regular"/>
          <w:sz w:val="24"/>
          <w:szCs w:val="24"/>
          <w:lang w:eastAsia="zh-CN"/>
        </w:rPr>
        <w:drawing>
          <wp:inline distT="0" distB="0" distL="114300" distR="114300">
            <wp:extent cx="5270500" cy="3285490"/>
            <wp:effectExtent l="0" t="0" r="12700" b="16510"/>
            <wp:docPr id="10" name="Picture 10" descr="chart_heatmap_dimensions_20260118_22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_heatmap_dimensions_20260118_222455"/>
                    <pic:cNvPicPr>
                      <a:picLocks noChangeAspect="1"/>
                    </pic:cNvPicPr>
                  </pic:nvPicPr>
                  <pic:blipFill>
                    <a:blip r:embed="rId10"/>
                    <a:stretch>
                      <a:fillRect/>
                    </a:stretch>
                  </pic:blipFill>
                  <pic:spPr>
                    <a:xfrm>
                      <a:off x="0" y="0"/>
                      <a:ext cx="5270500" cy="3285490"/>
                    </a:xfrm>
                    <a:prstGeom prst="rect">
                      <a:avLst/>
                    </a:prstGeom>
                  </pic:spPr>
                </pic:pic>
              </a:graphicData>
            </a:graphic>
          </wp:inline>
        </w:drawing>
      </w:r>
    </w:p>
    <w:p w14:paraId="26702644">
      <w:pPr>
        <w:keepNext w:val="0"/>
        <w:keepLines w:val="0"/>
        <w:widowControl/>
        <w:suppressLineNumbers w:val="0"/>
        <w:jc w:val="left"/>
        <w:rPr>
          <w:rFonts w:hint="default" w:ascii="Times New Roman Regular" w:hAnsi="Times New Roman Regular" w:cs="Times New Roman Regular"/>
          <w:b w:val="0"/>
          <w:bCs/>
          <w:sz w:val="24"/>
          <w:szCs w:val="24"/>
        </w:rPr>
      </w:pPr>
      <w:r>
        <w:rPr>
          <w:rFonts w:hint="default" w:ascii="Times New Roman Regular" w:hAnsi="Times New Roman Regular" w:eastAsia="SimSun" w:cs="Times New Roman Regular"/>
          <w:b/>
          <w:bCs w:val="0"/>
          <w:kern w:val="0"/>
          <w:sz w:val="24"/>
          <w:szCs w:val="24"/>
          <w:lang w:val="en-US" w:eastAsia="zh-CN" w:bidi="ar"/>
        </w:rPr>
        <w:t xml:space="preserve">Fig. </w:t>
      </w:r>
      <w:r>
        <w:rPr>
          <w:rFonts w:hint="eastAsia" w:ascii="Times New Roman Regular" w:hAnsi="Times New Roman Regular" w:eastAsia="SimSun" w:cs="Times New Roman Regular"/>
          <w:b/>
          <w:bCs w:val="0"/>
          <w:kern w:val="0"/>
          <w:sz w:val="24"/>
          <w:szCs w:val="24"/>
          <w:lang w:val="en-US" w:eastAsia="zh-CN" w:bidi="ar"/>
        </w:rPr>
        <w:t>4</w:t>
      </w:r>
      <w:r>
        <w:rPr>
          <w:rFonts w:hint="default" w:ascii="Times New Roman Regular" w:hAnsi="Times New Roman Regular" w:eastAsia="SimSun" w:cs="Times New Roman Regular"/>
          <w:b/>
          <w:bCs w:val="0"/>
          <w:kern w:val="0"/>
          <w:sz w:val="24"/>
          <w:szCs w:val="24"/>
          <w:lang w:val="en-US" w:eastAsia="zh-CN" w:bidi="ar"/>
        </w:rPr>
        <w:t>.</w:t>
      </w:r>
      <w:r>
        <w:rPr>
          <w:rFonts w:hint="default" w:ascii="Times New Roman Regular" w:hAnsi="Times New Roman Regular" w:eastAsia="SimSun" w:cs="Times New Roman Regular"/>
          <w:b w:val="0"/>
          <w:bCs/>
          <w:kern w:val="0"/>
          <w:sz w:val="24"/>
          <w:szCs w:val="24"/>
          <w:lang w:val="en-US" w:eastAsia="zh-CN" w:bidi="ar"/>
        </w:rPr>
        <w:t xml:space="preserve"> Model Performance Heatmap: Average Scores by Dimension</w:t>
      </w:r>
      <w:r>
        <w:rPr>
          <w:rStyle w:val="10"/>
          <w:rFonts w:hint="default" w:ascii="Times New Roman Regular" w:hAnsi="Times New Roman Regular" w:eastAsia="SimSun" w:cs="Times New Roman Regular"/>
          <w:b w:val="0"/>
          <w:bCs/>
          <w:kern w:val="0"/>
          <w:sz w:val="24"/>
          <w:szCs w:val="24"/>
          <w:lang w:val="en-US" w:eastAsia="zh-CN" w:bidi="ar"/>
        </w:rPr>
        <w:t>[</w:t>
      </w:r>
      <w:r>
        <w:rPr>
          <w:rStyle w:val="10"/>
          <w:rFonts w:hint="default" w:ascii="Times New Roman Regular" w:hAnsi="Times New Roman Regular" w:eastAsia="SimSun" w:cs="Times New Roman Regular"/>
          <w:b w:val="0"/>
          <w:bCs/>
          <w:kern w:val="0"/>
          <w:sz w:val="24"/>
          <w:szCs w:val="24"/>
          <w:lang w:val="en-US" w:eastAsia="zh-CN" w:bidi="ar"/>
        </w:rPr>
        <w:footnoteReference w:id="87"/>
      </w:r>
      <w:r>
        <w:rPr>
          <w:rStyle w:val="10"/>
          <w:rFonts w:hint="default" w:ascii="Times New Roman Regular" w:hAnsi="Times New Roman Regular" w:eastAsia="SimSun" w:cs="Times New Roman Regular"/>
          <w:b w:val="0"/>
          <w:bCs/>
          <w:kern w:val="0"/>
          <w:sz w:val="24"/>
          <w:szCs w:val="24"/>
          <w:lang w:val="en-US" w:eastAsia="zh-CN" w:bidi="ar"/>
        </w:rPr>
        <w:t>]</w:t>
      </w:r>
    </w:p>
    <w:p w14:paraId="33CAB045">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color w:val="auto"/>
          <w:sz w:val="24"/>
          <w:szCs w:val="24"/>
          <w:lang w:val="en-US" w:eastAsia="zh-CN"/>
        </w:rPr>
      </w:pPr>
    </w:p>
    <w:p w14:paraId="11983132">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b/>
          <w:bCs/>
          <w:color w:val="auto"/>
          <w:sz w:val="24"/>
          <w:szCs w:val="24"/>
          <w:lang w:val="en-US" w:eastAsia="zh-CN"/>
        </w:rPr>
        <w:t>Error profiles explain rank differences.</w:t>
      </w:r>
      <w:r>
        <w:rPr>
          <w:rFonts w:hint="default" w:ascii="Times New Roman Regular" w:hAnsi="Times New Roman Regular" w:cs="Times New Roman Regular"/>
          <w:color w:val="auto"/>
          <w:sz w:val="24"/>
          <w:szCs w:val="24"/>
          <w:lang w:val="en-US" w:eastAsia="zh-CN"/>
        </w:rPr>
        <w:t xml:space="preserve"> Counts of high-salience errors co-vary with score. Qwen‑Max has the most major errors (4) and a high obvious-error load (78). GPT‑4o has the highest obvious-error count (86). By contrast, DeepSeek‑Thinking and DeepSeek have far fewer obvious errors (29 and 31), consistent with stronger subsumption and fact‑mapping behavior.</w:t>
      </w:r>
    </w:p>
    <w:p w14:paraId="123F231B">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color w:val="auto"/>
          <w:sz w:val="24"/>
          <w:szCs w:val="24"/>
          <w:lang w:val="en-US" w:eastAsia="zh-CN"/>
        </w:rPr>
      </w:pPr>
    </w:p>
    <w:p w14:paraId="76CF20F5">
      <w:pPr>
        <w:pStyle w:val="17"/>
        <w:keepNext w:val="0"/>
        <w:keepLines w:val="0"/>
        <w:widowControl/>
        <w:suppressLineNumbers w:val="0"/>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eastAsia="SimSun" w:cs="Times New Roman Regular"/>
          <w:b w:val="0"/>
          <w:bCs/>
          <w:kern w:val="0"/>
          <w:sz w:val="24"/>
          <w:szCs w:val="24"/>
          <w:lang w:val="en-US" w:eastAsia="zh-CN" w:bidi="ar"/>
        </w:rPr>
        <w:drawing>
          <wp:inline distT="0" distB="0" distL="114300" distR="114300">
            <wp:extent cx="5264785" cy="2609850"/>
            <wp:effectExtent l="0" t="0" r="18415" b="6350"/>
            <wp:docPr id="1" name="图片 1" descr="chart_errors_20260117_23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rt_errors_20260117_235928"/>
                    <pic:cNvPicPr>
                      <a:picLocks noChangeAspect="1"/>
                    </pic:cNvPicPr>
                  </pic:nvPicPr>
                  <pic:blipFill>
                    <a:blip r:embed="rId11"/>
                    <a:stretch>
                      <a:fillRect/>
                    </a:stretch>
                  </pic:blipFill>
                  <pic:spPr>
                    <a:xfrm>
                      <a:off x="0" y="0"/>
                      <a:ext cx="5264785" cy="2609850"/>
                    </a:xfrm>
                    <a:prstGeom prst="rect">
                      <a:avLst/>
                    </a:prstGeom>
                  </pic:spPr>
                </pic:pic>
              </a:graphicData>
            </a:graphic>
          </wp:inline>
        </w:drawing>
      </w:r>
      <w:r>
        <w:rPr>
          <w:rFonts w:hint="default" w:ascii="Times New Roman Regular" w:hAnsi="Times New Roman Regular" w:eastAsia="SimSun" w:cs="Times New Roman Regular"/>
          <w:b/>
          <w:bCs w:val="0"/>
          <w:kern w:val="0"/>
          <w:sz w:val="24"/>
          <w:szCs w:val="24"/>
          <w:lang w:val="en-US" w:eastAsia="zh-CN" w:bidi="ar"/>
        </w:rPr>
        <w:t xml:space="preserve">Fig. </w:t>
      </w:r>
      <w:r>
        <w:rPr>
          <w:rFonts w:hint="eastAsia" w:ascii="Times New Roman Regular" w:hAnsi="Times New Roman Regular" w:eastAsia="SimSun" w:cs="Times New Roman Regular"/>
          <w:b/>
          <w:bCs w:val="0"/>
          <w:kern w:val="0"/>
          <w:sz w:val="24"/>
          <w:szCs w:val="24"/>
          <w:lang w:val="en-US" w:eastAsia="zh-CN" w:bidi="ar"/>
        </w:rPr>
        <w:t>5</w:t>
      </w:r>
      <w:r>
        <w:rPr>
          <w:rFonts w:hint="default" w:ascii="Times New Roman Regular" w:hAnsi="Times New Roman Regular" w:eastAsia="SimSun" w:cs="Times New Roman Regular"/>
          <w:b/>
          <w:bCs w:val="0"/>
          <w:kern w:val="0"/>
          <w:sz w:val="24"/>
          <w:szCs w:val="24"/>
          <w:lang w:val="en-US" w:eastAsia="zh-CN" w:bidi="ar"/>
        </w:rPr>
        <w:t>.</w:t>
      </w:r>
      <w:r>
        <w:rPr>
          <w:rFonts w:hint="default" w:ascii="Times New Roman Regular" w:hAnsi="Times New Roman Regular" w:eastAsia="SimSun" w:cs="Times New Roman Regular"/>
          <w:b w:val="0"/>
          <w:bCs/>
          <w:kern w:val="0"/>
          <w:sz w:val="24"/>
          <w:szCs w:val="24"/>
          <w:lang w:val="en-US" w:eastAsia="zh-CN" w:bidi="ar"/>
        </w:rPr>
        <w:t xml:space="preserve"> Error Statistics (Major/Obvious/Minor)</w:t>
      </w:r>
    </w:p>
    <w:p w14:paraId="5623C098">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color w:val="auto"/>
          <w:sz w:val="24"/>
          <w:szCs w:val="24"/>
          <w:lang w:val="en-US" w:eastAsia="zh-CN"/>
        </w:rPr>
      </w:pPr>
      <w:commentRangeStart w:id="5"/>
      <w:commentRangeStart w:id="6"/>
      <w:r>
        <w:rPr>
          <w:rFonts w:hint="default" w:ascii="Times New Roman Regular" w:hAnsi="Times New Roman Regular" w:cs="Times New Roman Regular"/>
          <w:b/>
          <w:bCs/>
          <w:color w:val="auto"/>
          <w:sz w:val="24"/>
          <w:szCs w:val="24"/>
          <w:lang w:val="en-US" w:eastAsia="zh-CN"/>
        </w:rPr>
        <w:t xml:space="preserve">Why we report reliability signals alongside ranks. </w:t>
      </w:r>
      <w:commentRangeEnd w:id="5"/>
      <w:r>
        <w:rPr>
          <w:rFonts w:hint="default" w:ascii="Times New Roman Regular" w:hAnsi="Times New Roman Regular" w:cs="Times New Roman Regular"/>
          <w:sz w:val="24"/>
          <w:szCs w:val="24"/>
        </w:rPr>
        <w:commentReference w:id="5"/>
      </w:r>
      <w:commentRangeEnd w:id="6"/>
      <w:r>
        <w:commentReference w:id="6"/>
      </w:r>
      <w:r>
        <w:rPr>
          <w:rFonts w:hint="default" w:ascii="Times New Roman Regular" w:hAnsi="Times New Roman Regular" w:cs="Times New Roman Regular"/>
          <w:color w:val="auto"/>
          <w:sz w:val="24"/>
          <w:szCs w:val="24"/>
          <w:lang w:val="en-US" w:eastAsia="zh-CN"/>
        </w:rPr>
        <w:t>Average score can mask operational risks. We therefore report abandoned-law citations as a concrete reliability signal: 0/100 for Gemini, 1/100 for DeepSeek, 7/100 for DeepSeek‑Thinking, 7/100 for Qwen‑Max, 10/100 for Claude, and 16/100 for GPT‑4o. This matters because an answer can be fluent and empathetic yet unusable if it relies on repealed authority. Notably, DeepSeek‑Thinking yields only a +0.04/20 gain over DeepSeek on average score (16.45 vs. 16.42) but increases abandoned-law citations (7 vs. 1), highlighting a score–reliability tradeoff relevant to deployment.</w:t>
      </w:r>
    </w:p>
    <w:p w14:paraId="4C75C83E">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b/>
          <w:bCs/>
          <w:color w:val="auto"/>
          <w:sz w:val="24"/>
          <w:szCs w:val="24"/>
          <w:lang w:val="en-US" w:eastAsia="zh-CN"/>
        </w:rPr>
        <w:t xml:space="preserve">Cost and verbosity signals </w:t>
      </w:r>
      <w:r>
        <w:rPr>
          <w:rFonts w:hint="default" w:ascii="Times New Roman Regular" w:hAnsi="Times New Roman Regular" w:cs="Times New Roman Regular"/>
          <w:color w:val="auto"/>
          <w:sz w:val="24"/>
          <w:szCs w:val="24"/>
          <w:lang w:val="en-US" w:eastAsia="zh-CN"/>
        </w:rPr>
        <w:t>(where token telemetry is available). In the answer-generation stage, average total tokens per response range from 3,594 (Qwen‑Max) to 5,811 (Gemini), with DeepSeek at 4,317 and Claude at 4,230 (token telemetry is not uniformly available for all models). Output verbosity also varies substantially: average answer length ranges from 1,060 characters (</w:t>
      </w:r>
      <w:bookmarkStart w:id="10" w:name="_GoBack"/>
      <w:bookmarkEnd w:id="10"/>
      <w:r>
        <w:rPr>
          <w:rFonts w:hint="default" w:ascii="Times New Roman Regular" w:hAnsi="Times New Roman Regular" w:cs="Times New Roman Regular"/>
          <w:color w:val="auto"/>
          <w:sz w:val="24"/>
          <w:szCs w:val="24"/>
          <w:lang w:val="en-US" w:eastAsia="zh-CN"/>
        </w:rPr>
        <w:t>GPT‑4o) and 1,357 (Qwen‑Max) to 3,773 (DeepSeek) and 3,888 (Gemini). These signals show that longer outputs and higher token usage do not guarantee higher judicial alignment, and they support reporting quality together with compute cost for practical selection.</w:t>
      </w:r>
    </w:p>
    <w:p w14:paraId="4D98D787">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b/>
          <w:bCs/>
          <w:color w:val="auto"/>
          <w:sz w:val="24"/>
          <w:szCs w:val="24"/>
          <w:lang w:val="en-US" w:eastAsia="zh-CN"/>
        </w:rPr>
        <w:t>Why impactful errors are penalties rather than a sixth dimension.</w:t>
      </w:r>
      <w:r>
        <w:rPr>
          <w:rFonts w:hint="default" w:ascii="Times New Roman Regular" w:hAnsi="Times New Roman Regular" w:cs="Times New Roman Regular"/>
          <w:color w:val="auto"/>
          <w:sz w:val="24"/>
          <w:szCs w:val="24"/>
          <w:lang w:val="en-US" w:eastAsia="zh-CN"/>
        </w:rPr>
        <w:t xml:space="preserve"> We treat fabricated authority, core fact inversion, and procedural-stage confusion as high-impact failures that should cap or deduct scores across dimensions. This prevents double-counting while keeping the primary ranking anchored to the five judicial-quality dimensions.</w:t>
      </w:r>
    </w:p>
    <w:p w14:paraId="3E4DF9F1">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b/>
          <w:bCs/>
          <w:color w:val="auto"/>
          <w:sz w:val="24"/>
          <w:szCs w:val="24"/>
          <w:lang w:val="en-US" w:eastAsia="zh-CN"/>
        </w:rPr>
      </w:pPr>
    </w:p>
    <w:p w14:paraId="22E4A2E2">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b/>
          <w:bCs/>
          <w:color w:val="auto"/>
          <w:sz w:val="24"/>
          <w:szCs w:val="24"/>
          <w:lang w:val="en-US" w:eastAsia="zh-CN"/>
        </w:rPr>
        <w:t xml:space="preserve">Handling GPT‑5. </w:t>
      </w:r>
      <w:r>
        <w:rPr>
          <w:rFonts w:hint="default" w:ascii="Times New Roman Regular" w:hAnsi="Times New Roman Regular" w:cs="Times New Roman Regular"/>
          <w:color w:val="auto"/>
          <w:sz w:val="24"/>
          <w:szCs w:val="24"/>
          <w:lang w:val="en-US" w:eastAsia="zh-CN"/>
        </w:rPr>
        <w:t>We exclude GPT‑5 from the main ranking because content-sensitivity constraints led it to refuse answers for a majority of prompts in this slice (65/100). We report it separately: on the 35 non-refused responses, its mean score is 16.60/20, but the refusal behavior makes cross-model ranking less comparable for this setting.</w:t>
      </w:r>
    </w:p>
    <w:p w14:paraId="4E64C8DC">
      <w:pPr>
        <w:keepNext w:val="0"/>
        <w:keepLines w:val="0"/>
        <w:widowControl/>
        <w:suppressLineNumbers w:val="0"/>
        <w:ind w:firstLine="420" w:firstLineChars="0"/>
        <w:jc w:val="left"/>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cs="Times New Roman Regular" w:eastAsiaTheme="minorEastAsia"/>
          <w:color w:val="auto"/>
          <w:kern w:val="0"/>
          <w:sz w:val="24"/>
          <w:szCs w:val="24"/>
          <w:lang w:val="en-US" w:eastAsia="zh-CN" w:bidi="ar"/>
        </w:rPr>
        <w:t>Overall, the gap between tiers is explained by both aggregate scores and error profiles. Models with weaker subsumption-chain alignment and key-fact/issue coverage accrue more high-salience errors, which can yield fluent but court-misaligned outputs. As Figure 1 suggests, top-tier models are consistently strong across the rubric dimensions rather than spiking in a single component.</w:t>
      </w:r>
    </w:p>
    <w:p w14:paraId="20ABCC04">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cs="Times New Roman Regular"/>
          <w:color w:val="auto"/>
          <w:sz w:val="24"/>
          <w:szCs w:val="24"/>
        </w:rPr>
        <w:t>We also report abandoned-law citations as an orthogonal reliability signal (lower is better). Gemini has 0/100 (0.0%), while DeepSeek-V3 has 1/100 (1.0%).</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 xml:space="preserve">Gemini shows zero questions with abandoned law citations, while DeepSeek V3 shows one. </w:t>
      </w:r>
      <w:r>
        <w:rPr>
          <w:rFonts w:hint="default" w:ascii="Times New Roman Regular" w:hAnsi="Times New Roman Regular" w:eastAsia="SimSun" w:cs="Times New Roman Regular"/>
          <w:color w:val="auto"/>
          <w:kern w:val="0"/>
          <w:sz w:val="24"/>
          <w:szCs w:val="24"/>
          <w:lang w:val="en-US" w:eastAsia="zh-CN" w:bidi="ar"/>
        </w:rPr>
        <w:t>The rate is 7/100 (7.0%) for DeepSeek-R1 (reasoning mode) and 7/100 (7.0%) for Qwen-Max, and it reaches 10/100 (10.0%) for Claude. The figures also show GPT 4o with the highest abandoned law count in this slice, which tracks its weaker overall rubric performance. Abandoned-law citations range from 0/100 (0.0%) to 16/100 (16.0%): 0/100 for Gemini, 1/100 for DeepSeek, 7/100 for DeepSeek‑Thinking (reasoning mode) and 7/100 for Qwen‑Max, 10/100 for Claude, and 16/100 for GPT. This matters because an answer can sound careful and empathetic but still be operationally wrong if it relies on repealed rules. It also exposes a tradeoff inside the DeepSeek. Thinking mode slightly improves average scores, but it increases the risk of outdated authority in this setting. That is a concrete failure mode for value laden adjudication. Legal empathy is not only tone. It requires current, usable law and a traceable chain from norms to facts to relief. The next section unpacks these aggregate patterns at the dimension level, moving from judicial reasoning alignment and explanatory quality to value laden decisions and the impactful errors that most often drive score divergence.</w:t>
      </w:r>
    </w:p>
    <w:p w14:paraId="1DC6B7FD">
      <w:pPr>
        <w:pStyle w:val="3"/>
        <w:numPr>
          <w:ilvl w:val="0"/>
          <w:numId w:val="5"/>
        </w:numPr>
        <w:bidi w:val="0"/>
        <w:rPr>
          <w:rFonts w:hint="default" w:ascii="Times New Roman Regular" w:hAnsi="Times New Roman Regular" w:cs="Times New Roman Regular"/>
          <w:b/>
          <w:bCs w:val="0"/>
          <w:sz w:val="24"/>
          <w:szCs w:val="24"/>
          <w:lang w:val="en-US" w:eastAsia="zh-CN"/>
        </w:rPr>
      </w:pPr>
      <w:r>
        <w:rPr>
          <w:rFonts w:hint="default" w:ascii="Times New Roman Regular" w:hAnsi="Times New Roman Regular" w:cs="Times New Roman Regular"/>
          <w:b/>
          <w:bCs w:val="0"/>
          <w:sz w:val="24"/>
          <w:szCs w:val="24"/>
          <w:lang w:val="en-US" w:eastAsia="zh-CN"/>
        </w:rPr>
        <w:t>Discussion</w:t>
      </w:r>
    </w:p>
    <w:p w14:paraId="00A93AB5">
      <w:pPr>
        <w:rPr>
          <w:rFonts w:hint="default" w:ascii="Times New Roman Regular" w:hAnsi="Times New Roman Regular" w:cs="Times New Roman Regular"/>
          <w:sz w:val="24"/>
          <w:szCs w:val="24"/>
          <w:lang w:val="en-US" w:eastAsia="zh-CN"/>
        </w:rPr>
      </w:pPr>
    </w:p>
    <w:p w14:paraId="1B3B5430">
      <w:pPr>
        <w:pStyle w:val="3"/>
        <w:bidi w:val="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b/>
          <w:bCs w:val="0"/>
          <w:sz w:val="24"/>
          <w:szCs w:val="24"/>
          <w:lang w:val="en-US" w:eastAsia="zh-CN"/>
        </w:rPr>
        <w:t>5.1 Judicial Reasoning Alignment</w:t>
      </w:r>
    </w:p>
    <w:p w14:paraId="587CBAB5">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bCs w:val="0"/>
          <w:sz w:val="24"/>
          <w:szCs w:val="24"/>
        </w:rPr>
        <w:t>Normative Basis Relevance</w:t>
      </w:r>
      <w:r>
        <w:rPr>
          <w:rFonts w:hint="default" w:ascii="Times New Roman Regular" w:hAnsi="Times New Roman Regular" w:cs="Times New Roman Regular"/>
          <w:b/>
          <w:bCs w:val="0"/>
          <w:sz w:val="24"/>
          <w:szCs w:val="24"/>
          <w:lang w:val="en-US"/>
        </w:rPr>
        <w:t>.</w:t>
      </w:r>
      <w:r>
        <w:rPr>
          <w:rFonts w:hint="default" w:ascii="Times New Roman Regular" w:hAnsi="Times New Roman Regular" w:cs="Times New Roman Regular"/>
          <w:b w:val="0"/>
          <w:bCs/>
          <w:color w:val="FF0000"/>
          <w:sz w:val="24"/>
          <w:szCs w:val="24"/>
          <w:lang w:val="en-US"/>
        </w:rPr>
        <w:t xml:space="preserve"> </w:t>
      </w:r>
      <w:r>
        <w:rPr>
          <w:rFonts w:hint="default" w:ascii="Times New Roman Regular" w:hAnsi="Times New Roman Regular" w:cs="Times New Roman Regular"/>
          <w:b w:val="0"/>
          <w:bCs/>
          <w:color w:val="auto"/>
          <w:sz w:val="24"/>
          <w:szCs w:val="24"/>
          <w:lang w:val="en-US"/>
        </w:rPr>
        <w:t>Dimension-level averages in the 100-question slice show a consistent gradient: DeepSeek‑Thinking and DeepSeek score ~3.4/4 on Normative Basis and Subsumption, while GPT‑4o is ~2.1/4 on Normative Basis and ~1.7/4 on Subsumption; the largest gaps concentrate in Key Facts/Issues Coverage (3.25 vs. 1.68) and Subsumption (3.39 vs. 1.71).</w:t>
      </w:r>
      <w:r>
        <w:rPr>
          <w:rFonts w:hint="default" w:ascii="Times New Roman Regular" w:hAnsi="Times New Roman Regular" w:cs="Times New Roman Regular"/>
          <w:b w:val="0"/>
          <w:bCs/>
          <w:color w:val="auto"/>
          <w:sz w:val="24"/>
          <w:szCs w:val="24"/>
          <w:lang w:val="en-US" w:eastAsia="zh-CN"/>
        </w:rPr>
        <w:t xml:space="preserve"> </w:t>
      </w:r>
      <w:r>
        <w:rPr>
          <w:rFonts w:hint="default" w:ascii="Times New Roman Regular" w:hAnsi="Times New Roman Regular" w:cs="Times New Roman Regular"/>
          <w:sz w:val="24"/>
          <w:szCs w:val="24"/>
        </w:rPr>
        <w:t>Normative basis relevance measures whether a model selects rules that actually do work in the case. It tests “operational relevance,” not general legal education. In a statute-centered civil law setting, the governing norm functions as the major premise. When the rule is wrong, later subsumption can look fluent but stays ungrounded. The point is not whether the model reaches the “right” outcome. The point is whether the cited authority can support elements, exceptions, or discretionary factors in the way courts use them.</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In domestic violence characterization, DeepSeek and Gemini often start from the definition clause in the Anti-domestic Violence Law of the</w:t>
      </w:r>
      <w:r>
        <w:rPr>
          <w:rFonts w:hint="default" w:ascii="Times New Roman Regular" w:hAnsi="Times New Roman Regular" w:cs="Times New Roman Regular"/>
          <w:sz w:val="24"/>
          <w:szCs w:val="24"/>
          <w:lang w:val="en-US" w:eastAsia="zh-CN"/>
        </w:rPr>
        <w:t xml:space="preserve"> PRC</w:t>
      </w:r>
      <w:r>
        <w:rPr>
          <w:rFonts w:hint="default" w:ascii="Times New Roman Regular" w:hAnsi="Times New Roman Regular" w:cs="Times New Roman Regular"/>
          <w:sz w:val="24"/>
          <w:szCs w:val="24"/>
        </w:rPr>
        <w:t>, including “ the inflicting of physical, psychological or other harm</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In custody and protection-order disputes, higher scoring answers cite both the child-centered standards in the Civil Code art. 1084, “best interests of the minor”</w:t>
      </w:r>
      <w:r>
        <w:rPr>
          <w:rFonts w:hint="default" w:ascii="Times New Roman Regular" w:hAnsi="Times New Roman Regular" w:cs="Times New Roman Regular"/>
          <w:sz w:val="24"/>
          <w:szCs w:val="24"/>
          <w:lang w:val="en-US" w:eastAsia="zh-CN"/>
        </w:rPr>
        <w:t xml:space="preserve"> and</w:t>
      </w:r>
      <w:r>
        <w:rPr>
          <w:rFonts w:hint="default" w:ascii="Times New Roman Regular" w:hAnsi="Times New Roman Regular" w:cs="Times New Roman Regular"/>
          <w:sz w:val="24"/>
          <w:szCs w:val="24"/>
        </w:rPr>
        <w:t xml:space="preserve"> art. 1085, support payments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and the protection-order gateway norms ( Anti-domestic Violence Law, arts. 23 and 27, “personal safety protective order” ). In divorce, property, and damages, Qwen-Max and Gemini are most reliable when they map each claim to the corresponding article, such as divorce grounds</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property division</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housework compensation, and divorce damages. In homicide cases triggered by long-term abuse, DeepSeek’s better answers separate conviction from sentencing and cite the crime definition and voluntarily giving oneself up</w:t>
      </w:r>
      <w:r>
        <w:rPr>
          <w:rFonts w:hint="default"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(Criminal Law of the PRC, art. 232</w:t>
      </w:r>
      <w:r>
        <w:rPr>
          <w:rFonts w:hint="default" w:ascii="Times New Roman Regular" w:hAnsi="Times New Roman Regular" w:cs="Times New Roman Regular"/>
          <w:sz w:val="24"/>
          <w:szCs w:val="24"/>
          <w:lang w:val="en-US"/>
        </w:rPr>
        <w:t xml:space="preserve"> and</w:t>
      </w:r>
      <w:r>
        <w:rPr>
          <w:rFonts w:hint="default" w:ascii="Times New Roman Regular" w:hAnsi="Times New Roman Regular" w:cs="Times New Roman Regular"/>
          <w:sz w:val="24"/>
          <w:szCs w:val="24"/>
        </w:rPr>
        <w:t xml:space="preserve"> art. 67). One representative answer makes the sentencing move explicit: “recommend a substantial mitigation within the sentencing range for intentional homicide, but not a downward adjustment to the next range.” This citation pattern matches what judges treat as legally “actionable” in their written reasons.</w:t>
      </w:r>
    </w:p>
    <w:p w14:paraId="374C3FE7">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Besides, f</w:t>
      </w:r>
      <w:r>
        <w:rPr>
          <w:rFonts w:hint="default" w:ascii="Times New Roman Regular" w:hAnsi="Times New Roman Regular" w:cs="Times New Roman Regular"/>
          <w:sz w:val="24"/>
          <w:szCs w:val="24"/>
        </w:rPr>
        <w:t xml:space="preserve">ailure cases are rarely random. They reflect a structural gap between model citation habits and judicial discretion. A common miss is slogan-level reliance on broad principles. DeepSeek sometimes frames disputes with </w:t>
      </w:r>
      <w:r>
        <w:rPr>
          <w:rFonts w:hint="default" w:ascii="Times New Roman Regular" w:hAnsi="Times New Roman Regular" w:cs="Times New Roman Regular"/>
          <w:sz w:val="24"/>
          <w:szCs w:val="24"/>
          <w:lang w:val="en-US" w:eastAsia="zh-CN"/>
        </w:rPr>
        <w:t xml:space="preserve">the </w:t>
      </w:r>
      <w:r>
        <w:rPr>
          <w:rFonts w:hint="default" w:ascii="Times New Roman Regular" w:hAnsi="Times New Roman Regular" w:cs="Times New Roman Regular"/>
          <w:sz w:val="24"/>
          <w:szCs w:val="24"/>
        </w:rPr>
        <w:t>Civil Code art. 8 “public order and good morals”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and art. 153 “</w:t>
      </w:r>
      <w:r>
        <w:rPr>
          <w:rFonts w:hint="default" w:ascii="Times New Roman Regular" w:hAnsi="Times New Roman Regular" w:cs="Times New Roman Regular"/>
          <w:sz w:val="24"/>
          <w:szCs w:val="24"/>
          <w:lang w:val="en-US"/>
        </w:rPr>
        <w:t>void juridical act.</w:t>
      </w:r>
      <w:r>
        <w:rPr>
          <w:rFonts w:hint="default" w:ascii="Times New Roman Regular" w:hAnsi="Times New Roman Regular" w:cs="Times New Roman Regular"/>
          <w:sz w:val="24"/>
          <w:szCs w:val="24"/>
        </w:rPr>
        <w:t xml:space="preserve">”, yet it does not connect them to the court’s operative tool, such as intent-interpretation rules in a waiver or settlement setting. One typical phrasing is: “legal protection of personal rights is the cornerstone of social order,” which sounds normatively appealing but can miss the judge’s technical path. Another recurring weakness is thin procedure and evidence law. Complex fact patterns often turn on burden allocation and proof rules under the Civil Procedure Law, including the baseline “who asserts, who proves”, yet many LLM answers stay on entity law only. Norm mixing is another source of low scores. Qwen-Max occasionally cites the marital community-property rule in a cohabitation case (Civil Code of the PRC, art. 1062 “community property and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joint possession”), then tries to walk it back. That starting point still distorts the legal frame. Claude sometimes omits the decisive gift rule when “gift” is the disputed label (Civil Code of the PRC, art. 657 “gift contract”). </w:t>
      </w:r>
    </w:p>
    <w:p w14:paraId="6DAFD01D">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color w:val="auto"/>
          <w:sz w:val="24"/>
          <w:szCs w:val="24"/>
        </w:rPr>
        <w:t>Update lag is measurable in our slice via abandoned-law citations: Gemini has 0/100 (0.0%), DeepSeek has 1/100 (1.0%), DeepSeek‑Thinking and Qwen‑Max each have 7/100 (7.0%), Claude has 10/100 (10.0%), and GPT‑4o reaches 16/100 (16.0%).</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For bride price disputes, answers that cite older interpretive anchors instead of the newer S</w:t>
      </w:r>
      <w:r>
        <w:rPr>
          <w:rFonts w:hint="default" w:ascii="Times New Roman Regular" w:hAnsi="Times New Roman Regular" w:cs="Times New Roman Regular"/>
          <w:sz w:val="24"/>
          <w:szCs w:val="24"/>
        </w:rPr>
        <w:t>PC bride price provisions lose “operational” precision (Provisions by the Supreme People's Court on Several Issues Concerning the Application of Law in the Trial of Cases Involving Betrothal Gift Disputes, arts. 5–6《最高人民法院关于审理涉彩礼纠纷案件适用法律若干问题的规定》). Finally, some judgments draw on international norms to signal protective orientation. Models rarely mirror that layer, such as CEDAW-related guidance (The Convention on the Elimination of all Forms of Discrimination Against Women), which reduces completeness when the decision itself uses it as a legitimating frame.</w:t>
      </w:r>
    </w:p>
    <w:p w14:paraId="03DDAE50">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These patterns explain why normative basis relevance is a structural marker of judicial alignment. It is also a legitimacy proxy. Public acceptance of AI legal support can be high, even when it is explicitly non-human</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w:t>
      </w:r>
      <w:r>
        <w:rPr>
          <w:rStyle w:val="10"/>
          <w:rFonts w:hint="default" w:ascii="Times New Roman Regular" w:hAnsi="Times New Roman Regular" w:cs="Times New Roman Regular"/>
          <w:sz w:val="24"/>
          <w:szCs w:val="24"/>
          <w:lang w:val="en-US"/>
        </w:rPr>
        <w:t>[</w:t>
      </w:r>
      <w:r>
        <w:rPr>
          <w:rStyle w:val="10"/>
          <w:rFonts w:hint="default" w:ascii="Times New Roman Regular" w:hAnsi="Times New Roman Regular" w:cs="Times New Roman Regular"/>
          <w:sz w:val="24"/>
          <w:szCs w:val="24"/>
          <w:lang w:val="en-US"/>
        </w:rPr>
        <w:footnoteReference w:id="88"/>
      </w:r>
      <w:r>
        <w:rPr>
          <w:rStyle w:val="10"/>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In this benchmark, high scores come from disciplined rule selection and function-aware citation. Low scores come from generic principles, domain mismatches, missing procedural anchors, and stale or omitted controlling sources.</w:t>
      </w:r>
    </w:p>
    <w:p w14:paraId="5EFFEBCC">
      <w:pPr>
        <w:pStyle w:val="4"/>
        <w:keepNext w:val="0"/>
        <w:keepLines w:val="0"/>
        <w:pageBreakBefore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b/>
          <w:bCs w:val="0"/>
          <w:sz w:val="24"/>
          <w:szCs w:val="24"/>
        </w:rPr>
      </w:pPr>
    </w:p>
    <w:p w14:paraId="01902E8D">
      <w:pPr>
        <w:pStyle w:val="4"/>
        <w:keepNext w:val="0"/>
        <w:keepLines w:val="0"/>
        <w:pageBreakBefore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bCs w:val="0"/>
          <w:sz w:val="24"/>
          <w:szCs w:val="24"/>
        </w:rPr>
        <w:t>Subsumption Chain Alignment</w:t>
      </w:r>
      <w:r>
        <w:rPr>
          <w:rFonts w:hint="default" w:ascii="Times New Roman Regular" w:hAnsi="Times New Roman Regular" w:cs="Times New Roman Regular"/>
          <w:b/>
          <w:bCs w:val="0"/>
          <w:sz w:val="24"/>
          <w:szCs w:val="24"/>
          <w:lang w:val="en-US"/>
        </w:rPr>
        <w:t xml:space="preserve">. </w:t>
      </w:r>
      <w:r>
        <w:rPr>
          <w:rFonts w:hint="default" w:ascii="Times New Roman Regular" w:hAnsi="Times New Roman Regular" w:cs="Times New Roman Regular"/>
          <w:b w:val="0"/>
          <w:bCs w:val="0"/>
          <w:sz w:val="24"/>
          <w:szCs w:val="24"/>
        </w:rPr>
        <w:t xml:space="preserve">The strongest outputs treated legal labels as propositions that must be proven, then forced themselves through factorization and mapping. DeepSeek did this well in a domestic violence framing task. It began with the dispute issue, whether the victim’s conduct is better characterized as improper provocation or domestic violence as victim fault. It then stated a norm under </w:t>
      </w:r>
      <w:r>
        <w:rPr>
          <w:rFonts w:hint="default" w:ascii="Times New Roman Regular" w:hAnsi="Times New Roman Regular" w:cs="Times New Roman Regular"/>
          <w:b w:val="0"/>
          <w:bCs w:val="0"/>
          <w:sz w:val="24"/>
          <w:szCs w:val="24"/>
          <w:lang w:eastAsia="zh-CN"/>
        </w:rPr>
        <w:t>Anti-domestic Violence Law</w:t>
      </w:r>
      <w:r>
        <w:rPr>
          <w:rFonts w:hint="default" w:ascii="Times New Roman Regular" w:hAnsi="Times New Roman Regular" w:cs="Times New Roman Regular"/>
          <w:b w:val="0"/>
          <w:bCs w:val="0"/>
          <w:sz w:val="24"/>
          <w:szCs w:val="24"/>
        </w:rPr>
        <w:t>, art. 2, and broke “domestic violence in the legal sense” into three working parts such as a control like harmful act, a causal link to the offense, and a proportionality threshold tied to urgent safety risk. It then mapped concrete facts into each part, including long term verbal abuse and control, property destruction at the scene, a slap, and the knife stabbing directed at a sofa. It marked key items as not satisfied with reasons that track a judge’s review logic, such as the knife act targeting property, the record not supporting homicidal intent, and the sequence looking like retaliation rather than a direct response. The sub conclusion, not domestic violence in the legal sense, followed from those itemized judgments rather than from rhetoric.</w:t>
      </w:r>
    </w:p>
    <w:p w14:paraId="267F39CC">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same disciplined structure appeared when models used court like sequencing in defense and protective relief contexts. DeepSeek often used the recognizable two stage path for legitimate defense: whether legitimate defense is established, then whether it is excessive, and it operationalized Guiding Opinions, art. 10 (《指导意见》) as testable factors. It tied factors to specific record facts such as a large power gap, one successful knife seizure, a later sequence of 17 stabs, and post event statements, and it explained why each factor was met or not met before issuing a sub conclusion. Gemini showed a parallel strength in protection order cases by linking </w:t>
      </w:r>
      <w:r>
        <w:rPr>
          <w:rFonts w:hint="default" w:ascii="Times New Roman Regular" w:hAnsi="Times New Roman Regular" w:cs="Times New Roman Regular"/>
          <w:sz w:val="24"/>
          <w:szCs w:val="24"/>
          <w:lang w:eastAsia="zh-CN"/>
        </w:rPr>
        <w:t>Anti-domestic Violence Law</w:t>
      </w:r>
      <w:r>
        <w:rPr>
          <w:rFonts w:hint="default" w:ascii="Times New Roman Regular" w:hAnsi="Times New Roman Regular" w:cs="Times New Roman Regular"/>
          <w:sz w:val="24"/>
          <w:szCs w:val="24"/>
        </w:rPr>
        <w:t>, art. 2 and art. 23 to a structured realistic danger analysis. It did not stop at “there is danger.” It broke danger into record facing risk factors, then grounded them in facts such as self harm with a knife reflecting escalation, pushing the applicant down causing injury reflecting direct physical intrusion, and repeated conflict reflecting recurrence. Custody disputes showed the same pattern when Qwen and GPT operationalized Civil Code of the PRC, art. 1084</w:t>
      </w:r>
      <w:r>
        <w:rPr>
          <w:rFonts w:hint="default"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through factors like stability, caregiving history, the child’s expressed preference, parental conditions, and conduct risk, and then anchored each factor in adjudicated facts such as long term residence with the mother and schooling near the mother’s home. Remedy analysis also aligned better when Qwen separated claims into distinct sub chains and tied each to its own norm, including divorce under Civil Code art. 1079, property division and homemaker compensation under art. 1087 and art. 1088, and damages under art. 1091.</w:t>
      </w:r>
    </w:p>
    <w:p w14:paraId="0307E262">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Weaker outputs clustered around a few recurring failure types. First is norm drift or value substitution. In the settlement waiver example, DeepSeek relied on “public order and good morals” as the main engine, but the judge’s operative path was about intent interpretation through text, context, and a sequence of acts like the written “no pursuit” statement, the parties not divorcing at the time, the presence of a child, and later reaffirmation in divorce mediation. When the model swaps the court’s working norm for a higher level principle, its element mapping no longer aligns even if the bottom line matches. Second is element omission around mental violence and control. Several answers treated self harm threats as simple knife threats, without breaking mental coercion into fear induction, control purpose, and intrusion on mental peace, which is often the judge’s internal route. Third is issue drift. One Qwen chain pivoted to the victim’s legitimate defense and cited Criminal Law of the PRC, art. 20 (《中华人民共和国刑法》), then concluded no victim responsibility, but the dispute issue was the alleged abuser’s responsibility and whether the self harm threat supports protection order relief under Anti-domestic Violence Law art. 2 and art. 23. A closed chain that answers the wrong question is still misaligned. Finally, we also saw thin mapping</w:t>
      </w:r>
      <w:r>
        <w:rPr>
          <w:rFonts w:hint="default"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where models listed the right factors but did not perform itemized satisfaction judgments against the appellant’s key defenses, as in some bride price disputes citing Civil Code art. 1042 and SPC Interpretation I art. 5 and art. 31 (《最高人民法院关于适用&lt;中华人民共和国民法典&gt;婚姻家庭编的解释（一）》)</w:t>
      </w:r>
      <w:r>
        <w:rPr>
          <w:rFonts w:hint="default" w:ascii="Times New Roman Regular" w:hAnsi="Times New Roman Regular" w:cs="Times New Roman Regular"/>
          <w:sz w:val="24"/>
          <w:szCs w:val="24"/>
          <w:lang w:val="en-US"/>
        </w:rPr>
        <w:t>. T</w:t>
      </w:r>
      <w:r>
        <w:rPr>
          <w:rFonts w:hint="default" w:ascii="Times New Roman Regular" w:hAnsi="Times New Roman Regular" w:cs="Times New Roman Regular"/>
          <w:sz w:val="24"/>
          <w:szCs w:val="24"/>
        </w:rPr>
        <w:t>he factor list looks complete, yet it misses the rebuttal driven steps that courts use to justify disposition.</w:t>
      </w:r>
    </w:p>
    <w:p w14:paraId="5C130218">
      <w:pPr>
        <w:pStyle w:val="3"/>
        <w:bidi w:val="0"/>
        <w:rPr>
          <w:rFonts w:hint="default" w:ascii="Times New Roman Regular" w:hAnsi="Times New Roman Regular" w:cs="Times New Roman Regular"/>
          <w:b/>
          <w:bCs w:val="0"/>
          <w:sz w:val="24"/>
          <w:szCs w:val="24"/>
          <w:lang w:val="en-US" w:eastAsia="zh-CN"/>
        </w:rPr>
      </w:pPr>
      <w:r>
        <w:rPr>
          <w:rFonts w:hint="default" w:ascii="Times New Roman Regular" w:hAnsi="Times New Roman Regular" w:cs="Times New Roman Regular"/>
          <w:b/>
          <w:bCs w:val="0"/>
          <w:sz w:val="24"/>
          <w:szCs w:val="24"/>
          <w:lang w:val="en-US" w:eastAsia="zh-CN"/>
        </w:rPr>
        <w:t>5.2 Explanatory Quality and Legal Application</w:t>
      </w:r>
    </w:p>
    <w:p w14:paraId="5A3C8C6F">
      <w:pPr>
        <w:keepNext w:val="0"/>
        <w:keepLines w:val="0"/>
        <w:widowControl/>
        <w:suppressLineNumbers w:val="0"/>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bCs w:val="0"/>
          <w:sz w:val="24"/>
          <w:szCs w:val="24"/>
        </w:rPr>
        <w:t>Key Facts and Issue Coverage</w:t>
      </w:r>
      <w:r>
        <w:rPr>
          <w:rFonts w:hint="default" w:ascii="Times New Roman Regular" w:hAnsi="Times New Roman Regular" w:cs="Times New Roman Regular"/>
          <w:b/>
          <w:bCs w:val="0"/>
          <w:sz w:val="24"/>
          <w:szCs w:val="24"/>
          <w:lang w:val="en-US"/>
        </w:rPr>
        <w:t>.</w:t>
      </w:r>
      <w:r>
        <w:rPr>
          <w:rFonts w:hint="default" w:ascii="Times New Roman Regular" w:hAnsi="Times New Roman Regular" w:cs="Times New Roman Regular"/>
          <w:b/>
          <w:bCs w:val="0"/>
          <w:sz w:val="24"/>
          <w:szCs w:val="24"/>
          <w:lang w:val="en-US" w:eastAsia="zh-CN"/>
        </w:rPr>
        <w:t xml:space="preserve"> </w:t>
      </w:r>
      <w:r>
        <w:rPr>
          <w:rFonts w:hint="default" w:ascii="Times New Roman Regular" w:hAnsi="Times New Roman Regular" w:eastAsia="SimSun" w:cs="Times New Roman Regular"/>
          <w:b w:val="0"/>
          <w:bCs w:val="0"/>
          <w:kern w:val="0"/>
          <w:sz w:val="24"/>
          <w:szCs w:val="24"/>
          <w:lang w:val="en-US" w:eastAsia="zh-CN" w:bidi="ar"/>
        </w:rPr>
        <w:t xml:space="preserve">A legally usable output has to do three things at the same time. It must identify the facts that truly drive the outcome, connect those facts to the relevant legal elements or discretionary factors, and maintain strict evidential discipline. The goal is to control fact status. </w:t>
      </w:r>
      <w:r>
        <w:rPr>
          <w:rStyle w:val="18"/>
          <w:rFonts w:hint="default" w:ascii="Times New Roman Regular" w:hAnsi="Times New Roman Regular" w:cs="Times New Roman Regular"/>
          <w:b w:val="0"/>
          <w:bCs w:val="0"/>
          <w:sz w:val="24"/>
          <w:szCs w:val="24"/>
          <w:lang w:val="en-US" w:eastAsia="zh-CN"/>
        </w:rPr>
        <w:t>DeepSeek</w:t>
      </w:r>
      <w:r>
        <w:rPr>
          <w:rFonts w:hint="default" w:ascii="Times New Roman Regular" w:hAnsi="Times New Roman Regular" w:cs="Times New Roman Regular"/>
          <w:b w:val="0"/>
          <w:bCs w:val="0"/>
          <w:sz w:val="24"/>
          <w:szCs w:val="24"/>
        </w:rPr>
        <w:t xml:space="preserve"> performed well in the self defense style dispute. It captured the long term conflict background, including frequent insults and slaps, economic pressure, and social isolation. It then tracked the incident day escalation, including property damage, the police call, renewed quarrel after return, “stabbing the sofa,” the verbal trigger “you should die,” and the struggle into the corridor. It also captured the defendant’s conduct, “seizing the knife” and “stabbing 17 times,” plus physical asymmetry between the parties. </w:t>
      </w:r>
      <w:r>
        <w:rPr>
          <w:rFonts w:hint="default" w:ascii="Times New Roman Regular" w:hAnsi="Times New Roman Regular" w:eastAsia="SimSun" w:cs="Times New Roman Regular"/>
          <w:kern w:val="0"/>
          <w:sz w:val="24"/>
          <w:szCs w:val="24"/>
          <w:lang w:val="en-US" w:eastAsia="zh-CN" w:bidi="ar"/>
        </w:rPr>
        <w:t xml:space="preserve">The strength lay in disciplined linkage, not storytelling. </w:t>
      </w:r>
      <w:r>
        <w:rPr>
          <w:rStyle w:val="18"/>
          <w:rFonts w:hint="default" w:ascii="Times New Roman Regular" w:hAnsi="Times New Roman Regular" w:cs="Times New Roman Regular"/>
          <w:b w:val="0"/>
          <w:bCs w:val="0"/>
          <w:sz w:val="24"/>
          <w:szCs w:val="24"/>
          <w:lang w:val="en-US" w:eastAsia="zh-CN"/>
        </w:rPr>
        <w:t>DeepSeek</w:t>
      </w:r>
      <w:r>
        <w:rPr>
          <w:rFonts w:hint="default" w:ascii="Times New Roman Regular" w:hAnsi="Times New Roman Regular" w:cs="Times New Roman Regular"/>
          <w:b w:val="0"/>
          <w:bCs w:val="0"/>
          <w:sz w:val="24"/>
          <w:szCs w:val="24"/>
        </w:rPr>
        <w:t xml:space="preserve"> treated “stabbing the sofa” as a legally relevant fact for intensity or immediacy, and treated long term insults and control as inputs to evaluating infringement intensity and control related factors. A second strong</w:t>
      </w:r>
      <w:r>
        <w:rPr>
          <w:rStyle w:val="18"/>
          <w:rFonts w:hint="default" w:ascii="Times New Roman Regular" w:hAnsi="Times New Roman Regular" w:cs="Times New Roman Regular"/>
          <w:b w:val="0"/>
          <w:bCs w:val="0"/>
          <w:sz w:val="24"/>
          <w:szCs w:val="24"/>
          <w:lang w:val="en-US" w:eastAsia="zh-CN"/>
        </w:rPr>
        <w:t xml:space="preserve"> </w:t>
      </w:r>
      <w:r>
        <w:rPr>
          <w:rFonts w:hint="default" w:ascii="Times New Roman Regular" w:hAnsi="Times New Roman Regular" w:cs="Times New Roman Regular"/>
          <w:b w:val="0"/>
          <w:bCs w:val="0"/>
          <w:sz w:val="24"/>
          <w:szCs w:val="24"/>
        </w:rPr>
        <w:t>example refined the same method by isolating a decisive micro fact and stating its doctrinal consequence. It stressed that “all evidence indicates the knife’s direction was toward the sofa, not the defendant’s body,” then placed that fact into a structured frame tied to unlawfulness intensity, imminence, necessity, and intent transformation. This is record based legal application</w:t>
      </w:r>
      <w:r>
        <w:rPr>
          <w:rFonts w:hint="default" w:ascii="Times New Roman Regular" w:hAnsi="Times New Roman Regular" w:cs="Times New Roman Regular"/>
          <w:b w:val="0"/>
          <w:bCs w:val="0"/>
          <w:sz w:val="24"/>
          <w:szCs w:val="24"/>
          <w:lang w:val="en-US"/>
        </w:rPr>
        <w:t>, the f</w:t>
      </w:r>
      <w:r>
        <w:rPr>
          <w:rFonts w:hint="default" w:ascii="Times New Roman Regular" w:hAnsi="Times New Roman Regular" w:cs="Times New Roman Regular"/>
          <w:b w:val="0"/>
          <w:bCs w:val="0"/>
          <w:sz w:val="24"/>
          <w:szCs w:val="24"/>
        </w:rPr>
        <w:t>acts function as inputs to tests.</w:t>
      </w:r>
    </w:p>
    <w:p w14:paraId="5E2C587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val="0"/>
          <w:bCs w:val="0"/>
          <w:color w:val="000000" w:themeColor="text1"/>
          <w:sz w:val="24"/>
          <w:szCs w:val="24"/>
          <w14:textFill>
            <w14:solidFill>
              <w14:schemeClr w14:val="tx1"/>
            </w14:solidFill>
          </w14:textFill>
        </w:rPr>
      </w:pPr>
      <w:r>
        <w:rPr>
          <w:rFonts w:hint="default" w:ascii="Times New Roman Regular" w:hAnsi="Times New Roman Regular" w:cs="Times New Roman Regular"/>
          <w:b w:val="0"/>
          <w:bCs w:val="0"/>
          <w:sz w:val="24"/>
          <w:szCs w:val="24"/>
          <w:lang w:val="en-US"/>
        </w:rPr>
        <w:t xml:space="preserve">On one hand, </w:t>
      </w:r>
      <w:r>
        <w:rPr>
          <w:rFonts w:hint="default" w:ascii="Times New Roman Regular" w:hAnsi="Times New Roman Regular" w:cs="Times New Roman Regular"/>
          <w:b w:val="0"/>
          <w:bCs w:val="0"/>
          <w:sz w:val="24"/>
          <w:szCs w:val="24"/>
        </w:rPr>
        <w:t>Strong performance also appeared in family cases when outputs treated the judgment as a proof structure</w:t>
      </w:r>
      <w:r>
        <w:rPr>
          <w:rFonts w:hint="default" w:ascii="Times New Roman Regular" w:hAnsi="Times New Roman Regular" w:cs="Times New Roman Regular"/>
          <w:b w:val="0"/>
          <w:bCs w:val="0"/>
          <w:sz w:val="24"/>
          <w:szCs w:val="24"/>
          <w:lang w:val="en-US"/>
        </w:rPr>
        <w:t>.</w:t>
      </w:r>
      <w:r>
        <w:rPr>
          <w:rFonts w:hint="default" w:ascii="Times New Roman Regular" w:hAnsi="Times New Roman Regular" w:cs="Times New Roman Regular"/>
          <w:b w:val="0"/>
          <w:bCs w:val="0"/>
          <w:sz w:val="24"/>
          <w:szCs w:val="24"/>
        </w:rPr>
        <w:t xml:space="preserve"> </w:t>
      </w:r>
      <w:r>
        <w:rPr>
          <w:rStyle w:val="18"/>
          <w:rFonts w:hint="default" w:ascii="Times New Roman Regular" w:hAnsi="Times New Roman Regular" w:cs="Times New Roman Regular"/>
          <w:b w:val="0"/>
          <w:bCs w:val="0"/>
          <w:sz w:val="24"/>
          <w:szCs w:val="24"/>
          <w:lang w:val="en-US" w:eastAsia="zh-CN"/>
        </w:rPr>
        <w:t>DeepSeek</w:t>
      </w:r>
      <w:r>
        <w:rPr>
          <w:rFonts w:hint="default" w:ascii="Times New Roman Regular" w:hAnsi="Times New Roman Regular" w:cs="Times New Roman Regular"/>
          <w:b w:val="0"/>
          <w:bCs w:val="0"/>
          <w:sz w:val="24"/>
          <w:szCs w:val="24"/>
        </w:rPr>
        <w:t xml:space="preserve"> did this in a divorce reasoning example by covering marriage duration, children, procedural history, and the claimed grounds such as emotional breakdown, domestic violence, rape related history, and separation, while separating what the court treated as established, such as a rape conviction history, from what remained disputed or unproven, such as continuing domestic violence or persistent separation, and mapping these into the breakdown factors and discretionary balancing the court actually used. In a protection order setting, </w:t>
      </w:r>
      <w:r>
        <w:rPr>
          <w:rStyle w:val="18"/>
          <w:rFonts w:hint="default" w:ascii="Times New Roman Regular" w:hAnsi="Times New Roman Regular" w:cs="Times New Roman Regular"/>
          <w:b w:val="0"/>
          <w:bCs w:val="0"/>
          <w:sz w:val="24"/>
          <w:szCs w:val="24"/>
        </w:rPr>
        <w:t>Claude</w:t>
      </w:r>
      <w:r>
        <w:rPr>
          <w:rFonts w:hint="default" w:ascii="Times New Roman Regular" w:hAnsi="Times New Roman Regular" w:cs="Times New Roman Regular"/>
          <w:b w:val="0"/>
          <w:bCs w:val="0"/>
          <w:sz w:val="24"/>
          <w:szCs w:val="24"/>
        </w:rPr>
        <w:t xml:space="preserve"> performed strongly by capturing the parties’ relationship, the victim’s economic dependence as a full time homemaker, repeated domestic violence, and that the last incident had police involvement and medical proof, then mapping violence facts to the legal recognition of domestic violence and mapping economic dependence to its distinct legal relevance for compensation and responsibility. In custody modification and protection contexts, </w:t>
      </w:r>
      <w:r>
        <w:rPr>
          <w:rStyle w:val="18"/>
          <w:rFonts w:hint="default" w:ascii="Times New Roman Regular" w:hAnsi="Times New Roman Regular" w:cs="Times New Roman Regular"/>
          <w:b w:val="0"/>
          <w:bCs w:val="0"/>
          <w:sz w:val="24"/>
          <w:szCs w:val="24"/>
        </w:rPr>
        <w:t>Qwen</w:t>
      </w:r>
      <w:r>
        <w:rPr>
          <w:rFonts w:hint="default" w:ascii="Times New Roman Regular" w:hAnsi="Times New Roman Regular" w:cs="Times New Roman Regular"/>
          <w:b w:val="0"/>
          <w:bCs w:val="0"/>
          <w:sz w:val="24"/>
          <w:szCs w:val="24"/>
        </w:rPr>
        <w:t xml:space="preserve"> performed well when it captured the custody background, the father’s long term absence for work, the child’s living arrangement with grandmother and uncle, the harm facts including beatings and risk of sexual abuse, and the evidence anchors like injury appraisal and the child’s letters, then mapped those facts into protective duties under the Anti-domestic Violence Law and the Law of the People's Republic of China on the Protection of Minors (2024 Amendment). </w:t>
      </w:r>
      <w:r>
        <w:rPr>
          <w:rFonts w:hint="default" w:ascii="Times New Roman Regular" w:hAnsi="Times New Roman Regular" w:eastAsia="SimSun" w:cs="Times New Roman Regular"/>
          <w:b w:val="0"/>
          <w:bCs w:val="0"/>
          <w:kern w:val="0"/>
          <w:sz w:val="24"/>
          <w:szCs w:val="24"/>
          <w:lang w:val="en-US" w:eastAsia="zh-CN" w:bidi="ar"/>
        </w:rPr>
        <w:t xml:space="preserve">Gemini also performed well in another domestic violence context by clearly separating party assertions from judicial findings. It treated the workplace “slap” incident and the supporting materials as evidence to be weighed, while </w:t>
      </w:r>
      <w:r>
        <w:rPr>
          <w:rFonts w:hint="default" w:ascii="Times New Roman Regular" w:hAnsi="Times New Roman Regular" w:eastAsia="SimSun" w:cs="Times New Roman Regular"/>
          <w:b w:val="0"/>
          <w:bCs w:val="0"/>
          <w:color w:val="000000" w:themeColor="text1"/>
          <w:kern w:val="0"/>
          <w:sz w:val="24"/>
          <w:szCs w:val="24"/>
          <w:lang w:val="en-US" w:eastAsia="zh-CN" w:bidi="ar"/>
          <w14:textFill>
            <w14:solidFill>
              <w14:schemeClr w14:val="tx1"/>
            </w14:solidFill>
          </w14:textFill>
        </w:rPr>
        <w:t>correctly noting that the trial court’s domestic violence finding was affirmed on appeal, and then mapping those facts to the legally relevant violence and proof structure.</w:t>
      </w:r>
    </w:p>
    <w:p w14:paraId="03FDA7AF">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b w:val="0"/>
          <w:bCs w:val="0"/>
          <w:color w:val="000000" w:themeColor="text1"/>
          <w:sz w:val="24"/>
          <w:szCs w:val="24"/>
          <w:lang w:val="en-US"/>
          <w14:textFill>
            <w14:solidFill>
              <w14:schemeClr w14:val="tx1"/>
            </w14:solidFill>
          </w14:textFill>
        </w:rPr>
      </w:pPr>
      <w:r>
        <w:rPr>
          <w:rFonts w:hint="default" w:ascii="Times New Roman Regular" w:hAnsi="Times New Roman Regular" w:cs="Times New Roman Regular"/>
          <w:b w:val="0"/>
          <w:bCs w:val="0"/>
          <w:color w:val="000000" w:themeColor="text1"/>
          <w:sz w:val="24"/>
          <w:szCs w:val="24"/>
          <w:lang w:val="en-US"/>
          <w14:textFill>
            <w14:solidFill>
              <w14:schemeClr w14:val="tx1"/>
            </w14:solidFill>
          </w14:textFill>
        </w:rPr>
        <w:t>On the other hand, w</w:t>
      </w:r>
      <w:r>
        <w:rPr>
          <w:rFonts w:hint="default" w:ascii="Times New Roman Regular" w:hAnsi="Times New Roman Regular" w:cs="Times New Roman Regular"/>
          <w:b w:val="0"/>
          <w:bCs w:val="0"/>
          <w:color w:val="000000" w:themeColor="text1"/>
          <w:sz w:val="24"/>
          <w:szCs w:val="24"/>
          <w14:textFill>
            <w14:solidFill>
              <w14:schemeClr w14:val="tx1"/>
            </w14:solidFill>
          </w14:textFill>
        </w:rPr>
        <w:t>eak outputs cluster into repeatable legal failure types.</w:t>
      </w:r>
      <w:r>
        <w:rPr>
          <w:rFonts w:hint="default" w:ascii="Times New Roman Regular" w:hAnsi="Times New Roman Regular" w:cs="Times New Roman Regular"/>
          <w:b w:val="0"/>
          <w:bCs w:val="0"/>
          <w:color w:val="000000" w:themeColor="text1"/>
          <w:sz w:val="24"/>
          <w:szCs w:val="24"/>
          <w:lang w:val="en-US" w:eastAsia="zh-CN"/>
          <w14:textFill>
            <w14:solidFill>
              <w14:schemeClr w14:val="tx1"/>
            </w14:solidFill>
          </w14:textFill>
        </w:rPr>
        <w:t xml:space="preserve"> </w:t>
      </w:r>
      <w:r>
        <w:rPr>
          <w:rFonts w:hint="default" w:ascii="Times New Roman Regular" w:hAnsi="Times New Roman Regular" w:cs="Times New Roman Regular"/>
          <w:b w:val="0"/>
          <w:bCs w:val="0"/>
          <w:color w:val="000000" w:themeColor="text1"/>
          <w:sz w:val="24"/>
          <w:szCs w:val="24"/>
          <w:lang w:val="en-US"/>
          <w14:textFill>
            <w14:solidFill>
              <w14:schemeClr w14:val="tx1"/>
            </w14:solidFill>
          </w14:textFill>
        </w:rPr>
        <w:t xml:space="preserve">Evidential defaulting appears when an answer treats one side’s story as proven. </w:t>
      </w:r>
      <w:r>
        <w:rPr>
          <w:rFonts w:hint="default" w:ascii="Times New Roman Regular" w:hAnsi="Times New Roman Regular" w:cs="Times New Roman Regular"/>
          <w:b w:val="0"/>
          <w:bCs w:val="0"/>
          <w:color w:val="000000" w:themeColor="text1"/>
          <w:sz w:val="24"/>
          <w:szCs w:val="24"/>
          <w:lang w:val="en-US" w:eastAsia="zh-CN"/>
          <w14:textFill>
            <w14:solidFill>
              <w14:schemeClr w14:val="tx1"/>
            </w14:solidFill>
          </w14:textFill>
        </w:rPr>
        <w:t xml:space="preserve">On one of the cases, </w:t>
      </w:r>
      <w:r>
        <w:rPr>
          <w:rFonts w:hint="default" w:ascii="Times New Roman Regular" w:hAnsi="Times New Roman Regular" w:cs="Times New Roman Regular"/>
          <w:b w:val="0"/>
          <w:bCs w:val="0"/>
          <w:color w:val="000000" w:themeColor="text1"/>
          <w:sz w:val="24"/>
          <w:szCs w:val="24"/>
          <w:lang w:val="en-US"/>
          <w14:textFill>
            <w14:solidFill>
              <w14:schemeClr w14:val="tx1"/>
            </w14:solidFill>
          </w14:textFill>
        </w:rPr>
        <w:t>DeepSeek built its analysis almost entirely on the applicant’s asserted facts and evidence, implicitly assuming chat logs and injury photos proved the claim. The court’s decisive point was the opposite and the evidence “could not achieve the purpose of proof.” Because that dispositive evidential status was omitted, the later subsumption became doctrine applied to an imagined record. A related inference inflation shows up in Claude, which introduced “economic control” as a case fact even though the materials did not establish restrictions on economic autonomy, reasoning instead from “common patterns” and financial context. Another failure is facts are listed but assigned the wrong legal meaning. In a protection order dispute, Claude captured “self harm threats with a knife” and “pushing leading to injury” yet reframed the case as bodily harm and failed to treat the knife based self harm threat as the decisive act for psychological violence. The judgment’s core was that the husband did not directly beat the wife, but the knife threat caused fear and constituted psychological violence. GPT showed a parallel mapping weakness by capturing the knife threat and injury but under emphasizing the separate psychological fear finding that the judgment treated as an independent basis for domestic violence recognition.</w:t>
      </w:r>
    </w:p>
    <w:p w14:paraId="21847FF7">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b w:val="0"/>
          <w:bCs w:val="0"/>
          <w:color w:val="000000" w:themeColor="text1"/>
          <w:sz w:val="24"/>
          <w:szCs w:val="24"/>
          <w:lang w:val="en-US"/>
          <w14:textFill>
            <w14:solidFill>
              <w14:schemeClr w14:val="tx1"/>
            </w14:solidFill>
          </w14:textFill>
        </w:rPr>
      </w:pPr>
      <w:r>
        <w:rPr>
          <w:rFonts w:hint="default" w:ascii="Times New Roman Regular" w:hAnsi="Times New Roman Regular" w:cs="Times New Roman Regular"/>
          <w:b w:val="0"/>
          <w:bCs w:val="0"/>
          <w:color w:val="000000" w:themeColor="text1"/>
          <w:sz w:val="24"/>
          <w:szCs w:val="24"/>
          <w:lang w:val="en-US"/>
          <w14:textFill>
            <w14:solidFill>
              <w14:schemeClr w14:val="tx1"/>
            </w14:solidFill>
          </w14:textFill>
        </w:rPr>
        <w:t>Focus drift is also common. In an appellate custody case, GPT focused on domestic violence recognition and imported facts like slapping and evidence media even though the appellate court had already confirmed domestic violence and set the only live issue as custody allocation. GPT then failed to cover the decisive custody facts, including that the children had lived with the mother for nearly three years after separation, attended school near the maternal family with a stable environment, the court asked the daughter’s preference and she wanted to live with the mother, and geographic distance would impose major environment change costs. A parallel drift pattern appeared in Gemini, where the answer accurately summarized domestic violence facts but still analyzed whether domestic violence was established even though the appellate decision framed custody as the only live dispute. In a separate case, Gemini’s fact summary was directionally right but showed a minor timeline imprecision, treating “formal case filing” as occurring before an asset transfer when the record sequence was tighter.</w:t>
      </w:r>
    </w:p>
    <w:p w14:paraId="4B931E58">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b/>
          <w:bCs w:val="0"/>
          <w:color w:val="000000" w:themeColor="text1"/>
          <w:sz w:val="24"/>
          <w:szCs w:val="24"/>
          <w14:textFill>
            <w14:solidFill>
              <w14:schemeClr w14:val="tx1"/>
            </w14:solidFill>
          </w14:textFill>
        </w:rPr>
      </w:pPr>
      <w:r>
        <w:rPr>
          <w:rFonts w:hint="default" w:ascii="Times New Roman Regular" w:hAnsi="Times New Roman Regular" w:cs="Times New Roman Regular"/>
          <w:b w:val="0"/>
          <w:bCs w:val="0"/>
          <w:color w:val="000000" w:themeColor="text1"/>
          <w:sz w:val="24"/>
          <w:szCs w:val="24"/>
          <w:lang w:val="en-US"/>
          <w14:textFill>
            <w14:solidFill>
              <w14:schemeClr w14:val="tx1"/>
            </w14:solidFill>
          </w14:textFill>
        </w:rPr>
        <w:t xml:space="preserve">Besides, procedural posture omissions are uniquely damaging. This appeared in DeepSeek in retrial review contexts, where the output summarized the applicant’s retrial claims and mapped them into substantive elements but omitted that the applicant did not appeal within the statutory period without justification and provided no new evidence in retrial review. Similar “missing the dispositive factor” problems appeared in Qwen in a betrothal gift return dispute, where the answer captured the gift amount and short cohabitation but omitted contested fault allegations such as domestic violence and lack of support during miscarriage that the court used to set the return ratio, and it also omitted the woman’s new appellate request about a gold ring. Another example is Qwen in a funds dispute, where the output captured transfers but over centered “improper relationship” and failed to integrate the offsets and net difference calculation system the court actually used, even though that calculation was the core basis for “no legal basis” reasoning. These are not missing details. They are missing the facts that drive the legal conclusion. </w:t>
      </w:r>
    </w:p>
    <w:p w14:paraId="4F496B87">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bCs w:val="0"/>
          <w:sz w:val="24"/>
          <w:szCs w:val="24"/>
        </w:rPr>
        <w:t>Outcome and Remedy Alignment</w:t>
      </w:r>
      <w:r>
        <w:rPr>
          <w:rFonts w:hint="default" w:ascii="Times New Roman Regular" w:hAnsi="Times New Roman Regular" w:cs="Times New Roman Regular"/>
          <w:b/>
          <w:bCs w:val="0"/>
          <w:sz w:val="24"/>
          <w:szCs w:val="24"/>
          <w:lang w:val="en-US"/>
        </w:rPr>
        <w:t>.</w:t>
      </w:r>
      <w:r>
        <w:rPr>
          <w:rFonts w:hint="default" w:ascii="Times New Roman Regular" w:hAnsi="Times New Roman Regular" w:cs="Times New Roman Regular"/>
          <w:b/>
          <w:bCs w:val="0"/>
          <w:sz w:val="24"/>
          <w:szCs w:val="24"/>
          <w:lang w:val="en-US" w:eastAsia="zh-CN"/>
        </w:rPr>
        <w:t xml:space="preserve"> </w:t>
      </w:r>
      <w:r>
        <w:rPr>
          <w:rFonts w:hint="default" w:ascii="Times New Roman Regular" w:hAnsi="Times New Roman Regular" w:eastAsia="SimSun" w:cs="Times New Roman Regular"/>
          <w:b w:val="0"/>
          <w:bCs w:val="0"/>
          <w:kern w:val="0"/>
          <w:sz w:val="24"/>
          <w:szCs w:val="24"/>
          <w:lang w:val="en-US" w:eastAsia="zh-CN" w:bidi="ar"/>
        </w:rPr>
        <w:t>LLM outputs may look more stable than human decisions because they lack intrinsic human variability.</w:t>
      </w:r>
      <w:r>
        <w:rPr>
          <w:rStyle w:val="10"/>
          <w:rFonts w:hint="default" w:ascii="Times New Roman Regular" w:hAnsi="Times New Roman Regular" w:eastAsia="SimSun" w:cs="Times New Roman Regular"/>
          <w:b w:val="0"/>
          <w:bCs w:val="0"/>
          <w:kern w:val="0"/>
          <w:sz w:val="24"/>
          <w:szCs w:val="24"/>
          <w:lang w:val="en-US" w:eastAsia="zh-CN" w:bidi="ar"/>
        </w:rPr>
        <w:t>[</w:t>
      </w:r>
      <w:r>
        <w:rPr>
          <w:rStyle w:val="10"/>
          <w:rFonts w:hint="default" w:ascii="Times New Roman Regular" w:hAnsi="Times New Roman Regular" w:eastAsia="SimSun" w:cs="Times New Roman Regular"/>
          <w:b w:val="0"/>
          <w:bCs w:val="0"/>
          <w:kern w:val="0"/>
          <w:sz w:val="24"/>
          <w:szCs w:val="24"/>
          <w:lang w:val="en-US" w:eastAsia="zh-CN" w:bidi="ar"/>
        </w:rPr>
        <w:footnoteReference w:id="89"/>
      </w:r>
      <w:r>
        <w:rPr>
          <w:rStyle w:val="10"/>
          <w:rFonts w:hint="default" w:ascii="Times New Roman Regular" w:hAnsi="Times New Roman Regular" w:eastAsia="SimSun" w:cs="Times New Roman Regular"/>
          <w:b w:val="0"/>
          <w:bCs w:val="0"/>
          <w:kern w:val="0"/>
          <w:sz w:val="24"/>
          <w:szCs w:val="24"/>
          <w:lang w:val="en-US" w:eastAsia="zh-CN" w:bidi="ar"/>
        </w:rPr>
        <w:t>]</w:t>
      </w:r>
      <w:r>
        <w:rPr>
          <w:rFonts w:hint="default" w:ascii="Times New Roman Regular" w:hAnsi="Times New Roman Regular" w:eastAsia="SimSun" w:cs="Times New Roman Regular"/>
          <w:b w:val="0"/>
          <w:bCs w:val="0"/>
          <w:kern w:val="0"/>
          <w:sz w:val="24"/>
          <w:szCs w:val="24"/>
          <w:lang w:val="en-US" w:eastAsia="zh-CN" w:bidi="ar"/>
        </w:rPr>
        <w:t xml:space="preserve"> Yet stability is not the same as legal alignment, especially when the remedy is multi layer and operational. </w:t>
      </w:r>
      <w:r>
        <w:rPr>
          <w:rFonts w:hint="default" w:ascii="Times New Roman Regular" w:hAnsi="Times New Roman Regular" w:cs="Times New Roman Regular"/>
          <w:b w:val="0"/>
          <w:bCs w:val="0"/>
          <w:sz w:val="24"/>
          <w:szCs w:val="24"/>
        </w:rPr>
        <w:t>Several outputs showed high quality alignment.</w:t>
      </w:r>
      <w:r>
        <w:rPr>
          <w:rFonts w:hint="default" w:ascii="Times New Roman Regular" w:hAnsi="Times New Roman Regular" w:cs="Times New Roman Regular"/>
          <w:b w:val="0"/>
          <w:bCs w:val="0"/>
          <w:sz w:val="24"/>
          <w:szCs w:val="24"/>
          <w:lang w:val="en-US"/>
        </w:rPr>
        <w:t xml:space="preserve"> Although</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b w:val="0"/>
          <w:bCs w:val="0"/>
          <w:sz w:val="24"/>
          <w:szCs w:val="24"/>
          <w:lang w:val="en-US"/>
        </w:rPr>
        <w:t>i</w:t>
      </w:r>
      <w:r>
        <w:rPr>
          <w:rFonts w:hint="default" w:ascii="Times New Roman Regular" w:hAnsi="Times New Roman Regular" w:cs="Times New Roman Regular"/>
          <w:b w:val="0"/>
          <w:bCs w:val="0"/>
          <w:sz w:val="24"/>
          <w:szCs w:val="24"/>
        </w:rPr>
        <w:t xml:space="preserve">n </w:t>
      </w:r>
      <w:r>
        <w:rPr>
          <w:rFonts w:hint="default" w:ascii="Times New Roman Regular" w:hAnsi="Times New Roman Regular" w:cs="Times New Roman Regular"/>
          <w:b w:val="0"/>
          <w:bCs w:val="0"/>
          <w:sz w:val="24"/>
          <w:szCs w:val="24"/>
          <w:lang w:val="en-US"/>
        </w:rPr>
        <w:t xml:space="preserve">some </w:t>
      </w:r>
      <w:r>
        <w:rPr>
          <w:rFonts w:hint="default" w:ascii="Times New Roman Regular" w:hAnsi="Times New Roman Regular" w:cs="Times New Roman Regular"/>
          <w:b w:val="0"/>
          <w:bCs w:val="0"/>
          <w:sz w:val="24"/>
          <w:szCs w:val="24"/>
        </w:rPr>
        <w:t>homicide case</w:t>
      </w:r>
      <w:r>
        <w:rPr>
          <w:rFonts w:hint="default" w:ascii="Times New Roman Regular" w:hAnsi="Times New Roman Regular" w:cs="Times New Roman Regular"/>
          <w:b w:val="0"/>
          <w:bCs w:val="0"/>
          <w:sz w:val="24"/>
          <w:szCs w:val="24"/>
          <w:lang w:val="en-US"/>
        </w:rPr>
        <w:t>s</w:t>
      </w:r>
      <w:r>
        <w:rPr>
          <w:rFonts w:hint="default" w:ascii="Times New Roman Regular" w:hAnsi="Times New Roman Regular" w:cs="Times New Roman Regular"/>
          <w:b w:val="0"/>
          <w:bCs w:val="0"/>
          <w:sz w:val="24"/>
          <w:szCs w:val="24"/>
        </w:rPr>
        <w:t xml:space="preserve">, DS tracked the court’s direction and its sentencing logic. It agreed with rejecting a domestic violence finding, while still treating the victim’s role in escalation as relevant mitigation. It treated </w:t>
      </w:r>
      <w:r>
        <w:rPr>
          <w:rFonts w:hint="default" w:ascii="Times New Roman Regular" w:hAnsi="Times New Roman Regular" w:cs="Times New Roman Regular"/>
          <w:b w:val="0"/>
          <w:bCs w:val="0"/>
          <w:sz w:val="24"/>
          <w:szCs w:val="24"/>
          <w:lang w:val="en-US" w:eastAsia="zh-CN"/>
        </w:rPr>
        <w:t>confession</w:t>
      </w:r>
      <w:r>
        <w:rPr>
          <w:rFonts w:hint="default" w:ascii="Times New Roman Regular" w:hAnsi="Times New Roman Regular" w:cs="Times New Roman Regular"/>
          <w:b w:val="0"/>
          <w:bCs w:val="0"/>
          <w:sz w:val="24"/>
          <w:szCs w:val="24"/>
        </w:rPr>
        <w:t xml:space="preserve"> as a key leniency factor. Functionally, that matched a life imprisonment disposition and signal severe punishment calibrated by mitigation. DS also aligned its aggravating factors, such as brutality and severe consequences, and its mitigating factors, such as surrender, remorse, victim contribution, family conflict trigger, and compensation and forgiveness, with the court’s actual considerations.</w:t>
      </w:r>
      <w:r>
        <w:rPr>
          <w:rFonts w:hint="default" w:ascii="Times New Roman Regular" w:hAnsi="Times New Roman Regular" w:cs="Times New Roman Regular"/>
          <w:b w:val="0"/>
          <w:bCs w:val="0"/>
          <w:sz w:val="24"/>
          <w:szCs w:val="24"/>
          <w:lang w:val="en-US" w:eastAsia="zh-CN"/>
        </w:rPr>
        <w:t xml:space="preserve"> </w:t>
      </w:r>
      <w:r>
        <w:rPr>
          <w:rFonts w:hint="default" w:ascii="Times New Roman Regular" w:hAnsi="Times New Roman Regular" w:cs="Times New Roman Regular"/>
          <w:b w:val="0"/>
          <w:bCs w:val="0"/>
          <w:sz w:val="24"/>
          <w:szCs w:val="24"/>
        </w:rPr>
        <w:t>DS also aligned well when the remedy structure was hybrid and task specific, not purely monetary. In a case involving both a personal safety protection order and custody change, DS recommended immediate issuance of a protection order and included standard prohibitions such as no violence and no harassment and no contact, plus a move out measure tied to cohabitation risk. The court issued a six month prohibition package. The core relief, a strong no contact prohibition regime, was functionally equivalent.</w:t>
      </w:r>
    </w:p>
    <w:p w14:paraId="6E776834">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rPr>
        <w:t>Monetary relief alignment was also strong where models kept remedy components tied to proven losses and legal duties. DS explicitly supported the court’s economic compensation items such as medical expenses, lost wages, nutrition, nursing, and property loss, and it supported non economic accountability such as apology, while treating calculation and allocation as reasonable. The structure mattered more than precision. The model endorsed the same categories of relief and justified them through its own prior legal analysis without internal conflict. In divorce and domestic violence settings, Claude showed strong outcome and remedy type alignment. It endorsed granting divorce, recognizing domestic violence, tilting property division toward the victim, awarding divorce damages, and awarding domestic labor compensation. It did not provide a numeric split, but it matched the court on the remedy architecture. In marital debt litigation with a domestic violence context, GPT’s remedy suggestions, such as re examining debt character, accounting for domestic violence context, and placing the burden on the creditor, were functionally aligned with remand or reversal paths.</w:t>
      </w:r>
      <w:r>
        <w:rPr>
          <w:rFonts w:hint="default" w:ascii="Times New Roman Regular" w:hAnsi="Times New Roman Regular" w:cs="Times New Roman Regular"/>
          <w:b w:val="0"/>
          <w:bCs w:val="0"/>
          <w:sz w:val="24"/>
          <w:szCs w:val="24"/>
          <w:lang w:val="en-US" w:eastAsia="zh-CN"/>
        </w:rPr>
        <w:t xml:space="preserve"> </w:t>
      </w:r>
    </w:p>
    <w:p w14:paraId="218B30F7">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In a custody change case, Qwen matched the direction and the key relief allocation. It recognized domestic violence, supported custody change to the mother, and treated continued protection order enforcement as necessary. It also linked child mental health to relief design by recommending counseling and treatment, matching the court’s emphasis that the father failed to address the child’s diagnosis and caused secondary harm. Gemini matched the direction by recognizing domestic violence, rejecting victim responsibility, and supporting protective orders. It then proposed a set of linked measures such as strict protection order enforcement, civil compensation, divorce litigation, criminal liability assessment, attention to children, and perpetrator intervention. The court’s remedy path was operational and multi agency, including service and warning, coordinated monitoring and support, fines and admonition, shelter provision, mediated divorce, and attention to minors’ mental health. Gemini’s package was functionally equivalent in purpose and structure because both implement a layered response that moves from immediate protection to accountability and longer term stabilization. </w:t>
      </w:r>
    </w:p>
    <w:p w14:paraId="0802132A">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b w:val="0"/>
          <w:bCs w:val="0"/>
          <w:sz w:val="24"/>
          <w:szCs w:val="24"/>
          <w:lang w:eastAsia="zh-CN"/>
        </w:rPr>
      </w:pPr>
      <w:r>
        <w:rPr>
          <w:rFonts w:hint="default" w:ascii="Times New Roman Regular" w:hAnsi="Times New Roman Regular" w:cs="Times New Roman Regular"/>
          <w:b w:val="0"/>
          <w:bCs w:val="0"/>
          <w:sz w:val="24"/>
          <w:szCs w:val="24"/>
        </w:rPr>
        <w:t xml:space="preserve">However, misalignment often shows up in the remedy layer even when the overall direction is plausible. In the homicide case, </w:t>
      </w:r>
      <w:r>
        <w:rPr>
          <w:rStyle w:val="18"/>
          <w:rFonts w:hint="default" w:ascii="Times New Roman Regular" w:hAnsi="Times New Roman Regular" w:cs="Times New Roman Regular"/>
          <w:b w:val="0"/>
          <w:bCs w:val="0"/>
          <w:sz w:val="24"/>
          <w:szCs w:val="24"/>
        </w:rPr>
        <w:t>DS</w:t>
      </w:r>
      <w:r>
        <w:rPr>
          <w:rFonts w:hint="default" w:ascii="Times New Roman Regular" w:hAnsi="Times New Roman Regular" w:cs="Times New Roman Regular"/>
          <w:b w:val="0"/>
          <w:bCs w:val="0"/>
          <w:sz w:val="24"/>
          <w:szCs w:val="24"/>
        </w:rPr>
        <w:t xml:space="preserve"> sometimes predicted </w:t>
      </w:r>
      <w:r>
        <w:rPr>
          <w:rStyle w:val="18"/>
          <w:rFonts w:hint="default" w:ascii="Times New Roman Regular" w:hAnsi="Times New Roman Regular" w:cs="Times New Roman Regular"/>
          <w:b w:val="0"/>
          <w:bCs w:val="0"/>
          <w:sz w:val="24"/>
          <w:szCs w:val="24"/>
          <w:lang w:val="en-US" w:eastAsia="zh-CN"/>
        </w:rPr>
        <w:t>s</w:t>
      </w:r>
      <w:r>
        <w:rPr>
          <w:rFonts w:hint="default" w:ascii="Times New Roman Regular" w:hAnsi="Times New Roman Regular" w:cs="Times New Roman Regular"/>
          <w:b w:val="0"/>
          <w:bCs w:val="0"/>
          <w:sz w:val="24"/>
          <w:szCs w:val="24"/>
        </w:rPr>
        <w:t xml:space="preserve">entences of death with </w:t>
      </w:r>
      <w:r>
        <w:rPr>
          <w:rFonts w:hint="default" w:ascii="Times New Roman Regular" w:hAnsi="Times New Roman Regular" w:cs="Times New Roman Regular"/>
          <w:b w:val="0"/>
          <w:bCs w:val="0"/>
          <w:sz w:val="24"/>
          <w:szCs w:val="24"/>
          <w:lang w:val="en-US"/>
        </w:rPr>
        <w:t xml:space="preserve">a two years </w:t>
      </w:r>
      <w:r>
        <w:rPr>
          <w:rFonts w:hint="default" w:ascii="Times New Roman Regular" w:hAnsi="Times New Roman Regular" w:cs="Times New Roman Regular"/>
          <w:b w:val="0"/>
          <w:bCs w:val="0"/>
          <w:sz w:val="24"/>
          <w:szCs w:val="24"/>
        </w:rPr>
        <w:t>suspension of</w:t>
      </w:r>
      <w:r>
        <w:rPr>
          <w:rFonts w:hint="default" w:ascii="Times New Roman Regular" w:hAnsi="Times New Roman Regular" w:cs="Times New Roman Regular"/>
          <w:b w:val="0"/>
          <w:bCs w:val="0"/>
          <w:sz w:val="24"/>
          <w:szCs w:val="24"/>
          <w:lang w:val="en-US"/>
        </w:rPr>
        <w:t xml:space="preserve"> </w:t>
      </w:r>
      <w:r>
        <w:rPr>
          <w:rFonts w:hint="default" w:ascii="Times New Roman Regular" w:hAnsi="Times New Roman Regular" w:cs="Times New Roman Regular"/>
          <w:b w:val="0"/>
          <w:bCs w:val="0"/>
          <w:sz w:val="24"/>
          <w:szCs w:val="24"/>
        </w:rPr>
        <w:t xml:space="preserve">execution rather than </w:t>
      </w:r>
      <w:r>
        <w:rPr>
          <w:rStyle w:val="18"/>
          <w:rFonts w:hint="default" w:ascii="Times New Roman Regular" w:hAnsi="Times New Roman Regular" w:cs="Times New Roman Regular"/>
          <w:b w:val="0"/>
          <w:bCs w:val="0"/>
          <w:sz w:val="24"/>
          <w:szCs w:val="24"/>
        </w:rPr>
        <w:t>life imprisonment</w:t>
      </w:r>
      <w:r>
        <w:rPr>
          <w:rFonts w:hint="default" w:ascii="Times New Roman Regular" w:hAnsi="Times New Roman Regular" w:cs="Times New Roman Regular"/>
          <w:b w:val="0"/>
          <w:bCs w:val="0"/>
          <w:sz w:val="24"/>
          <w:szCs w:val="24"/>
        </w:rPr>
        <w:t>. Both reject immediate execution and sit within a realistic sentencing range, but they are not the same legal form. The difference matters because they diverge in legal status, execution mechanics, and later commutation pathways. Importantly, DS’s own mitigation chain pointed toward leniency.</w:t>
      </w:r>
      <w:r>
        <w:rPr>
          <w:rFonts w:hint="default" w:ascii="Times New Roman Regular" w:hAnsi="Times New Roman Regular" w:cs="Times New Roman Regular"/>
          <w:b w:val="0"/>
          <w:bCs w:val="0"/>
          <w:sz w:val="24"/>
          <w:szCs w:val="24"/>
          <w:lang w:val="en-US" w:eastAsia="zh-CN"/>
        </w:rPr>
        <w:t xml:space="preserve"> </w:t>
      </w:r>
      <w:r>
        <w:rPr>
          <w:rFonts w:hint="default" w:ascii="Times New Roman Regular" w:hAnsi="Times New Roman Regular" w:cs="Times New Roman Regular"/>
          <w:b w:val="0"/>
          <w:bCs w:val="0"/>
          <w:sz w:val="24"/>
          <w:szCs w:val="24"/>
        </w:rPr>
        <w:t xml:space="preserve">A recurring weakness is </w:t>
      </w:r>
      <w:r>
        <w:rPr>
          <w:rStyle w:val="18"/>
          <w:rFonts w:hint="default" w:ascii="Times New Roman Regular" w:hAnsi="Times New Roman Regular" w:cs="Times New Roman Regular"/>
          <w:b w:val="0"/>
          <w:bCs w:val="0"/>
          <w:sz w:val="24"/>
          <w:szCs w:val="24"/>
        </w:rPr>
        <w:t>remedy thinness</w:t>
      </w:r>
      <w:r>
        <w:rPr>
          <w:rFonts w:hint="default" w:ascii="Times New Roman Regular" w:hAnsi="Times New Roman Regular" w:cs="Times New Roman Regular"/>
          <w:b w:val="0"/>
          <w:bCs w:val="0"/>
          <w:sz w:val="24"/>
          <w:szCs w:val="24"/>
        </w:rPr>
        <w:t xml:space="preserve"> in cases where the court’s relief is a system rather than a single order. In a protection order case, </w:t>
      </w:r>
      <w:r>
        <w:rPr>
          <w:rStyle w:val="18"/>
          <w:rFonts w:hint="default" w:ascii="Times New Roman Regular" w:hAnsi="Times New Roman Regular" w:cs="Times New Roman Regular"/>
          <w:b w:val="0"/>
          <w:bCs w:val="0"/>
          <w:sz w:val="24"/>
          <w:szCs w:val="24"/>
        </w:rPr>
        <w:t>Claude</w:t>
      </w:r>
      <w:r>
        <w:rPr>
          <w:rFonts w:hint="default" w:ascii="Times New Roman Regular" w:hAnsi="Times New Roman Regular" w:cs="Times New Roman Regular"/>
          <w:b w:val="0"/>
          <w:bCs w:val="0"/>
          <w:sz w:val="24"/>
          <w:szCs w:val="24"/>
        </w:rPr>
        <w:t xml:space="preserve"> aligned on issuing the protection order but did not reflect the court’s closed loop design. The court paired issuance with service and warning, multi agency coordination, ongoing monitoring, sanctions for violations such as fines, and shelter support. Claude largely stopped at rapid issuance and did not integrate enforcement, supervision, violation consequences, or coordinated protection for the victim and minors. The direction was right, but the remedy was not functionally equivalent to what the court actually built. The same thinness appeared in </w:t>
      </w:r>
      <w:r>
        <w:rPr>
          <w:rStyle w:val="18"/>
          <w:rFonts w:hint="default" w:ascii="Times New Roman Regular" w:hAnsi="Times New Roman Regular" w:cs="Times New Roman Regular"/>
          <w:b w:val="0"/>
          <w:bCs w:val="0"/>
          <w:sz w:val="24"/>
          <w:szCs w:val="24"/>
        </w:rPr>
        <w:t>GPT</w:t>
      </w:r>
      <w:r>
        <w:rPr>
          <w:rFonts w:hint="default" w:ascii="Times New Roman Regular" w:hAnsi="Times New Roman Regular" w:cs="Times New Roman Regular"/>
          <w:b w:val="0"/>
          <w:bCs w:val="0"/>
          <w:sz w:val="24"/>
          <w:szCs w:val="24"/>
        </w:rPr>
        <w:t>. In one protection order setting, GPT supported maintaining the order and suggested mediation and monitoring, yet it did not match the court’s layered mechanism that included fines, admonition, shelter provision, and child focused measures that ultimately supported a mediated divorce. This gap is practical, not stylistic, because it changes how the remedy operates.</w:t>
      </w:r>
    </w:p>
    <w:p w14:paraId="3CB75044">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Remedy drift also occurs when </w:t>
      </w:r>
      <w:r>
        <w:rPr>
          <w:rStyle w:val="18"/>
          <w:rFonts w:hint="default" w:ascii="Times New Roman Regular" w:hAnsi="Times New Roman Regular" w:cs="Times New Roman Regular"/>
          <w:b w:val="0"/>
          <w:bCs w:val="0"/>
          <w:sz w:val="24"/>
          <w:szCs w:val="24"/>
        </w:rPr>
        <w:t>issue drift</w:t>
      </w:r>
      <w:r>
        <w:rPr>
          <w:rFonts w:hint="default" w:ascii="Times New Roman Regular" w:hAnsi="Times New Roman Regular" w:cs="Times New Roman Regular"/>
          <w:b w:val="0"/>
          <w:bCs w:val="0"/>
          <w:sz w:val="24"/>
          <w:szCs w:val="24"/>
        </w:rPr>
        <w:t xml:space="preserve"> prevents the model from landing on the court’s decisive allocation. In an appellate custody dispute, </w:t>
      </w:r>
      <w:r>
        <w:rPr>
          <w:rStyle w:val="18"/>
          <w:rFonts w:hint="default" w:ascii="Times New Roman Regular" w:hAnsi="Times New Roman Regular" w:cs="Times New Roman Regular"/>
          <w:b w:val="0"/>
          <w:bCs w:val="0"/>
          <w:sz w:val="24"/>
          <w:szCs w:val="24"/>
        </w:rPr>
        <w:t>Claude</w:t>
      </w:r>
      <w:r>
        <w:rPr>
          <w:rFonts w:hint="default" w:ascii="Times New Roman Regular" w:hAnsi="Times New Roman Regular" w:cs="Times New Roman Regular"/>
          <w:b w:val="0"/>
          <w:bCs w:val="0"/>
          <w:sz w:val="24"/>
          <w:szCs w:val="24"/>
        </w:rPr>
        <w:t xml:space="preserve"> offered a defensible sub view that a single physical friction episode may not, by itself, constitute legal domestic violence. That stance was not necessarily inconsistent with the court, because the court did not treat domestic violence as the deciding axis. The failure was at the remedy endpoint. The court’s key relief was custody allocation, resolved by affirming custody with the mother based on stability and welfare factors. Claude’s remedy section stayed abstract and did not produce a clear custody allocation outcome that matched either its own reasoning or the court’s disposition. This captures the core risk in this dimension. Legal characterization alone is not enough unless it translates into a concrete relief allocation.</w:t>
      </w:r>
    </w:p>
    <w:p w14:paraId="48C1B4A8">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More serious misalignment appears as </w:t>
      </w:r>
      <w:r>
        <w:rPr>
          <w:rStyle w:val="18"/>
          <w:rFonts w:hint="default" w:ascii="Times New Roman Regular" w:hAnsi="Times New Roman Regular" w:cs="Times New Roman Regular"/>
          <w:b w:val="0"/>
          <w:bCs w:val="0"/>
          <w:sz w:val="24"/>
          <w:szCs w:val="24"/>
        </w:rPr>
        <w:t>outcome reversal</w:t>
      </w:r>
      <w:r>
        <w:rPr>
          <w:rFonts w:hint="default" w:ascii="Times New Roman Regular" w:hAnsi="Times New Roman Regular" w:cs="Times New Roman Regular"/>
          <w:b w:val="0"/>
          <w:bCs w:val="0"/>
          <w:sz w:val="24"/>
          <w:szCs w:val="24"/>
        </w:rPr>
        <w:t xml:space="preserve">, where the proposed remedy architecture conflicts with the reference judgment direction. In property division, </w:t>
      </w:r>
      <w:r>
        <w:rPr>
          <w:rStyle w:val="18"/>
          <w:rFonts w:hint="default" w:ascii="Times New Roman Regular" w:hAnsi="Times New Roman Regular" w:cs="Times New Roman Regular"/>
          <w:b w:val="0"/>
          <w:bCs w:val="0"/>
          <w:sz w:val="24"/>
          <w:szCs w:val="24"/>
        </w:rPr>
        <w:t>DS</w:t>
      </w:r>
      <w:r>
        <w:rPr>
          <w:rFonts w:hint="default" w:ascii="Times New Roman Regular" w:hAnsi="Times New Roman Regular" w:cs="Times New Roman Regular"/>
          <w:b w:val="0"/>
          <w:bCs w:val="0"/>
          <w:sz w:val="24"/>
          <w:szCs w:val="24"/>
        </w:rPr>
        <w:t xml:space="preserve"> treated domestic violence as the central driver and proposed a materially greater than half share for the wife, with concrete adjustments such as using actual sale price for an office building, sharply tilting housing proceeds, and scrutinizing equity transfers. The court did the opposite. It dismissed the appeal and maintained equal division, citing procedural limits and rejecting the appellant’s reasons. DS’s chain may be coherent in isolation, but it fails direction and relief alignment against the reference. Reversal risks are amplified in retrial and rehearing contexts, where the remedy question is often procedural before it is substantive. </w:t>
      </w:r>
      <w:r>
        <w:rPr>
          <w:rStyle w:val="18"/>
          <w:rFonts w:hint="default" w:ascii="Times New Roman Regular" w:hAnsi="Times New Roman Regular" w:cs="Times New Roman Regular"/>
          <w:b w:val="0"/>
          <w:bCs w:val="0"/>
          <w:sz w:val="24"/>
          <w:szCs w:val="24"/>
        </w:rPr>
        <w:t>Qwen</w:t>
      </w:r>
      <w:r>
        <w:rPr>
          <w:rFonts w:hint="default" w:ascii="Times New Roman Regular" w:hAnsi="Times New Roman Regular" w:cs="Times New Roman Regular"/>
          <w:b w:val="0"/>
          <w:bCs w:val="0"/>
          <w:sz w:val="24"/>
          <w:szCs w:val="24"/>
        </w:rPr>
        <w:t xml:space="preserve"> recommended rehearing and implied the original judgment was wrong, while the court dismissed the rehearing application. A similar reversal occurred when </w:t>
      </w:r>
      <w:r>
        <w:rPr>
          <w:rStyle w:val="18"/>
          <w:rFonts w:hint="default" w:ascii="Times New Roman Regular" w:hAnsi="Times New Roman Regular" w:cs="Times New Roman Regular"/>
          <w:b w:val="0"/>
          <w:bCs w:val="0"/>
          <w:sz w:val="24"/>
          <w:szCs w:val="24"/>
        </w:rPr>
        <w:t>DS</w:t>
      </w:r>
      <w:r>
        <w:rPr>
          <w:rFonts w:hint="default" w:ascii="Times New Roman Regular" w:hAnsi="Times New Roman Regular" w:cs="Times New Roman Regular"/>
          <w:b w:val="0"/>
          <w:bCs w:val="0"/>
          <w:sz w:val="24"/>
          <w:szCs w:val="24"/>
        </w:rPr>
        <w:t xml:space="preserve"> proposed revising the judgment to support mental distress damages, while the court dismissed rehearing based on evidence insufficiency and the absence of appeal or new evidence. In these settings, remedy alignment depends on procedural posture. If a model overlooks or discounts procedural bars, it can generate a coherent substantive package that still conflicts with the adjudicative path the court legally must follow.</w:t>
      </w:r>
    </w:p>
    <w:p w14:paraId="27A9A7A8">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Another recurring weakness is </w:t>
      </w:r>
      <w:r>
        <w:rPr>
          <w:rStyle w:val="18"/>
          <w:rFonts w:hint="default" w:ascii="Times New Roman Regular" w:hAnsi="Times New Roman Regular" w:cs="Times New Roman Regular"/>
          <w:b w:val="0"/>
          <w:bCs w:val="0"/>
          <w:sz w:val="24"/>
          <w:szCs w:val="24"/>
        </w:rPr>
        <w:t>over weighting</w:t>
      </w:r>
      <w:r>
        <w:rPr>
          <w:rFonts w:hint="default" w:ascii="Times New Roman Regular" w:hAnsi="Times New Roman Regular" w:cs="Times New Roman Regular"/>
          <w:b w:val="0"/>
          <w:bCs w:val="0"/>
          <w:sz w:val="24"/>
          <w:szCs w:val="24"/>
        </w:rPr>
        <w:t xml:space="preserve"> a factor that the court treated as one circumstance among many. In a betrothal gift return dispute, </w:t>
      </w:r>
      <w:r>
        <w:rPr>
          <w:rStyle w:val="18"/>
          <w:rFonts w:hint="default" w:ascii="Times New Roman Regular" w:hAnsi="Times New Roman Regular" w:cs="Times New Roman Regular"/>
          <w:b w:val="0"/>
          <w:bCs w:val="0"/>
          <w:sz w:val="24"/>
          <w:szCs w:val="24"/>
        </w:rPr>
        <w:t>Gemini</w:t>
      </w:r>
      <w:r>
        <w:rPr>
          <w:rFonts w:hint="default" w:ascii="Times New Roman Regular" w:hAnsi="Times New Roman Regular" w:cs="Times New Roman Regular"/>
          <w:b w:val="0"/>
          <w:bCs w:val="0"/>
          <w:sz w:val="24"/>
          <w:szCs w:val="24"/>
        </w:rPr>
        <w:t xml:space="preserve"> argued that conduct should be explicitly labeled as domestic violence and used as a major lever to change the return amount. The court treated the injury event as one factor within a broader balance and still set a high return ratio. Gemini’s proposed relief structure elevated domestic violence into a decisive adjustment, which was not functionally equivalent to the court’s balancing design, even if the moral intuition was understandable.</w:t>
      </w:r>
      <w:r>
        <w:rPr>
          <w:rFonts w:hint="default" w:ascii="Times New Roman Regular" w:hAnsi="Times New Roman Regular" w:cs="Times New Roman Regular"/>
          <w:b w:val="0"/>
          <w:bCs w:val="0"/>
          <w:sz w:val="24"/>
          <w:szCs w:val="24"/>
          <w:lang w:val="en-US" w:eastAsia="zh-CN"/>
        </w:rPr>
        <w:t xml:space="preserve"> </w:t>
      </w:r>
      <w:r>
        <w:rPr>
          <w:rFonts w:hint="default" w:ascii="Times New Roman Regular" w:hAnsi="Times New Roman Regular" w:cs="Times New Roman Regular"/>
          <w:b w:val="0"/>
          <w:bCs w:val="0"/>
          <w:sz w:val="24"/>
          <w:szCs w:val="24"/>
        </w:rPr>
        <w:t xml:space="preserve">Where the remedy is relatively simple and the record points to a clear endpoint, such as granting divorce, changing custody, or excluding a debt from marital liability, </w:t>
      </w:r>
      <w:r>
        <w:rPr>
          <w:rStyle w:val="18"/>
          <w:rFonts w:hint="default" w:ascii="Times New Roman Regular" w:hAnsi="Times New Roman Regular" w:cs="Times New Roman Regular"/>
          <w:b w:val="0"/>
          <w:bCs w:val="0"/>
          <w:sz w:val="24"/>
          <w:szCs w:val="24"/>
          <w:lang w:val="en-US" w:eastAsia="zh-CN"/>
        </w:rPr>
        <w:t xml:space="preserve">LLMs </w:t>
      </w:r>
      <w:r>
        <w:rPr>
          <w:rFonts w:hint="default" w:ascii="Times New Roman Regular" w:hAnsi="Times New Roman Regular" w:cs="Times New Roman Regular"/>
          <w:b w:val="0"/>
          <w:bCs w:val="0"/>
          <w:sz w:val="24"/>
          <w:szCs w:val="24"/>
        </w:rPr>
        <w:t xml:space="preserve">often track the correct direction and core relief categories. Where relief is multi layer, operational, or procedurally constrained, alignment becomes fragile. </w:t>
      </w:r>
    </w:p>
    <w:p w14:paraId="13261EB0">
      <w:pPr>
        <w:pStyle w:val="3"/>
        <w:bidi w:val="0"/>
        <w:rPr>
          <w:rFonts w:hint="default" w:ascii="Times New Roman Regular" w:hAnsi="Times New Roman Regular" w:cs="Times New Roman Regular"/>
          <w:b/>
          <w:bCs w:val="0"/>
          <w:sz w:val="24"/>
          <w:szCs w:val="24"/>
          <w:lang w:val="en-US" w:eastAsia="zh-CN"/>
        </w:rPr>
      </w:pPr>
      <w:r>
        <w:rPr>
          <w:rFonts w:hint="default" w:ascii="Times New Roman Regular" w:hAnsi="Times New Roman Regular" w:cs="Times New Roman Regular"/>
          <w:b/>
          <w:bCs w:val="0"/>
          <w:sz w:val="24"/>
          <w:szCs w:val="24"/>
          <w:lang w:val="en-US" w:eastAsia="zh-CN"/>
        </w:rPr>
        <w:t xml:space="preserve">5.3 Value Laden Decisions </w:t>
      </w:r>
    </w:p>
    <w:p w14:paraId="5BAEB57C">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sz w:val="24"/>
          <w:szCs w:val="24"/>
        </w:rPr>
        <w:t>Unlike math or logic tasks where conclusions follow from facts, judicial writing often turns on normatively charged and open textured terms such as reasonable, substa</w:t>
      </w:r>
      <w:r>
        <w:rPr>
          <w:rFonts w:hint="default" w:ascii="Times New Roman Regular" w:hAnsi="Times New Roman Regular" w:cs="Times New Roman Regular"/>
          <w:b w:val="0"/>
          <w:bCs w:val="0"/>
          <w:sz w:val="24"/>
          <w:szCs w:val="24"/>
        </w:rPr>
        <w:t>ntial emotional distress, or ambiguous statutory language that admits multiple readings.</w:t>
      </w:r>
      <w:r>
        <w:rPr>
          <w:rFonts w:hint="default" w:ascii="Times New Roman Regular" w:hAnsi="Times New Roman Regular" w:cs="Times New Roman Regular"/>
          <w:b w:val="0"/>
          <w:bCs w:val="0"/>
          <w:sz w:val="24"/>
          <w:szCs w:val="24"/>
          <w:lang w:val="en-US" w:eastAsia="zh-CN"/>
        </w:rPr>
        <w:t xml:space="preserve"> </w:t>
      </w:r>
      <w:r>
        <w:rPr>
          <w:rFonts w:hint="default" w:ascii="Times New Roman Regular" w:hAnsi="Times New Roman Regular" w:cs="Times New Roman Regular"/>
          <w:b w:val="0"/>
          <w:bCs w:val="0"/>
          <w:sz w:val="24"/>
          <w:szCs w:val="24"/>
        </w:rPr>
        <w:t>This dimension therefore tests whether models can surface the correct value axes and keep empathy professional, while avoiding victim blaming, stigmatization, or moralized inference.</w:t>
      </w:r>
      <w:r>
        <w:rPr>
          <w:rFonts w:hint="default" w:ascii="Times New Roman Regular" w:hAnsi="Times New Roman Regular" w:cs="Times New Roman Regular"/>
          <w:b w:val="0"/>
          <w:bCs w:val="0"/>
          <w:sz w:val="24"/>
          <w:szCs w:val="24"/>
          <w:lang w:val="en-US" w:eastAsia="zh-CN"/>
        </w:rPr>
        <w:t xml:space="preserve"> </w:t>
      </w:r>
      <w:r>
        <w:rPr>
          <w:rFonts w:hint="default" w:ascii="Times New Roman Regular" w:hAnsi="Times New Roman Regular" w:cs="Times New Roman Regular"/>
          <w:b w:val="0"/>
          <w:bCs w:val="0"/>
          <w:sz w:val="24"/>
          <w:szCs w:val="24"/>
        </w:rPr>
        <w:t xml:space="preserve">Several answers demonstrated disciplined value identification tied to legal discretion. </w:t>
      </w:r>
      <w:r>
        <w:rPr>
          <w:rStyle w:val="18"/>
          <w:rFonts w:hint="default" w:ascii="Times New Roman Regular" w:hAnsi="Times New Roman Regular" w:cs="Times New Roman Regular"/>
          <w:b w:val="0"/>
          <w:bCs w:val="0"/>
          <w:sz w:val="24"/>
          <w:szCs w:val="24"/>
        </w:rPr>
        <w:t>DS</w:t>
      </w:r>
      <w:r>
        <w:rPr>
          <w:rFonts w:hint="default" w:ascii="Times New Roman Regular" w:hAnsi="Times New Roman Regular" w:cs="Times New Roman Regular"/>
          <w:b w:val="0"/>
          <w:bCs w:val="0"/>
          <w:sz w:val="24"/>
          <w:szCs w:val="24"/>
        </w:rPr>
        <w:t xml:space="preserve"> repeatedly balanced punishment for severe violence with individualized justice</w:t>
      </w:r>
      <w:r>
        <w:rPr>
          <w:rFonts w:hint="default" w:ascii="Times New Roman Regular" w:hAnsi="Times New Roman Regular" w:cs="Times New Roman Regular"/>
          <w:b w:val="0"/>
          <w:bCs w:val="0"/>
          <w:sz w:val="24"/>
          <w:szCs w:val="24"/>
          <w:lang w:val="en-US" w:eastAsia="zh-CN"/>
        </w:rPr>
        <w:t xml:space="preserve"> i</w:t>
      </w:r>
      <w:r>
        <w:rPr>
          <w:rFonts w:hint="default" w:ascii="Times New Roman Regular" w:hAnsi="Times New Roman Regular" w:cs="Times New Roman Regular"/>
          <w:b w:val="0"/>
          <w:bCs w:val="0"/>
          <w:sz w:val="24"/>
          <w:szCs w:val="24"/>
        </w:rPr>
        <w:t>n</w:t>
      </w:r>
      <w:r>
        <w:rPr>
          <w:rFonts w:hint="default" w:ascii="Times New Roman Regular" w:hAnsi="Times New Roman Regular" w:cs="Times New Roman Regular"/>
          <w:b w:val="0"/>
          <w:bCs w:val="0"/>
          <w:sz w:val="24"/>
          <w:szCs w:val="24"/>
          <w:lang w:val="en-US"/>
        </w:rPr>
        <w:t xml:space="preserve"> some</w:t>
      </w:r>
      <w:r>
        <w:rPr>
          <w:rFonts w:hint="default" w:ascii="Times New Roman Regular" w:hAnsi="Times New Roman Regular" w:cs="Times New Roman Regular"/>
          <w:b w:val="0"/>
          <w:bCs w:val="0"/>
          <w:sz w:val="24"/>
          <w:szCs w:val="24"/>
        </w:rPr>
        <w:t xml:space="preserve"> homicide setting</w:t>
      </w:r>
      <w:r>
        <w:rPr>
          <w:rFonts w:hint="default" w:ascii="Times New Roman Regular" w:hAnsi="Times New Roman Regular" w:cs="Times New Roman Regular"/>
          <w:b w:val="0"/>
          <w:bCs w:val="0"/>
          <w:sz w:val="24"/>
          <w:szCs w:val="24"/>
          <w:lang w:val="en-US"/>
        </w:rPr>
        <w:t>s</w:t>
      </w:r>
      <w:r>
        <w:rPr>
          <w:rFonts w:hint="default" w:ascii="Times New Roman Regular" w:hAnsi="Times New Roman Regular" w:cs="Times New Roman Regular"/>
          <w:b w:val="0"/>
          <w:bCs w:val="0"/>
          <w:sz w:val="24"/>
          <w:szCs w:val="24"/>
        </w:rPr>
        <w:t xml:space="preserve">. It stressed social safety and the sanctity of life, but also treated family conflict as context. DS used restrained language like “long term improper words and conduct” and “direct responsibility for escalation,” while still rejecting the move from context to justification. It also separated “victim responsibility” from the legal predicates of self defense, which reduced the risk that empathy becomes a back door to rationalizing violence. In the self defense style dispute, DS framed the value boundary as encouraging legitimate defense while preventing abuse. That framing matters because it preserves the integrity of the defense while remaining sensitive to escalation risk. In a domestic violence divorce context, </w:t>
      </w:r>
      <w:r>
        <w:rPr>
          <w:rStyle w:val="18"/>
          <w:rFonts w:hint="default" w:ascii="Times New Roman Regular" w:hAnsi="Times New Roman Regular" w:cs="Times New Roman Regular"/>
          <w:b w:val="0"/>
          <w:bCs w:val="0"/>
          <w:sz w:val="24"/>
          <w:szCs w:val="24"/>
        </w:rPr>
        <w:t>Claude</w:t>
      </w:r>
      <w:r>
        <w:rPr>
          <w:rFonts w:hint="default" w:ascii="Times New Roman Regular" w:hAnsi="Times New Roman Regular" w:cs="Times New Roman Regular"/>
          <w:b w:val="0"/>
          <w:bCs w:val="0"/>
          <w:sz w:val="24"/>
          <w:szCs w:val="24"/>
        </w:rPr>
        <w:t xml:space="preserve"> showed value balancing through remedial lenses. It treated compensation as dignity repair and weak party protection, and it stated that “economic dependence does not reduce responsibility” but instead supports remedial tilt. It endorsed domestic work compensation and divorce damages under </w:t>
      </w:r>
      <w:r>
        <w:rPr>
          <w:rStyle w:val="18"/>
          <w:rFonts w:hint="default" w:ascii="Times New Roman Regular" w:hAnsi="Times New Roman Regular" w:cs="Times New Roman Regular"/>
          <w:b w:val="0"/>
          <w:bCs w:val="0"/>
          <w:sz w:val="24"/>
          <w:szCs w:val="24"/>
        </w:rPr>
        <w:t>Civil Code Article 1091</w:t>
      </w:r>
      <w:r>
        <w:rPr>
          <w:rFonts w:hint="default" w:ascii="Times New Roman Regular" w:hAnsi="Times New Roman Regular" w:cs="Times New Roman Regular"/>
          <w:b w:val="0"/>
          <w:bCs w:val="0"/>
          <w:sz w:val="24"/>
          <w:szCs w:val="24"/>
        </w:rPr>
        <w:t xml:space="preserve"> and kept the tone non sensational.</w:t>
      </w:r>
      <w:r>
        <w:rPr>
          <w:rFonts w:hint="default" w:ascii="Times New Roman Regular" w:hAnsi="Times New Roman Regular" w:cs="Times New Roman Regular"/>
          <w:b w:val="0"/>
          <w:bCs w:val="0"/>
          <w:sz w:val="24"/>
          <w:szCs w:val="24"/>
          <w:lang w:val="en-US"/>
        </w:rPr>
        <w:t xml:space="preserve"> </w:t>
      </w:r>
    </w:p>
    <w:p w14:paraId="6310796A">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color w:val="auto"/>
          <w:sz w:val="24"/>
          <w:szCs w:val="24"/>
          <w:lang w:val="en-US"/>
        </w:rPr>
        <w:t>In child-related cases, several models operationalize “best interests” into concrete risk and welfare factors (safety, stability, caregiving history, and mental health), and the stronger outputs keep the value discussion tethered to legally actionable axes rather than moralized narratives.</w:t>
      </w:r>
      <w:r>
        <w:rPr>
          <w:rFonts w:hint="default" w:ascii="Times New Roman Regular" w:hAnsi="Times New Roman Regular" w:cs="Times New Roman Regular"/>
          <w:b w:val="0"/>
          <w:bCs w:val="0"/>
          <w:color w:val="auto"/>
          <w:sz w:val="24"/>
          <w:szCs w:val="24"/>
        </w:rPr>
        <w:t xml:space="preserve"> </w:t>
      </w:r>
      <w:r>
        <w:rPr>
          <w:rStyle w:val="18"/>
          <w:rFonts w:hint="default" w:ascii="Times New Roman Regular" w:hAnsi="Times New Roman Regular" w:cs="Times New Roman Regular"/>
          <w:b w:val="0"/>
          <w:bCs w:val="0"/>
          <w:color w:val="auto"/>
          <w:sz w:val="24"/>
          <w:szCs w:val="24"/>
        </w:rPr>
        <w:t>Claude</w:t>
      </w:r>
      <w:r>
        <w:rPr>
          <w:rFonts w:hint="default" w:ascii="Times New Roman Regular" w:hAnsi="Times New Roman Regular" w:cs="Times New Roman Regular"/>
          <w:b w:val="0"/>
          <w:bCs w:val="0"/>
          <w:color w:val="auto"/>
          <w:sz w:val="24"/>
          <w:szCs w:val="24"/>
        </w:rPr>
        <w:t xml:space="preserve">, </w:t>
      </w:r>
      <w:r>
        <w:rPr>
          <w:rStyle w:val="18"/>
          <w:rFonts w:hint="default" w:ascii="Times New Roman Regular" w:hAnsi="Times New Roman Regular" w:cs="Times New Roman Regular"/>
          <w:b w:val="0"/>
          <w:bCs w:val="0"/>
          <w:color w:val="auto"/>
          <w:sz w:val="24"/>
          <w:szCs w:val="24"/>
        </w:rPr>
        <w:t>GPT</w:t>
      </w:r>
      <w:r>
        <w:rPr>
          <w:rFonts w:hint="default" w:ascii="Times New Roman Regular" w:hAnsi="Times New Roman Regular" w:cs="Times New Roman Regular"/>
          <w:b w:val="0"/>
          <w:bCs w:val="0"/>
          <w:color w:val="auto"/>
          <w:sz w:val="24"/>
          <w:szCs w:val="24"/>
        </w:rPr>
        <w:t xml:space="preserve">, and </w:t>
      </w:r>
      <w:r>
        <w:rPr>
          <w:rStyle w:val="18"/>
          <w:rFonts w:hint="default" w:ascii="Times New Roman Regular" w:hAnsi="Times New Roman Regular" w:cs="Times New Roman Regular"/>
          <w:b w:val="0"/>
          <w:bCs w:val="0"/>
          <w:color w:val="auto"/>
          <w:sz w:val="24"/>
          <w:szCs w:val="24"/>
        </w:rPr>
        <w:t>Qwen</w:t>
      </w:r>
      <w:r>
        <w:rPr>
          <w:rFonts w:hint="default" w:ascii="Times New Roman Regular" w:hAnsi="Times New Roman Regular" w:cs="Times New Roman Regular"/>
          <w:b w:val="0"/>
          <w:bCs w:val="0"/>
          <w:color w:val="auto"/>
          <w:sz w:val="24"/>
          <w:szCs w:val="24"/>
        </w:rPr>
        <w:t xml:space="preserve"> consistently operationalized best interests into concrete concerns. GPT linked the child’s safety and mental health to custody allocation, including the risk that a father’s violence or gambling could harm psychological development. Qwen framed “best interests of the minor” as the control</w:t>
      </w:r>
      <w:r>
        <w:rPr>
          <w:rFonts w:hint="default" w:ascii="Times New Roman Regular" w:hAnsi="Times New Roman Regular" w:cs="Times New Roman Regular"/>
          <w:b w:val="0"/>
          <w:bCs w:val="0"/>
          <w:sz w:val="24"/>
          <w:szCs w:val="24"/>
        </w:rPr>
        <w:t>ling value and translated it into “emotional reliance” and “care quality,” while still recognizing the non custodial parent’s relational interest through a visitation safeguard. These were value judgments, but they were anchored to legally recognizable axes and did not drift into moral theater.</w:t>
      </w:r>
    </w:p>
    <w:p w14:paraId="1083989A">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lang w:val="en-US"/>
        </w:rPr>
        <w:t xml:space="preserve">Some </w:t>
      </w:r>
      <w:r>
        <w:rPr>
          <w:rFonts w:hint="default" w:ascii="Times New Roman Regular" w:hAnsi="Times New Roman Regular" w:cs="Times New Roman Regular"/>
          <w:b w:val="0"/>
          <w:bCs w:val="0"/>
          <w:sz w:val="24"/>
          <w:szCs w:val="24"/>
        </w:rPr>
        <w:t xml:space="preserve">outputs also appeared outside the domestic violence core, where the value axis is often public order plus procedural fairness. In a family funds or intra family transaction dispute, </w:t>
      </w:r>
      <w:r>
        <w:rPr>
          <w:rStyle w:val="18"/>
          <w:rFonts w:hint="default" w:ascii="Times New Roman Regular" w:hAnsi="Times New Roman Regular" w:cs="Times New Roman Regular"/>
          <w:b w:val="0"/>
          <w:bCs w:val="0"/>
          <w:sz w:val="24"/>
          <w:szCs w:val="24"/>
        </w:rPr>
        <w:t>Gemini</w:t>
      </w:r>
      <w:r>
        <w:rPr>
          <w:rFonts w:hint="default" w:ascii="Times New Roman Regular" w:hAnsi="Times New Roman Regular" w:cs="Times New Roman Regular"/>
          <w:b w:val="0"/>
          <w:bCs w:val="0"/>
          <w:sz w:val="24"/>
          <w:szCs w:val="24"/>
        </w:rPr>
        <w:t xml:space="preserve"> balanced rule of law predictability with family ethics and ordinary life logic. It insisted that basic contract elements and proof burdens cannot be displaced by broad principle talk, while still acknowledging the special context of elder to younger transfers and caregiving expectations. The key is that Gemini did not turn family morality into blame. It avoided stigmatizing either side and treated family norms as interpretive context for intent. </w:t>
      </w:r>
      <w:r>
        <w:rPr>
          <w:rStyle w:val="18"/>
          <w:rFonts w:hint="default" w:ascii="Times New Roman Regular" w:hAnsi="Times New Roman Regular" w:cs="Times New Roman Regular"/>
          <w:b w:val="0"/>
          <w:bCs w:val="0"/>
          <w:sz w:val="24"/>
          <w:szCs w:val="24"/>
        </w:rPr>
        <w:t>DS</w:t>
      </w:r>
      <w:r>
        <w:rPr>
          <w:rFonts w:hint="default" w:ascii="Times New Roman Regular" w:hAnsi="Times New Roman Regular" w:cs="Times New Roman Regular"/>
          <w:b w:val="0"/>
          <w:bCs w:val="0"/>
          <w:sz w:val="24"/>
          <w:szCs w:val="24"/>
        </w:rPr>
        <w:t xml:space="preserve"> showed a similar style in cohabitation property disputes. It resisted a mechanical ownership story and instead tied “building a shared home” to substantive fairness. At the same time, it protected the internal stability of co ownership by noting that one co owner’s use is not automatically an unlawful obstruction. </w:t>
      </w:r>
      <w:r>
        <w:rPr>
          <w:rStyle w:val="18"/>
          <w:rFonts w:hint="default" w:ascii="Times New Roman Regular" w:hAnsi="Times New Roman Regular" w:cs="Times New Roman Regular"/>
          <w:b w:val="0"/>
          <w:bCs w:val="0"/>
          <w:sz w:val="24"/>
          <w:szCs w:val="24"/>
        </w:rPr>
        <w:t>DS</w:t>
      </w:r>
      <w:r>
        <w:rPr>
          <w:rFonts w:hint="default" w:ascii="Times New Roman Regular" w:hAnsi="Times New Roman Regular" w:cs="Times New Roman Regular"/>
          <w:b w:val="0"/>
          <w:bCs w:val="0"/>
          <w:sz w:val="24"/>
          <w:szCs w:val="24"/>
        </w:rPr>
        <w:t xml:space="preserve"> also used procedure as a value axis in property fairness cases. It framed judicial economy and dispute finality as reasons to require partition first, then property claims. This kept empathy from becoming a shortcut around process. In another property setting where a party raised domestic violence allegations in a possession style suit, DS balanced two values without collapsing them. It took domestic violence seriously as a rights issue, but it also defended evidence based adjudication and warned against opportunistic, unproved accusation as a threat to procedural legitimacy. That is risk sensitivity, the critique targets litigation strategy and proof posture, not the moral worth of the claimant.</w:t>
      </w:r>
    </w:p>
    <w:p w14:paraId="24B01944">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Empathy quality varied in a way that mirrors institutional legibility findings in domestic violence scholarship. Sweet (2019) shows that in the United States, emphasizing mental health impacts and recovery can make survivors institutionally legible.</w:t>
      </w:r>
      <w:r>
        <w:rPr>
          <w:rStyle w:val="10"/>
          <w:rFonts w:hint="default" w:ascii="Times New Roman Regular" w:hAnsi="Times New Roman Regular" w:cs="Times New Roman Regular"/>
          <w:b w:val="0"/>
          <w:bCs w:val="0"/>
          <w:sz w:val="24"/>
          <w:szCs w:val="24"/>
        </w:rPr>
        <w:t>[</w:t>
      </w:r>
      <w:r>
        <w:rPr>
          <w:rStyle w:val="10"/>
          <w:rFonts w:hint="default" w:ascii="Times New Roman Regular" w:hAnsi="Times New Roman Regular" w:cs="Times New Roman Regular"/>
          <w:b w:val="0"/>
          <w:bCs w:val="0"/>
          <w:sz w:val="24"/>
          <w:szCs w:val="24"/>
        </w:rPr>
        <w:footnoteReference w:id="90"/>
      </w:r>
      <w:r>
        <w:rPr>
          <w:rStyle w:val="10"/>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b w:val="0"/>
          <w:bCs w:val="0"/>
          <w:sz w:val="24"/>
          <w:szCs w:val="24"/>
        </w:rPr>
        <w:t xml:space="preserve"> The comparative concern is that courts can marginalize survivors with mental disabilities. In the model answers here, empathy was sometimes warmer than the court’s framing. GPT and Qwen explicitly treated child psychological harm and fear as legally relevant, rather than as background emotion. Gemini also handled a hard tension case by separating compassion from doctrinal distortion. It acknowledged hardship and vulnerability, but insisted that loss filling in tort cannot be converted into general welfare redistribution. It pointed instead to social security as the proper channel. That is empathy with boundary discipline. At the same time, this dimension exposes a risk of algorithmic trauma. If a model learns that only the most narratively legible victim deserves protection, it can reproduce a rational victim template. The best answers avoided that by tying trauma language to legal functions such as risk assessment, dignity protection, and child welfare, rather than to moral deservingness.</w:t>
      </w:r>
      <w:r>
        <w:rPr>
          <w:rFonts w:hint="default" w:ascii="Times New Roman Regular" w:hAnsi="Times New Roman Regular" w:cs="Times New Roman Regular"/>
          <w:b w:val="0"/>
          <w:bCs w:val="0"/>
          <w:sz w:val="24"/>
          <w:szCs w:val="24"/>
          <w:lang w:val="en-US"/>
        </w:rPr>
        <w:t xml:space="preserve"> Some answers were not overtly biased, but their value architecture was thin or incomplete.</w:t>
      </w:r>
      <w:r>
        <w:rPr>
          <w:rFonts w:hint="default" w:ascii="Times New Roman Regular" w:hAnsi="Times New Roman Regular" w:cs="Times New Roman Regular"/>
          <w:b w:val="0"/>
          <w:bCs w:val="0"/>
          <w:sz w:val="24"/>
          <w:szCs w:val="24"/>
        </w:rPr>
        <w:t xml:space="preserve"> In a protection order case with self harm threats, </w:t>
      </w:r>
      <w:r>
        <w:rPr>
          <w:rStyle w:val="18"/>
          <w:rFonts w:hint="default" w:ascii="Times New Roman Regular" w:hAnsi="Times New Roman Regular" w:cs="Times New Roman Regular"/>
          <w:b w:val="0"/>
          <w:bCs w:val="0"/>
          <w:sz w:val="24"/>
          <w:szCs w:val="24"/>
        </w:rPr>
        <w:t>Claude</w:t>
      </w:r>
      <w:r>
        <w:rPr>
          <w:rFonts w:hint="default" w:ascii="Times New Roman Regular" w:hAnsi="Times New Roman Regular" w:cs="Times New Roman Regular"/>
          <w:b w:val="0"/>
          <w:bCs w:val="0"/>
          <w:sz w:val="24"/>
          <w:szCs w:val="24"/>
        </w:rPr>
        <w:t xml:space="preserve"> and </w:t>
      </w:r>
      <w:r>
        <w:rPr>
          <w:rStyle w:val="18"/>
          <w:rFonts w:hint="default" w:ascii="Times New Roman Regular" w:hAnsi="Times New Roman Regular" w:cs="Times New Roman Regular"/>
          <w:b w:val="0"/>
          <w:bCs w:val="0"/>
          <w:sz w:val="24"/>
          <w:szCs w:val="24"/>
        </w:rPr>
        <w:t>GPT</w:t>
      </w:r>
      <w:r>
        <w:rPr>
          <w:rFonts w:hint="default" w:ascii="Times New Roman Regular" w:hAnsi="Times New Roman Regular" w:cs="Times New Roman Regular"/>
          <w:b w:val="0"/>
          <w:bCs w:val="0"/>
          <w:sz w:val="24"/>
          <w:szCs w:val="24"/>
        </w:rPr>
        <w:t xml:space="preserve"> often identified safety and speed, but they did not reach the deeper axis that the court foregrounded. The court treated coercive “control” as the essence of domestic violence and treated mental fear as a substantive harm, not a secondary effect. It also framed multi agency coordination as social governance value and highlighted minors as an independent protection axis. </w:t>
      </w:r>
      <w:r>
        <w:rPr>
          <w:rFonts w:hint="default" w:ascii="Times New Roman Regular" w:hAnsi="Times New Roman Regular" w:cs="Times New Roman Regular"/>
          <w:b w:val="0"/>
          <w:bCs w:val="0"/>
          <w:sz w:val="24"/>
          <w:szCs w:val="24"/>
          <w:lang w:val="en-US" w:eastAsia="zh-CN"/>
        </w:rPr>
        <w:t>LLMs</w:t>
      </w:r>
      <w:r>
        <w:rPr>
          <w:rFonts w:hint="default" w:ascii="Times New Roman Regular" w:hAnsi="Times New Roman Regular" w:cs="Times New Roman Regular"/>
          <w:b w:val="0"/>
          <w:bCs w:val="0"/>
          <w:sz w:val="24"/>
          <w:szCs w:val="24"/>
        </w:rPr>
        <w:t xml:space="preserve"> sometimes remained at “protect first” level. That made the value discussion slogan like. A similar pattern appeared in </w:t>
      </w:r>
      <w:r>
        <w:rPr>
          <w:rStyle w:val="18"/>
          <w:rFonts w:hint="default" w:ascii="Times New Roman Regular" w:hAnsi="Times New Roman Regular" w:cs="Times New Roman Regular"/>
          <w:b w:val="0"/>
          <w:bCs w:val="0"/>
          <w:sz w:val="24"/>
          <w:szCs w:val="24"/>
        </w:rPr>
        <w:t>Qwen</w:t>
      </w:r>
      <w:r>
        <w:rPr>
          <w:rFonts w:hint="default" w:ascii="Times New Roman Regular" w:hAnsi="Times New Roman Regular" w:cs="Times New Roman Regular"/>
          <w:b w:val="0"/>
          <w:bCs w:val="0"/>
          <w:sz w:val="24"/>
          <w:szCs w:val="24"/>
        </w:rPr>
        <w:t xml:space="preserve"> on a high bride price case. The court balanced respect for customary practice with a clear normative stance against excessive bride price, and it integrated miscarriage and injury as discretionary compassion factors. Qwen largely stayed in rule application and missed the court’s explicit public order messaging. In fake divorce avoidance contexts, </w:t>
      </w:r>
      <w:r>
        <w:rPr>
          <w:rStyle w:val="18"/>
          <w:rFonts w:hint="default" w:ascii="Times New Roman Regular" w:hAnsi="Times New Roman Regular" w:cs="Times New Roman Regular"/>
          <w:b w:val="0"/>
          <w:bCs w:val="0"/>
          <w:sz w:val="24"/>
          <w:szCs w:val="24"/>
        </w:rPr>
        <w:t>Claude</w:t>
      </w:r>
      <w:r>
        <w:rPr>
          <w:rFonts w:hint="default" w:ascii="Times New Roman Regular" w:hAnsi="Times New Roman Regular" w:cs="Times New Roman Regular"/>
          <w:b w:val="0"/>
          <w:bCs w:val="0"/>
          <w:sz w:val="24"/>
          <w:szCs w:val="24"/>
        </w:rPr>
        <w:t xml:space="preserve"> also tended to under state the court’s strong emphasis on maintaining the seriousness of the marriage registration order. </w:t>
      </w:r>
    </w:p>
    <w:p w14:paraId="26E348A5">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Quantitatively, Value Balancing</w:t>
      </w:r>
      <w:r>
        <w:rPr>
          <w:rFonts w:hint="default" w:ascii="Times New Roman Regular" w:hAnsi="Times New Roman Regular" w:cs="Times New Roman Regular"/>
          <w:b w:val="0"/>
          <w:bCs w:val="0"/>
          <w:sz w:val="24"/>
          <w:szCs w:val="24"/>
          <w:lang w:val="en-US" w:eastAsia="zh-CN"/>
        </w:rPr>
        <w:t xml:space="preserve"> and </w:t>
      </w:r>
      <w:r>
        <w:rPr>
          <w:rFonts w:hint="default" w:ascii="Times New Roman Regular" w:hAnsi="Times New Roman Regular" w:cs="Times New Roman Regular"/>
          <w:b w:val="0"/>
          <w:bCs w:val="0"/>
          <w:sz w:val="24"/>
          <w:szCs w:val="24"/>
        </w:rPr>
        <w:t>Empathy averages range from 3.36/4 (DeepSeek/DeepSeek‑Thinking) to 1.97/4 (GPT‑4o), mirroring the same top-to-bottom gradient seen in reasoning alignment.</w:t>
      </w:r>
      <w:r>
        <w:rPr>
          <w:rFonts w:hint="default" w:ascii="Times New Roman Regular" w:hAnsi="Times New Roman Regular" w:cs="Times New Roman Regular"/>
          <w:b w:val="0"/>
          <w:bCs w:val="0"/>
          <w:sz w:val="24"/>
          <w:szCs w:val="24"/>
          <w:lang w:val="en-US"/>
        </w:rPr>
        <w:t xml:space="preserve"> </w:t>
      </w:r>
      <w:r>
        <w:rPr>
          <w:rFonts w:hint="default" w:ascii="Times New Roman Regular" w:hAnsi="Times New Roman Regular" w:cs="Times New Roman Regular"/>
          <w:b w:val="0"/>
          <w:bCs w:val="0"/>
          <w:sz w:val="24"/>
          <w:szCs w:val="24"/>
        </w:rPr>
        <w:t xml:space="preserve">Across </w:t>
      </w:r>
      <w:r>
        <w:rPr>
          <w:rFonts w:hint="default" w:ascii="Times New Roman Regular" w:hAnsi="Times New Roman Regular" w:cs="Times New Roman Regular"/>
          <w:b w:val="0"/>
          <w:bCs w:val="0"/>
          <w:sz w:val="24"/>
          <w:szCs w:val="24"/>
          <w:lang w:val="en-US"/>
        </w:rPr>
        <w:t>LLM</w:t>
      </w:r>
      <w:r>
        <w:rPr>
          <w:rFonts w:hint="default" w:ascii="Times New Roman Regular" w:hAnsi="Times New Roman Regular" w:cs="Times New Roman Regular"/>
          <w:b w:val="0"/>
          <w:bCs w:val="0"/>
          <w:sz w:val="24"/>
          <w:szCs w:val="24"/>
        </w:rPr>
        <w:t>s, the more reliable outputs treated values as constraints that shape discretion and relief. They did not treat empathy as sentiment. They treated it as professional recognition of risk, dignity, and vulnerability that must still pass through proof, procedure, and legal categories. When outputs became generic, the problem was not tone. The problem was that key value axes like coercive control, minors’ welfare, procedural posture, or public order signaling were not identified or were not carried through into the legal recommendation.</w:t>
      </w:r>
    </w:p>
    <w:p w14:paraId="74C568B9">
      <w:pPr>
        <w:pStyle w:val="3"/>
        <w:bidi w:val="0"/>
        <w:rPr>
          <w:rFonts w:hint="default" w:ascii="Times New Roman Regular" w:hAnsi="Times New Roman Regular" w:cs="Times New Roman Regular"/>
          <w:b/>
          <w:bCs w:val="0"/>
          <w:sz w:val="24"/>
          <w:szCs w:val="24"/>
          <w:lang w:val="en-US" w:eastAsia="zh-CN"/>
        </w:rPr>
      </w:pPr>
      <w:r>
        <w:rPr>
          <w:rFonts w:hint="default" w:ascii="Times New Roman Regular" w:hAnsi="Times New Roman Regular" w:cs="Times New Roman Regular"/>
          <w:b/>
          <w:bCs w:val="0"/>
          <w:sz w:val="24"/>
          <w:szCs w:val="24"/>
          <w:lang w:val="en-US" w:eastAsia="zh-CN"/>
        </w:rPr>
        <w:t>5</w:t>
      </w:r>
      <w:commentRangeStart w:id="7"/>
      <w:r>
        <w:rPr>
          <w:rFonts w:hint="default" w:ascii="Times New Roman Regular" w:hAnsi="Times New Roman Regular" w:cs="Times New Roman Regular"/>
          <w:b/>
          <w:bCs w:val="0"/>
          <w:sz w:val="24"/>
          <w:szCs w:val="24"/>
          <w:lang w:val="en-US" w:eastAsia="zh-CN"/>
        </w:rPr>
        <w:t xml:space="preserve">.4 Impactful Errors </w:t>
      </w:r>
      <w:commentRangeEnd w:id="7"/>
      <w:r>
        <w:rPr>
          <w:rFonts w:hint="default" w:ascii="Times New Roman Regular" w:hAnsi="Times New Roman Regular" w:cs="Times New Roman Regular"/>
          <w:sz w:val="24"/>
          <w:szCs w:val="24"/>
        </w:rPr>
        <w:commentReference w:id="7"/>
      </w:r>
    </w:p>
    <w:p w14:paraId="017F36A9">
      <w:pPr>
        <w:pStyle w:val="17"/>
        <w:keepNext w:val="0"/>
        <w:keepLines w:val="0"/>
        <w:widowControl/>
        <w:suppressLineNumbers w:val="0"/>
        <w:rPr>
          <w:rFonts w:hint="default" w:ascii="Times New Roman Regular" w:hAnsi="Times New Roman Regular" w:eastAsia="SimSun" w:cs="Times New Roman Regular"/>
          <w:b w:val="0"/>
          <w:bCs/>
          <w:color w:val="auto"/>
          <w:kern w:val="0"/>
          <w:sz w:val="24"/>
          <w:szCs w:val="24"/>
          <w:lang w:val="en-US" w:eastAsia="zh-CN" w:bidi="ar"/>
        </w:rPr>
      </w:pPr>
      <w:r>
        <w:rPr>
          <w:rFonts w:hint="default" w:ascii="Times New Roman Regular" w:hAnsi="Times New Roman Regular" w:eastAsia="SimSun" w:cs="Times New Roman Regular"/>
          <w:b w:val="0"/>
          <w:bCs/>
          <w:color w:val="auto"/>
          <w:kern w:val="0"/>
          <w:sz w:val="24"/>
          <w:szCs w:val="24"/>
          <w:lang w:val="en-US" w:eastAsia="zh-CN" w:bidi="ar"/>
        </w:rPr>
        <w:drawing>
          <wp:inline distT="0" distB="0" distL="114300" distR="114300">
            <wp:extent cx="5264785" cy="2609850"/>
            <wp:effectExtent l="0" t="0" r="18415" b="6350"/>
            <wp:docPr id="17" name="图片 17" descr="chart_errors_20260117_23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hart_errors_20260117_235928"/>
                    <pic:cNvPicPr>
                      <a:picLocks noChangeAspect="1"/>
                    </pic:cNvPicPr>
                  </pic:nvPicPr>
                  <pic:blipFill>
                    <a:blip r:embed="rId11"/>
                    <a:stretch>
                      <a:fillRect/>
                    </a:stretch>
                  </pic:blipFill>
                  <pic:spPr>
                    <a:xfrm>
                      <a:off x="0" y="0"/>
                      <a:ext cx="5264785" cy="2609850"/>
                    </a:xfrm>
                    <a:prstGeom prst="rect">
                      <a:avLst/>
                    </a:prstGeom>
                  </pic:spPr>
                </pic:pic>
              </a:graphicData>
            </a:graphic>
          </wp:inline>
        </w:drawing>
      </w:r>
      <w:r>
        <w:rPr>
          <w:rFonts w:hint="default" w:ascii="Times New Roman Regular" w:hAnsi="Times New Roman Regular" w:eastAsia="SimSun" w:cs="Times New Roman Regular"/>
          <w:b/>
          <w:bCs w:val="0"/>
          <w:color w:val="auto"/>
          <w:kern w:val="0"/>
          <w:sz w:val="24"/>
          <w:szCs w:val="24"/>
          <w:lang w:val="en-US" w:eastAsia="zh-CN" w:bidi="ar"/>
        </w:rPr>
        <w:t xml:space="preserve">Fig. </w:t>
      </w:r>
      <w:r>
        <w:rPr>
          <w:rFonts w:hint="eastAsia" w:ascii="Times New Roman Regular" w:hAnsi="Times New Roman Regular" w:eastAsia="SimSun" w:cs="Times New Roman Regular"/>
          <w:b/>
          <w:bCs w:val="0"/>
          <w:color w:val="auto"/>
          <w:kern w:val="0"/>
          <w:sz w:val="24"/>
          <w:szCs w:val="24"/>
          <w:lang w:val="en-US" w:eastAsia="zh-CN" w:bidi="ar"/>
        </w:rPr>
        <w:t>6</w:t>
      </w:r>
      <w:r>
        <w:rPr>
          <w:rFonts w:hint="default" w:ascii="Times New Roman Regular" w:hAnsi="Times New Roman Regular" w:eastAsia="SimSun" w:cs="Times New Roman Regular"/>
          <w:b/>
          <w:bCs w:val="0"/>
          <w:color w:val="auto"/>
          <w:kern w:val="0"/>
          <w:sz w:val="24"/>
          <w:szCs w:val="24"/>
          <w:lang w:val="en-US" w:eastAsia="zh-CN" w:bidi="ar"/>
        </w:rPr>
        <w:t xml:space="preserve">. </w:t>
      </w:r>
      <w:r>
        <w:rPr>
          <w:rFonts w:hint="default" w:ascii="Times New Roman Regular" w:hAnsi="Times New Roman Regular" w:eastAsia="SimSun" w:cs="Times New Roman Regular"/>
          <w:b w:val="0"/>
          <w:bCs/>
          <w:color w:val="auto"/>
          <w:kern w:val="0"/>
          <w:sz w:val="24"/>
          <w:szCs w:val="24"/>
          <w:lang w:val="en-US" w:eastAsia="zh-CN" w:bidi="ar"/>
        </w:rPr>
        <w:t>Error Statistics (Major/Obvious/Minor)</w:t>
      </w:r>
      <w:r>
        <w:rPr>
          <w:rStyle w:val="10"/>
          <w:rFonts w:hint="default" w:ascii="Times New Roman Regular" w:hAnsi="Times New Roman Regular" w:eastAsia="SimSun" w:cs="Times New Roman Regular"/>
          <w:b w:val="0"/>
          <w:bCs/>
          <w:color w:val="auto"/>
          <w:kern w:val="0"/>
          <w:sz w:val="24"/>
          <w:szCs w:val="24"/>
          <w:lang w:val="en-US" w:eastAsia="zh-CN" w:bidi="ar"/>
        </w:rPr>
        <w:t>[</w:t>
      </w:r>
      <w:r>
        <w:rPr>
          <w:rStyle w:val="10"/>
          <w:rFonts w:hint="default" w:ascii="Times New Roman Regular" w:hAnsi="Times New Roman Regular" w:eastAsia="SimSun" w:cs="Times New Roman Regular"/>
          <w:b w:val="0"/>
          <w:bCs/>
          <w:color w:val="auto"/>
          <w:kern w:val="0"/>
          <w:sz w:val="24"/>
          <w:szCs w:val="24"/>
          <w:lang w:val="en-US" w:eastAsia="zh-CN" w:bidi="ar"/>
        </w:rPr>
        <w:footnoteReference w:id="91"/>
      </w:r>
      <w:r>
        <w:rPr>
          <w:rStyle w:val="10"/>
          <w:rFonts w:hint="default" w:ascii="Times New Roman Regular" w:hAnsi="Times New Roman Regular" w:eastAsia="SimSun" w:cs="Times New Roman Regular"/>
          <w:b w:val="0"/>
          <w:bCs/>
          <w:color w:val="auto"/>
          <w:kern w:val="0"/>
          <w:sz w:val="24"/>
          <w:szCs w:val="24"/>
          <w:lang w:val="en-US" w:eastAsia="zh-CN" w:bidi="ar"/>
        </w:rPr>
        <w:t>]</w:t>
      </w:r>
    </w:p>
    <w:p w14:paraId="7EF57048">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color w:val="auto"/>
          <w:sz w:val="24"/>
          <w:szCs w:val="24"/>
          <w:lang w:val="en-US" w:eastAsia="zh-CN"/>
        </w:rPr>
        <w:t xml:space="preserve">As shown in Figure </w:t>
      </w:r>
      <w:r>
        <w:rPr>
          <w:rFonts w:hint="eastAsia" w:ascii="Times New Roman Regular" w:hAnsi="Times New Roman Regular" w:cs="Times New Roman Regular"/>
          <w:b w:val="0"/>
          <w:bCs w:val="0"/>
          <w:color w:val="auto"/>
          <w:sz w:val="24"/>
          <w:szCs w:val="24"/>
          <w:lang w:val="en-US" w:eastAsia="zh-CN"/>
        </w:rPr>
        <w:t>6</w:t>
      </w:r>
      <w:r>
        <w:rPr>
          <w:rFonts w:hint="default" w:ascii="Times New Roman Regular" w:hAnsi="Times New Roman Regular" w:cs="Times New Roman Regular"/>
          <w:b w:val="0"/>
          <w:bCs w:val="0"/>
          <w:color w:val="auto"/>
          <w:sz w:val="24"/>
          <w:szCs w:val="24"/>
          <w:lang w:val="en-US" w:eastAsia="zh-CN"/>
        </w:rPr>
        <w:t>, error counts closely track the score gradient</w:t>
      </w:r>
      <w:r>
        <w:rPr>
          <w:rFonts w:hint="default" w:ascii="Times New Roman Regular" w:hAnsi="Times New Roman Regular" w:cs="Times New Roman Regular"/>
          <w:b w:val="0"/>
          <w:bCs w:val="0"/>
          <w:color w:val="auto"/>
          <w:sz w:val="24"/>
          <w:szCs w:val="24"/>
          <w:lang w:val="en-US"/>
        </w:rPr>
        <w:t xml:space="preserve">. GPT‑4o and Qwen‑Max have the most obvious errors (86 and 78), while DeepSeek‑Thinking and DeepSeek have far fewer (29 and 31). This aligns with the dimension averages, where Subsumption and Key Facts/Issues Coverage show the steepest drop from the top tier to GPT‑4o. </w:t>
      </w:r>
      <w:r>
        <w:rPr>
          <w:rFonts w:hint="default" w:ascii="Times New Roman Regular" w:hAnsi="Times New Roman Regular" w:cs="Times New Roman Regular"/>
          <w:b w:val="0"/>
          <w:bCs w:val="0"/>
          <w:color w:val="auto"/>
          <w:sz w:val="24"/>
          <w:szCs w:val="24"/>
        </w:rPr>
        <w:t>Impactful errors are not cosmetic</w:t>
      </w:r>
      <w:r>
        <w:rPr>
          <w:rFonts w:hint="default" w:ascii="Times New Roman Regular" w:hAnsi="Times New Roman Regular" w:cs="Times New Roman Regular"/>
          <w:b w:val="0"/>
          <w:bCs w:val="0"/>
          <w:color w:val="auto"/>
          <w:sz w:val="24"/>
          <w:szCs w:val="24"/>
          <w:lang w:val="en-US"/>
        </w:rPr>
        <w:t>, t</w:t>
      </w:r>
      <w:r>
        <w:rPr>
          <w:rFonts w:hint="default" w:ascii="Times New Roman Regular" w:hAnsi="Times New Roman Regular" w:cs="Times New Roman Regular"/>
          <w:b w:val="0"/>
          <w:bCs w:val="0"/>
          <w:color w:val="auto"/>
          <w:sz w:val="24"/>
          <w:szCs w:val="24"/>
        </w:rPr>
        <w:t>hey change legal authority, proof posture, or the court’s a</w:t>
      </w:r>
      <w:r>
        <w:rPr>
          <w:rFonts w:hint="default" w:ascii="Times New Roman Regular" w:hAnsi="Times New Roman Regular" w:cs="Times New Roman Regular"/>
          <w:b w:val="0"/>
          <w:bCs w:val="0"/>
          <w:sz w:val="24"/>
          <w:szCs w:val="24"/>
        </w:rPr>
        <w:t xml:space="preserve">vailable relief. Law requires institutionally valid reasons, not fluent proxies. When models optimize for “citation shaped” language, they can land on locally plausible text that is globally wrong, which fits the problem of deceptive search spaces and unintended side effects. </w:t>
      </w:r>
    </w:p>
    <w:p w14:paraId="63690FAC">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particularly fatal and repeatable failure mode is</w:t>
      </w:r>
      <w:r>
        <w:rPr>
          <w:rFonts w:hint="default" w:ascii="Times New Roman" w:hAnsi="Times New Roman" w:cs="Times New Roman"/>
          <w:b w:val="0"/>
          <w:bCs w:val="0"/>
          <w:sz w:val="24"/>
          <w:szCs w:val="24"/>
        </w:rPr>
        <w:t xml:space="preserve"> </w:t>
      </w:r>
      <w:r>
        <w:rPr>
          <w:rStyle w:val="18"/>
          <w:rFonts w:hint="default" w:ascii="Times New Roman" w:hAnsi="Times New Roman" w:cs="Times New Roman"/>
          <w:b w:val="0"/>
          <w:bCs w:val="0"/>
          <w:sz w:val="24"/>
          <w:szCs w:val="24"/>
        </w:rPr>
        <w:t>stale-law citation</w:t>
      </w:r>
      <w:r>
        <w:rPr>
          <w:rFonts w:hint="default" w:ascii="Times New Roman Regular" w:hAnsi="Times New Roman Regular" w:cs="Times New Roman Regular"/>
          <w:sz w:val="24"/>
          <w:szCs w:val="24"/>
        </w:rPr>
        <w:t>, which is measurable across models. Abandoned-law refe</w:t>
      </w:r>
      <w:r>
        <w:rPr>
          <w:rFonts w:hint="default" w:ascii="Times New Roman" w:hAnsi="Times New Roman" w:cs="Times New Roman"/>
          <w:b w:val="0"/>
          <w:bCs w:val="0"/>
          <w:sz w:val="24"/>
          <w:szCs w:val="24"/>
        </w:rPr>
        <w:t xml:space="preserve">rences range from 0/100 to 16/100, peaking at 16/100 for GPT-4o and 10/100 for Claude. Several answers cited China’s repealed </w:t>
      </w:r>
      <w:r>
        <w:rPr>
          <w:rStyle w:val="18"/>
          <w:rFonts w:hint="default" w:ascii="Times New Roman" w:hAnsi="Times New Roman" w:cs="Times New Roman"/>
          <w:b w:val="0"/>
          <w:bCs w:val="0"/>
          <w:sz w:val="24"/>
          <w:szCs w:val="24"/>
        </w:rPr>
        <w:t>Marriage Law</w:t>
      </w:r>
      <w:r>
        <w:rPr>
          <w:rFonts w:hint="default" w:ascii="Times New Roman" w:hAnsi="Times New Roman" w:cs="Times New Roman"/>
          <w:b w:val="0"/>
          <w:bCs w:val="0"/>
          <w:sz w:val="24"/>
          <w:szCs w:val="24"/>
        </w:rPr>
        <w:t xml:space="preserve"> instead of the </w:t>
      </w:r>
      <w:r>
        <w:rPr>
          <w:rStyle w:val="18"/>
          <w:rFonts w:hint="default" w:ascii="Times New Roman" w:hAnsi="Times New Roman" w:cs="Times New Roman"/>
          <w:b w:val="0"/>
          <w:bCs w:val="0"/>
          <w:sz w:val="24"/>
          <w:szCs w:val="24"/>
        </w:rPr>
        <w:t>Marriage and Family Book of the Civil Code</w:t>
      </w:r>
      <w:r>
        <w:rPr>
          <w:rFonts w:hint="default" w:ascii="Times New Roman" w:hAnsi="Times New Roman" w:cs="Times New Roman"/>
          <w:b w:val="0"/>
          <w:bCs w:val="0"/>
          <w:sz w:val="24"/>
          <w:szCs w:val="24"/>
        </w:rPr>
        <w:t xml:space="preserve">, even though the Civil Code has been in force since </w:t>
      </w:r>
      <w:r>
        <w:rPr>
          <w:rStyle w:val="18"/>
          <w:rFonts w:hint="default" w:ascii="Times New Roman" w:hAnsi="Times New Roman" w:cs="Times New Roman"/>
          <w:b w:val="0"/>
          <w:bCs w:val="0"/>
          <w:sz w:val="24"/>
          <w:szCs w:val="24"/>
        </w:rPr>
        <w:t>January 1, 2021</w:t>
      </w:r>
      <w:r>
        <w:rPr>
          <w:rFonts w:hint="default" w:ascii="Times New Roman" w:hAnsi="Times New Roman" w:cs="Times New Roman"/>
          <w:b w:val="0"/>
          <w:bCs w:val="0"/>
          <w:sz w:val="24"/>
          <w:szCs w:val="24"/>
        </w:rPr>
        <w:t xml:space="preserve"> </w:t>
      </w:r>
      <w:r>
        <w:rPr>
          <w:rFonts w:hint="default" w:ascii="Times New Roman Regular" w:hAnsi="Times New Roman Regular" w:cs="Times New Roman Regular"/>
          <w:sz w:val="24"/>
          <w:szCs w:val="24"/>
        </w:rPr>
        <w:t>and the Marriage Law was simultaneously repealed. This is a hard factual error in legal authority, not a stylistic issue. The problem is sharper when the answer signals the post–Civil Code regime but still relies on repealed Marriage Law language, which breaks traceability even if the doctrinal direction is similar.</w:t>
      </w:r>
      <w:r>
        <w:rPr>
          <w:rFonts w:hint="default"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b w:val="0"/>
          <w:bCs w:val="0"/>
          <w:sz w:val="24"/>
          <w:szCs w:val="24"/>
        </w:rPr>
        <w:t xml:space="preserve">The problem is sharper when the model itself signals the effective regime. </w:t>
      </w:r>
      <w:r>
        <w:rPr>
          <w:rStyle w:val="18"/>
          <w:rFonts w:hint="default" w:ascii="Times New Roman Regular" w:hAnsi="Times New Roman Regular" w:cs="Times New Roman Regular"/>
          <w:b w:val="0"/>
          <w:bCs w:val="0"/>
          <w:sz w:val="24"/>
          <w:szCs w:val="24"/>
        </w:rPr>
        <w:t>GPT</w:t>
      </w:r>
      <w:r>
        <w:rPr>
          <w:rFonts w:hint="default" w:ascii="Times New Roman Regular" w:hAnsi="Times New Roman Regular" w:cs="Times New Roman Regular"/>
          <w:b w:val="0"/>
          <w:bCs w:val="0"/>
          <w:sz w:val="24"/>
          <w:szCs w:val="24"/>
        </w:rPr>
        <w:t xml:space="preserve"> cited “nterpretation (II) of the Supreme People's Court on the Application of the “Marriage and Family” Book of the Civil Code of the People's Republic of China” (《最高人民法院关于适用〈中华人民共和国民法典〉婚姻家庭编的解释（二）》), yet still leaned on the abolished “Marriage Law.” In the same category, some answers missed key Civil Code anchors such as </w:t>
      </w:r>
      <w:r>
        <w:rPr>
          <w:rStyle w:val="18"/>
          <w:rFonts w:hint="default" w:ascii="Times New Roman Regular" w:hAnsi="Times New Roman Regular" w:cs="Times New Roman Regular"/>
          <w:b w:val="0"/>
          <w:bCs w:val="0"/>
          <w:sz w:val="24"/>
          <w:szCs w:val="24"/>
        </w:rPr>
        <w:t>Civil Code Article 1088</w:t>
      </w:r>
      <w:r>
        <w:rPr>
          <w:rFonts w:hint="default" w:ascii="Times New Roman Regular" w:hAnsi="Times New Roman Regular" w:cs="Times New Roman Regular"/>
          <w:b w:val="0"/>
          <w:bCs w:val="0"/>
          <w:sz w:val="24"/>
          <w:szCs w:val="24"/>
        </w:rPr>
        <w:t xml:space="preserve"> on housework compensation, or should have used </w:t>
      </w:r>
      <w:r>
        <w:rPr>
          <w:rStyle w:val="18"/>
          <w:rFonts w:hint="default" w:ascii="Times New Roman Regular" w:hAnsi="Times New Roman Regular" w:cs="Times New Roman Regular"/>
          <w:b w:val="0"/>
          <w:bCs w:val="0"/>
          <w:sz w:val="24"/>
          <w:szCs w:val="24"/>
        </w:rPr>
        <w:t>Civil Code Article 1084</w:t>
      </w:r>
      <w:r>
        <w:rPr>
          <w:rFonts w:hint="default" w:ascii="Times New Roman Regular" w:hAnsi="Times New Roman Regular" w:cs="Times New Roman Regular"/>
          <w:b w:val="0"/>
          <w:bCs w:val="0"/>
          <w:sz w:val="24"/>
          <w:szCs w:val="24"/>
        </w:rPr>
        <w:t xml:space="preserve"> as the core custody standard.</w:t>
      </w:r>
      <w:r>
        <w:rPr>
          <w:rFonts w:hint="default" w:ascii="Times New Roman Regular" w:hAnsi="Times New Roman Regular" w:cs="Times New Roman Regular"/>
          <w:b w:val="0"/>
          <w:bCs w:val="0"/>
          <w:color w:val="FF0000"/>
          <w:sz w:val="24"/>
          <w:szCs w:val="24"/>
          <w:lang w:val="en-US" w:eastAsia="zh-CN"/>
        </w:rPr>
        <w:t xml:space="preserve"> </w:t>
      </w:r>
      <w:r>
        <w:rPr>
          <w:rFonts w:hint="default" w:ascii="Times New Roman Regular" w:hAnsi="Times New Roman Regular" w:cs="Times New Roman Regular"/>
          <w:sz w:val="24"/>
          <w:szCs w:val="24"/>
        </w:rPr>
        <w:t xml:space="preserve">Related omissions reinforce the same point. Some answers missed key Civil Code anchors, such as Article 1088 on housework compensation, or failed to treat Article 1084 as the core custody standard. </w:t>
      </w:r>
    </w:p>
    <w:p w14:paraId="55B3A626">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rPr>
        <w:t xml:space="preserve">Citation accuracy errors ranged from moderate to major. Moderate errors included wrong article numbers with roughly correct doctrine. </w:t>
      </w:r>
      <w:r>
        <w:rPr>
          <w:rStyle w:val="18"/>
          <w:rFonts w:hint="default" w:ascii="Times New Roman Regular" w:hAnsi="Times New Roman Regular" w:cs="Times New Roman Regular"/>
          <w:b w:val="0"/>
          <w:bCs w:val="0"/>
          <w:sz w:val="24"/>
          <w:szCs w:val="24"/>
        </w:rPr>
        <w:t>Claude</w:t>
      </w:r>
      <w:r>
        <w:rPr>
          <w:rFonts w:hint="default" w:ascii="Times New Roman Regular" w:hAnsi="Times New Roman Regular" w:cs="Times New Roman Regular"/>
          <w:b w:val="0"/>
          <w:bCs w:val="0"/>
          <w:sz w:val="24"/>
          <w:szCs w:val="24"/>
        </w:rPr>
        <w:t xml:space="preserve"> cited “Civil Code Article 1074” where the content matched </w:t>
      </w:r>
      <w:r>
        <w:rPr>
          <w:rStyle w:val="18"/>
          <w:rFonts w:hint="default" w:ascii="Times New Roman Regular" w:hAnsi="Times New Roman Regular" w:cs="Times New Roman Regular"/>
          <w:b w:val="0"/>
          <w:bCs w:val="0"/>
          <w:sz w:val="24"/>
          <w:szCs w:val="24"/>
        </w:rPr>
        <w:t>Civil Code Article 1091</w:t>
      </w:r>
      <w:r>
        <w:rPr>
          <w:rStyle w:val="18"/>
          <w:rFonts w:hint="default" w:ascii="Times New Roman Regular" w:hAnsi="Times New Roman Regular" w:cs="Times New Roman Regular"/>
          <w:b w:val="0"/>
          <w:bCs w:val="0"/>
          <w:sz w:val="24"/>
          <w:szCs w:val="24"/>
          <w:lang w:val="en-US"/>
        </w:rPr>
        <w:t xml:space="preserve"> </w:t>
      </w:r>
      <w:r>
        <w:rPr>
          <w:rFonts w:hint="default" w:ascii="Times New Roman Regular" w:hAnsi="Times New Roman Regular" w:cs="Times New Roman Regular"/>
          <w:b w:val="0"/>
          <w:bCs w:val="0"/>
          <w:sz w:val="24"/>
          <w:szCs w:val="24"/>
        </w:rPr>
        <w:t xml:space="preserve">on divorce damages. It also cited “Civil Code Article 1063” where the content matched </w:t>
      </w:r>
      <w:r>
        <w:rPr>
          <w:rStyle w:val="18"/>
          <w:rFonts w:hint="default" w:ascii="Times New Roman Regular" w:hAnsi="Times New Roman Regular" w:cs="Times New Roman Regular"/>
          <w:b w:val="0"/>
          <w:bCs w:val="0"/>
          <w:sz w:val="24"/>
          <w:szCs w:val="24"/>
        </w:rPr>
        <w:t>Civil Code Article 1088</w:t>
      </w:r>
      <w:r>
        <w:rPr>
          <w:rFonts w:hint="default" w:ascii="Times New Roman Regular" w:hAnsi="Times New Roman Regular" w:cs="Times New Roman Regular"/>
          <w:b w:val="0"/>
          <w:bCs w:val="0"/>
          <w:sz w:val="24"/>
          <w:szCs w:val="24"/>
        </w:rPr>
        <w:t xml:space="preserve">. This does not automatically flip outcomes, but it breaks traceability and raises review cost. </w:t>
      </w:r>
      <w:r>
        <w:rPr>
          <w:rStyle w:val="18"/>
          <w:rFonts w:hint="default" w:ascii="Times New Roman Regular" w:hAnsi="Times New Roman Regular" w:cs="Times New Roman Regular"/>
          <w:b w:val="0"/>
          <w:bCs w:val="0"/>
          <w:sz w:val="24"/>
          <w:szCs w:val="24"/>
        </w:rPr>
        <w:t>Gemini</w:t>
      </w:r>
      <w:r>
        <w:rPr>
          <w:rFonts w:hint="default" w:ascii="Times New Roman Regular" w:hAnsi="Times New Roman Regular" w:cs="Times New Roman Regular"/>
          <w:b w:val="0"/>
          <w:bCs w:val="0"/>
          <w:sz w:val="24"/>
          <w:szCs w:val="24"/>
        </w:rPr>
        <w:t xml:space="preserve"> cited </w:t>
      </w:r>
      <w:r>
        <w:rPr>
          <w:rStyle w:val="18"/>
          <w:rFonts w:hint="default" w:ascii="Times New Roman Regular" w:hAnsi="Times New Roman Regular" w:cs="Times New Roman Regular"/>
          <w:b w:val="0"/>
          <w:bCs w:val="0"/>
          <w:sz w:val="24"/>
          <w:szCs w:val="24"/>
        </w:rPr>
        <w:t>Civil Code Article 1092</w:t>
      </w:r>
      <w:r>
        <w:rPr>
          <w:rFonts w:hint="default" w:ascii="Times New Roman Regular" w:hAnsi="Times New Roman Regular" w:cs="Times New Roman Regular"/>
          <w:b w:val="0"/>
          <w:bCs w:val="0"/>
          <w:sz w:val="24"/>
          <w:szCs w:val="24"/>
        </w:rPr>
        <w:t xml:space="preserve"> in a custody dispute even though Article 1092 targets concealment or dissipation of marital property. That is a clear relevance error, which also makes the citation ineffective.</w:t>
      </w:r>
      <w:r>
        <w:rPr>
          <w:rFonts w:hint="default" w:ascii="Times New Roman Regular" w:hAnsi="Times New Roman Regular" w:cs="Times New Roman Regular"/>
          <w:b w:val="0"/>
          <w:bCs w:val="0"/>
          <w:sz w:val="24"/>
          <w:szCs w:val="24"/>
          <w:lang w:val="en-US" w:eastAsia="zh-CN"/>
        </w:rPr>
        <w:t xml:space="preserve"> </w:t>
      </w:r>
      <w:r>
        <w:rPr>
          <w:rStyle w:val="18"/>
          <w:rFonts w:hint="default" w:ascii="Times New Roman Regular" w:hAnsi="Times New Roman Regular" w:cs="Times New Roman Regular"/>
          <w:b w:val="0"/>
          <w:bCs w:val="0"/>
          <w:sz w:val="24"/>
          <w:szCs w:val="24"/>
        </w:rPr>
        <w:t>GPT</w:t>
      </w:r>
      <w:r>
        <w:rPr>
          <w:rFonts w:hint="default" w:ascii="Times New Roman Regular" w:hAnsi="Times New Roman Regular" w:cs="Times New Roman Regular"/>
          <w:b w:val="0"/>
          <w:bCs w:val="0"/>
          <w:sz w:val="24"/>
          <w:szCs w:val="24"/>
        </w:rPr>
        <w:t xml:space="preserve"> cited </w:t>
      </w:r>
      <w:r>
        <w:rPr>
          <w:rStyle w:val="18"/>
          <w:rFonts w:hint="default" w:ascii="Times New Roman Regular" w:hAnsi="Times New Roman Regular" w:cs="Times New Roman Regular"/>
          <w:b w:val="0"/>
          <w:bCs w:val="0"/>
          <w:sz w:val="24"/>
          <w:szCs w:val="24"/>
        </w:rPr>
        <w:t>Civil Code Article 154</w:t>
      </w:r>
      <w:r>
        <w:rPr>
          <w:rStyle w:val="18"/>
          <w:rFonts w:hint="default" w:ascii="Times New Roman Regular" w:hAnsi="Times New Roman Regular" w:cs="Times New Roman Regular"/>
          <w:b w:val="0"/>
          <w:bCs w:val="0"/>
          <w:sz w:val="24"/>
          <w:szCs w:val="24"/>
          <w:lang w:val="en-US"/>
        </w:rPr>
        <w:t xml:space="preserve"> </w:t>
      </w:r>
      <w:r>
        <w:rPr>
          <w:rFonts w:hint="default" w:ascii="Times New Roman Regular" w:hAnsi="Times New Roman Regular" w:cs="Times New Roman Regular"/>
          <w:b w:val="0"/>
          <w:bCs w:val="0"/>
          <w:sz w:val="24"/>
          <w:szCs w:val="24"/>
        </w:rPr>
        <w:t>on public order and good morals but did not use it to analyze whether the “fake divorce” conduct violated public order. A cite that does no work signals ornamental reasoning.</w:t>
      </w:r>
      <w:r>
        <w:rPr>
          <w:rFonts w:hint="default" w:ascii="Times New Roman Regular" w:hAnsi="Times New Roman Regular" w:cs="Times New Roman Regular"/>
          <w:b w:val="0"/>
          <w:bCs w:val="0"/>
          <w:sz w:val="24"/>
          <w:szCs w:val="24"/>
          <w:lang w:val="en-US" w:eastAsia="zh-CN"/>
        </w:rPr>
        <w:t xml:space="preserve"> </w:t>
      </w:r>
    </w:p>
    <w:p w14:paraId="28CA6268">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Fabricated authority is a major error because it manufactures constraints. </w:t>
      </w:r>
      <w:r>
        <w:rPr>
          <w:rStyle w:val="18"/>
          <w:rFonts w:hint="default" w:ascii="Times New Roman Regular" w:hAnsi="Times New Roman Regular" w:cs="Times New Roman Regular"/>
          <w:b w:val="0"/>
          <w:bCs w:val="0"/>
          <w:sz w:val="24"/>
          <w:szCs w:val="24"/>
        </w:rPr>
        <w:t>Qwen</w:t>
      </w:r>
      <w:r>
        <w:rPr>
          <w:rFonts w:hint="default" w:ascii="Times New Roman Regular" w:hAnsi="Times New Roman Regular" w:cs="Times New Roman Regular"/>
          <w:b w:val="0"/>
          <w:bCs w:val="0"/>
          <w:sz w:val="24"/>
          <w:szCs w:val="24"/>
        </w:rPr>
        <w:t xml:space="preserve"> cited a nonexistent SPC document, “Opinions of the Supreme People’s Court on Trying Civil Cases Involving Domestic Violence” (《最高人民法院关于审理涉及家庭暴力的民事案件若干问题的意见》). A court cannot verify it. This is high risk because it looks like law while being fiction, which is a classic inner alignment failure pattern. Misquoting a real statute can also be high impact when it shifts the test. </w:t>
      </w:r>
      <w:r>
        <w:rPr>
          <w:rStyle w:val="18"/>
          <w:rFonts w:hint="default" w:ascii="Times New Roman Regular" w:hAnsi="Times New Roman Regular" w:cs="Times New Roman Regular"/>
          <w:b w:val="0"/>
          <w:bCs w:val="0"/>
          <w:sz w:val="24"/>
          <w:szCs w:val="24"/>
        </w:rPr>
        <w:t>Claude</w:t>
      </w:r>
      <w:r>
        <w:rPr>
          <w:rFonts w:hint="default" w:ascii="Times New Roman Regular" w:hAnsi="Times New Roman Regular" w:cs="Times New Roman Regular"/>
          <w:b w:val="0"/>
          <w:bCs w:val="0"/>
          <w:sz w:val="24"/>
          <w:szCs w:val="24"/>
        </w:rPr>
        <w:t xml:space="preserve"> misquoted </w:t>
      </w:r>
      <w:r>
        <w:rPr>
          <w:rStyle w:val="18"/>
          <w:rFonts w:hint="default" w:ascii="Times New Roman Regular" w:hAnsi="Times New Roman Regular" w:cs="Times New Roman Regular"/>
          <w:b w:val="0"/>
          <w:bCs w:val="0"/>
          <w:sz w:val="24"/>
          <w:szCs w:val="24"/>
        </w:rPr>
        <w:t>Anti-domestic Violence Law Article 2</w:t>
      </w:r>
      <w:r>
        <w:rPr>
          <w:rStyle w:val="18"/>
          <w:rFonts w:hint="default" w:ascii="Times New Roman Regular" w:hAnsi="Times New Roman Regular" w:cs="Times New Roman Regular"/>
          <w:b w:val="0"/>
          <w:bCs w:val="0"/>
          <w:sz w:val="24"/>
          <w:szCs w:val="24"/>
          <w:lang w:val="en-US" w:eastAsia="zh-CN"/>
        </w:rPr>
        <w:t xml:space="preserve"> </w:t>
      </w:r>
      <w:r>
        <w:rPr>
          <w:rFonts w:hint="default" w:ascii="Times New Roman Regular" w:hAnsi="Times New Roman Regular" w:cs="Times New Roman Regular"/>
          <w:b w:val="0"/>
          <w:bCs w:val="0"/>
          <w:sz w:val="24"/>
          <w:szCs w:val="24"/>
        </w:rPr>
        <w:t>by inserting terms like “kidnapping” and “confinement,” and it also framed the protection order dispute as bodily harm logic when the judgment treated the knife based self harm threat as psychological violence producing fear. That mapping error can redirect the relief logic.</w:t>
      </w:r>
      <w:r>
        <w:rPr>
          <w:rFonts w:hint="default" w:ascii="Times New Roman Regular" w:hAnsi="Times New Roman Regular" w:cs="Times New Roman Regular"/>
          <w:b w:val="0"/>
          <w:bCs w:val="0"/>
          <w:sz w:val="24"/>
          <w:szCs w:val="24"/>
          <w:lang w:val="en-US" w:eastAsia="zh-CN"/>
        </w:rPr>
        <w:t xml:space="preserve"> In addition, c</w:t>
      </w:r>
      <w:r>
        <w:rPr>
          <w:rFonts w:hint="default" w:ascii="Times New Roman Regular" w:hAnsi="Times New Roman Regular" w:cs="Times New Roman Regular"/>
          <w:b w:val="0"/>
          <w:bCs w:val="0"/>
          <w:sz w:val="24"/>
          <w:szCs w:val="24"/>
        </w:rPr>
        <w:t xml:space="preserve">ore fact inversion is major because law is proof based. </w:t>
      </w:r>
      <w:r>
        <w:rPr>
          <w:rStyle w:val="18"/>
          <w:rFonts w:hint="default" w:ascii="Times New Roman Regular" w:hAnsi="Times New Roman Regular" w:cs="Times New Roman Regular"/>
          <w:b w:val="0"/>
          <w:bCs w:val="0"/>
          <w:sz w:val="24"/>
          <w:szCs w:val="24"/>
        </w:rPr>
        <w:t>GPT</w:t>
      </w:r>
      <w:r>
        <w:rPr>
          <w:rFonts w:hint="default" w:ascii="Times New Roman Regular" w:hAnsi="Times New Roman Regular" w:cs="Times New Roman Regular"/>
          <w:b w:val="0"/>
          <w:bCs w:val="0"/>
          <w:sz w:val="24"/>
          <w:szCs w:val="24"/>
        </w:rPr>
        <w:t xml:space="preserve"> repeatedly stated evidence was “not cross examined” or “not effectively cross examined,” while the judgment recorded the evidence “was cross examined” and the opposing party had “no objection.” That single inversion corrupts probative force analysis from the start. </w:t>
      </w:r>
    </w:p>
    <w:p w14:paraId="518B122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w:hAnsi="Times New Roman" w:cs="Times New Roman"/>
          <w:b w:val="0"/>
          <w:bCs w:val="0"/>
          <w:sz w:val="24"/>
          <w:szCs w:val="24"/>
        </w:rPr>
      </w:pPr>
      <w:r>
        <w:rPr>
          <w:rFonts w:hint="default" w:ascii="Times New Roman Regular" w:hAnsi="Times New Roman Regular" w:cs="Times New Roman Regular"/>
          <w:sz w:val="24"/>
          <w:szCs w:val="24"/>
        </w:rPr>
        <w:t>Major-error counts further separate models (Qwen-Max: 4; DeepSeek: 3; Claude: 3; GPT-4o: 2; DeepSeek-Thinking: 1; Gemini: 1). This supports treating impactful-error flags as</w:t>
      </w:r>
      <w:r>
        <w:rPr>
          <w:rFonts w:hint="default" w:ascii="Times New Roman" w:hAnsi="Times New Roman" w:cs="Times New Roman"/>
          <w:b w:val="0"/>
          <w:bCs w:val="0"/>
          <w:sz w:val="24"/>
          <w:szCs w:val="24"/>
        </w:rPr>
        <w:t xml:space="preserve"> </w:t>
      </w:r>
      <w:r>
        <w:rPr>
          <w:rStyle w:val="18"/>
          <w:rFonts w:hint="default" w:ascii="Times New Roman" w:hAnsi="Times New Roman" w:cs="Times New Roman"/>
          <w:b w:val="0"/>
          <w:bCs w:val="0"/>
          <w:sz w:val="24"/>
          <w:szCs w:val="24"/>
        </w:rPr>
        <w:t>post-scoring penalties</w:t>
      </w:r>
      <w:r>
        <w:rPr>
          <w:rFonts w:hint="default" w:ascii="Times New Roman" w:hAnsi="Times New Roman" w:cs="Times New Roman"/>
          <w:b w:val="0"/>
          <w:bCs w:val="0"/>
          <w:sz w:val="24"/>
          <w:szCs w:val="24"/>
        </w:rPr>
        <w:t xml:space="preserve"> rath</w:t>
      </w:r>
      <w:r>
        <w:rPr>
          <w:rFonts w:hint="default" w:ascii="Times New Roman Regular" w:hAnsi="Times New Roman Regular" w:cs="Times New Roman Regular"/>
          <w:sz w:val="24"/>
          <w:szCs w:val="24"/>
        </w:rPr>
        <w:t>er than adding another rubric dimension.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One plausible explanation is data and architecture. DeepSeek’s higher Chinese-data exposure and domain-structured sources may reduce stale-law drift, while GPT-style dense transformers can be stronger on general breadth but more prone to authority-timestamp errors in niche, fast-updated local doctrine. Regardless of cause, the takeaway is pra</w:t>
      </w:r>
      <w:r>
        <w:rPr>
          <w:rFonts w:hint="default" w:ascii="Times New Roman" w:hAnsi="Times New Roman" w:cs="Times New Roman"/>
          <w:b w:val="0"/>
          <w:bCs w:val="0"/>
          <w:sz w:val="24"/>
          <w:szCs w:val="24"/>
        </w:rPr>
        <w:t xml:space="preserve">ctical: </w:t>
      </w:r>
      <w:r>
        <w:rPr>
          <w:rStyle w:val="18"/>
          <w:rFonts w:hint="default" w:ascii="Times New Roman" w:hAnsi="Times New Roman" w:cs="Times New Roman"/>
          <w:b w:val="0"/>
          <w:bCs w:val="0"/>
          <w:sz w:val="24"/>
          <w:szCs w:val="24"/>
        </w:rPr>
        <w:t>citation discipline and effective-law alignment</w:t>
      </w:r>
      <w:r>
        <w:rPr>
          <w:rFonts w:hint="default" w:ascii="Times New Roman" w:hAnsi="Times New Roman" w:cs="Times New Roman"/>
          <w:b w:val="0"/>
          <w:bCs w:val="0"/>
          <w:sz w:val="24"/>
          <w:szCs w:val="24"/>
        </w:rPr>
        <w:t xml:space="preserve"> should be treated as first-order reliability constraints in legal deployment.</w:t>
      </w:r>
    </w:p>
    <w:p w14:paraId="1DF28DF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val="0"/>
          <w:bCs w:val="0"/>
          <w:sz w:val="24"/>
          <w:szCs w:val="24"/>
        </w:rPr>
      </w:pPr>
    </w:p>
    <w:p w14:paraId="0E9E6CF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cs="Times New Roman Regular"/>
          <w:b w:val="0"/>
          <w:bCs w:val="0"/>
          <w:sz w:val="24"/>
          <w:szCs w:val="24"/>
        </w:rPr>
        <w:t xml:space="preserve">Procedural stage confusion is outcome shifting in retrial contexts. </w:t>
      </w:r>
      <w:r>
        <w:rPr>
          <w:rStyle w:val="18"/>
          <w:rFonts w:hint="default" w:ascii="Times New Roman Regular" w:hAnsi="Times New Roman Regular" w:cs="Times New Roman Regular"/>
          <w:b w:val="0"/>
          <w:bCs w:val="0"/>
          <w:sz w:val="24"/>
          <w:szCs w:val="24"/>
        </w:rPr>
        <w:t>Gemini</w:t>
      </w:r>
      <w:r>
        <w:rPr>
          <w:rFonts w:hint="default" w:ascii="Times New Roman Regular" w:hAnsi="Times New Roman Regular" w:cs="Times New Roman Regular"/>
          <w:b w:val="0"/>
          <w:bCs w:val="0"/>
          <w:sz w:val="24"/>
          <w:szCs w:val="24"/>
        </w:rPr>
        <w:t xml:space="preserve"> recommended “vacate and remand” at the retrial review stage, even while citing </w:t>
      </w:r>
      <w:r>
        <w:rPr>
          <w:rStyle w:val="18"/>
          <w:rFonts w:hint="default" w:ascii="Times New Roman Regular" w:hAnsi="Times New Roman Regular" w:cs="Times New Roman Regular"/>
          <w:b w:val="0"/>
          <w:bCs w:val="0"/>
          <w:sz w:val="24"/>
          <w:szCs w:val="24"/>
        </w:rPr>
        <w:t>Civil Procedure Law Article 215</w:t>
      </w:r>
      <w:r>
        <w:rPr>
          <w:rFonts w:hint="default" w:ascii="Times New Roman Regular" w:hAnsi="Times New Roman Regular" w:cs="Times New Roman Regular"/>
          <w:b w:val="0"/>
          <w:bCs w:val="0"/>
          <w:sz w:val="24"/>
          <w:szCs w:val="24"/>
        </w:rPr>
        <w:t>, which points the review court toward rejecting the retrial application when statutory grounds are not met. Mixing “review” with “retrial on the merits” changes the court’s power set, so the remedy becomes legally unusable even if some substantive discussion is sensible.</w:t>
      </w:r>
      <w:r>
        <w:rPr>
          <w:rFonts w:hint="default" w:ascii="Times New Roman Regular" w:hAnsi="Times New Roman Regular" w:cs="Times New Roman Regular"/>
          <w:b w:val="0"/>
          <w:bCs w:val="0"/>
          <w:sz w:val="24"/>
          <w:szCs w:val="24"/>
          <w:lang w:val="en-US"/>
        </w:rPr>
        <w:t xml:space="preserve"> </w:t>
      </w:r>
      <w:r>
        <w:rPr>
          <w:rFonts w:hint="default" w:ascii="Times New Roman Regular" w:hAnsi="Times New Roman Regular" w:cs="Times New Roman Regular"/>
          <w:b w:val="0"/>
          <w:bCs w:val="0"/>
          <w:sz w:val="24"/>
          <w:szCs w:val="24"/>
        </w:rPr>
        <w:t xml:space="preserve">The common thread is that legal errors are not equal. </w:t>
      </w:r>
      <w:r>
        <w:rPr>
          <w:rFonts w:hint="default" w:ascii="Times New Roman Regular" w:hAnsi="Times New Roman Regular" w:eastAsia="SimSun" w:cs="Times New Roman Regular"/>
          <w:kern w:val="0"/>
          <w:sz w:val="24"/>
          <w:szCs w:val="24"/>
          <w:lang w:val="en-US" w:eastAsia="zh-CN" w:bidi="ar"/>
        </w:rPr>
        <w:t xml:space="preserve">Some errors are low-stakes and easy to repair with editing. Others cut into the norm-to-fact chain, especially when citations are wrong or the cited law is outdated. The most serious failures should be treated as hard fails, including fabricated authority, inversion of core facts, and confusion of procedural stage. </w:t>
      </w:r>
    </w:p>
    <w:p w14:paraId="5B3D8F04">
      <w:pPr>
        <w:pStyle w:val="2"/>
        <w:bidi w:val="0"/>
        <w:rPr>
          <w:rFonts w:hint="default" w:ascii="Times New Roman Regular" w:hAnsi="Times New Roman Regular" w:cs="Times New Roman Regular"/>
          <w:b/>
          <w:bCs/>
          <w:color w:val="auto"/>
          <w:sz w:val="24"/>
          <w:szCs w:val="24"/>
          <w:lang w:val="en-US" w:eastAsia="zh-CN"/>
        </w:rPr>
      </w:pPr>
      <w:r>
        <w:rPr>
          <w:rFonts w:hint="eastAsia" w:ascii="Times New Roman Regular" w:hAnsi="Times New Roman Regular" w:cs="Times New Roman Regular"/>
          <w:b/>
          <w:bCs/>
          <w:color w:val="auto"/>
          <w:sz w:val="24"/>
          <w:szCs w:val="24"/>
          <w:lang w:val="en-US" w:eastAsia="zh-CN"/>
        </w:rPr>
        <w:t>6</w:t>
      </w:r>
      <w:r>
        <w:rPr>
          <w:rFonts w:hint="default" w:ascii="Times New Roman Regular" w:hAnsi="Times New Roman Regular" w:cs="Times New Roman Regular"/>
          <w:b/>
          <w:bCs/>
          <w:color w:val="auto"/>
          <w:sz w:val="24"/>
          <w:szCs w:val="24"/>
          <w:lang w:val="en-US" w:eastAsia="zh-CN"/>
        </w:rPr>
        <w:t xml:space="preserve"> CONCLUSION</w:t>
      </w:r>
    </w:p>
    <w:p w14:paraId="637E4D3D">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textAlignment w:val="auto"/>
        <w:rPr>
          <w:rFonts w:hint="default" w:ascii="Times New Roman Regular" w:hAnsi="Times New Roman Regular" w:cs="Times New Roman Regular"/>
          <w:sz w:val="24"/>
          <w:szCs w:val="24"/>
          <w:lang w:val="en-US"/>
        </w:rPr>
      </w:pPr>
    </w:p>
    <w:p w14:paraId="391D7454">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D</w:t>
      </w:r>
      <w:r>
        <w:rPr>
          <w:rFonts w:hint="default" w:ascii="Times New Roman Regular" w:hAnsi="Times New Roman Regular" w:cs="Times New Roman Regular"/>
          <w:sz w:val="24"/>
          <w:szCs w:val="24"/>
        </w:rPr>
        <w:t>omestic violence is pervasive and multi causal, so early, accessible guidance can reduce harm even before formal proceedings begin.</w:t>
      </w:r>
      <w:r>
        <w:rPr>
          <w:rFonts w:hint="default" w:ascii="Times New Roman Regular" w:hAnsi="Times New Roman Regular" w:cs="Times New Roman Regular"/>
          <w:sz w:val="24"/>
          <w:szCs w:val="24"/>
          <w:lang w:val="en-US" w:eastAsia="zh-CN"/>
        </w:rPr>
        <w:t xml:space="preserve"> </w:t>
      </w:r>
      <w:r>
        <w:rPr>
          <w:rFonts w:hint="default" w:ascii="Times New Roman Regular" w:hAnsi="Times New Roman Regular" w:eastAsia="NimbusRomNo9L-Regu" w:cs="Times New Roman Regular"/>
          <w:color w:val="000000"/>
          <w:kern w:val="0"/>
          <w:sz w:val="24"/>
          <w:szCs w:val="24"/>
          <w:lang w:val="en-US" w:eastAsia="zh-CN" w:bidi="ar"/>
        </w:rPr>
        <w:t xml:space="preserve">Our benchmark, </w:t>
      </w:r>
      <w:r>
        <w:rPr>
          <w:rFonts w:hint="eastAsia" w:ascii="Times New Roman Regular" w:hAnsi="Times New Roman Regular" w:eastAsia="NimbusRomNo9L-Regu" w:cs="Times New Roman Regular"/>
          <w:color w:val="000000"/>
          <w:kern w:val="0"/>
          <w:sz w:val="24"/>
          <w:szCs w:val="24"/>
          <w:lang w:val="en-US" w:eastAsia="zh-CN" w:bidi="ar"/>
        </w:rPr>
        <w:t>DV-JusticeBench</w:t>
      </w:r>
      <w:r>
        <w:rPr>
          <w:rFonts w:hint="default" w:ascii="Times New Roman Regular" w:hAnsi="Times New Roman Regular" w:eastAsia="NimbusRomNo9L-Regu" w:cs="Times New Roman Regular"/>
          <w:color w:val="000000"/>
          <w:kern w:val="0"/>
          <w:sz w:val="24"/>
          <w:szCs w:val="24"/>
          <w:lang w:val="en-US" w:eastAsia="zh-CN" w:bidi="ar"/>
        </w:rPr>
        <w:t>,</w:t>
      </w:r>
      <w:r>
        <w:rPr>
          <w:rFonts w:hint="default" w:ascii="Times New Roman Regular" w:hAnsi="Times New Roman Regular" w:cs="Times New Roman Regular"/>
          <w:sz w:val="24"/>
          <w:szCs w:val="24"/>
        </w:rPr>
        <w:t xml:space="preserve"> suggests that large language models can meaningfully support domestic violence users at the consultation stage, especially through clear safety oriented guidance, restrained reassurance, and legally framed next steps. In our sample, the stronger systems treated values as constraints on discretion and relief, and they surfaced axes like risk, dignity, vulnerability, minors’ welfare, and procedural posture in a way that can help users understand what courts are likely to treat as legally salient. </w:t>
      </w:r>
      <w:r>
        <w:rPr>
          <w:rFonts w:hint="default" w:ascii="Times New Roman Regular" w:hAnsi="Times New Roman Regular" w:eastAsia="SimSun" w:cs="Times New Roman Regular"/>
          <w:kern w:val="0"/>
          <w:sz w:val="24"/>
          <w:szCs w:val="24"/>
          <w:lang w:val="en-US" w:eastAsia="zh-CN" w:bidi="ar"/>
        </w:rPr>
        <w:t>This “cognitive empathy” can also increase institutional legibility for survivors, which socio legal work shows is often decisive in whether harm is recognized and acted upon.</w:t>
      </w:r>
      <w:r>
        <w:rPr>
          <w:rStyle w:val="10"/>
          <w:rFonts w:hint="default" w:ascii="Times New Roman Regular" w:hAnsi="Times New Roman Regular" w:eastAsia="SimSun" w:cs="Times New Roman Regular"/>
          <w:kern w:val="0"/>
          <w:sz w:val="24"/>
          <w:szCs w:val="24"/>
          <w:lang w:val="en-US" w:eastAsia="zh-CN" w:bidi="ar"/>
        </w:rPr>
        <w:t>[</w:t>
      </w:r>
      <w:r>
        <w:rPr>
          <w:rStyle w:val="10"/>
          <w:rFonts w:hint="default" w:ascii="Times New Roman Regular" w:hAnsi="Times New Roman Regular" w:eastAsia="SimSun" w:cs="Times New Roman Regular"/>
          <w:kern w:val="0"/>
          <w:sz w:val="24"/>
          <w:szCs w:val="24"/>
          <w:lang w:val="en-US" w:eastAsia="zh-CN" w:bidi="ar"/>
        </w:rPr>
        <w:footnoteReference w:id="92"/>
      </w:r>
      <w:r>
        <w:rPr>
          <w:rStyle w:val="10"/>
          <w:rFonts w:hint="default" w:ascii="Times New Roman Regular" w:hAnsi="Times New Roman Regular" w:eastAsia="SimSun" w:cs="Times New Roman Regular"/>
          <w:kern w:val="0"/>
          <w:sz w:val="24"/>
          <w:szCs w:val="24"/>
          <w:lang w:val="en-US" w:eastAsia="zh-CN" w:bidi="ar"/>
        </w:rPr>
        <w:t>]</w:t>
      </w:r>
      <w:r>
        <w:rPr>
          <w:rFonts w:hint="default" w:ascii="Times New Roman Regular" w:hAnsi="Times New Roman Regular" w:eastAsia="SimSun" w:cs="Times New Roman Regular"/>
          <w:kern w:val="0"/>
          <w:sz w:val="24"/>
          <w:szCs w:val="24"/>
          <w:lang w:val="en-US" w:eastAsia="zh-CN" w:bidi="ar"/>
        </w:rPr>
        <w:t xml:space="preserve"> At the same time, perceived empathy from a chatbot is not equivalent to human care, the correct role is augmentation rather than emotional substitution. This framing is consistent with access to justice work. AI can reduce the legal advice desert by offering low cost orientation and document triage, but it should not be treated as an end to end lawyer or decision maker.</w:t>
      </w:r>
    </w:p>
    <w:p w14:paraId="772B96F9">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textAlignment w:val="auto"/>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cs="Times New Roman Regular"/>
          <w:sz w:val="24"/>
          <w:szCs w:val="24"/>
        </w:rPr>
        <w:t>The same evidence also shows why these tools must not be used as outcome engines or as substitutes for judges. Impactful errors were not cosmetic. They changed the governing law, proof posture, or available relief, including repeated reliance on the repealed “Marriage Law” instead of the Civil Code Marriage and Family Book, and even fabricated authority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eastAsia="SimSun" w:cs="Times New Roman Regular"/>
          <w:kern w:val="0"/>
          <w:sz w:val="24"/>
          <w:szCs w:val="24"/>
          <w:lang w:val="en-US" w:eastAsia="zh-CN" w:bidi="ar"/>
        </w:rPr>
        <w:t>These failures track a deeper alignment problem: models can generate locally plausible legal text while drifting from institutionally valid reasons, especially under deceptive search spaces and proxy objectives. Even when the direction is compassionate, the model can misstate legal form and procedure,</w:t>
      </w:r>
      <w:r>
        <w:rPr>
          <w:rFonts w:hint="eastAsia" w:ascii="Times New Roman Regular" w:hAnsi="Times New Roman Regular" w:eastAsia="SimSun" w:cs="Times New Roman Regular"/>
          <w:kern w:val="0"/>
          <w:sz w:val="24"/>
          <w:szCs w:val="24"/>
          <w:lang w:val="en-US" w:eastAsia="zh-CN" w:bidi="ar"/>
        </w:rPr>
        <w:t xml:space="preserve"> </w:t>
      </w:r>
      <w:r>
        <w:rPr>
          <w:rFonts w:hint="default" w:ascii="Times New Roman Regular" w:hAnsi="Times New Roman Regular" w:eastAsia="SimSun" w:cs="Times New Roman Regular"/>
          <w:kern w:val="0"/>
          <w:sz w:val="24"/>
          <w:szCs w:val="24"/>
          <w:lang w:val="en-US" w:eastAsia="zh-CN" w:bidi="ar"/>
        </w:rPr>
        <w:t xml:space="preserve">or by proposing reopening remedies that the procedural posture legally forecloses. </w:t>
      </w:r>
    </w:p>
    <w:p w14:paraId="4F5528D0">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textAlignment w:val="auto"/>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 xml:space="preserve">Property division is an especially high risk zone because small legal missteps can materially change distribution effects and compliance incentives, so helping the victim cannot replace proof rules and the court’s remedial architecture. This gap also explains a recurring tension that lay observers often feel. A reader may think divorce “should” be granted or the victim “should” win, yet judges may deny divorce or refuse an evidentiary upgrade because they must protect legality, procedural limits, and the public meaning of adjudication, which in China is also shaped by a state centered harmony frame where “family building” is tied to national development and social harmony. In practice, models can reflect a plain moralized caretaker instinct that overshoots the court’s legally bounded rationality, which is precisely why they should assist, not adjudicate. </w:t>
      </w:r>
    </w:p>
    <w:p w14:paraId="1C01BDBD">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80" w:firstLineChars="200"/>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Methodologically, </w:t>
      </w:r>
      <w:r>
        <w:rPr>
          <w:rFonts w:hint="eastAsia" w:ascii="Times New Roman Regular" w:hAnsi="Times New Roman Regular" w:cs="Times New Roman Regular"/>
          <w:sz w:val="24"/>
          <w:szCs w:val="24"/>
          <w:lang w:val="en-US" w:eastAsia="zh-CN"/>
        </w:rPr>
        <w:t>DV-JusticeBench</w:t>
      </w:r>
      <w:r>
        <w:rPr>
          <w:rFonts w:hint="default" w:ascii="Times New Roman Regular" w:hAnsi="Times New Roman Regular" w:cs="Times New Roman Regular"/>
          <w:sz w:val="24"/>
          <w:szCs w:val="24"/>
          <w:lang w:val="en-US"/>
        </w:rPr>
        <w:t xml:space="preserve"> combines an auditable rubric with a reproducible four-stage pipeline. The rubric scores five judicial-quality dimensions on a 0–4 scale and applies post-scoring penalties for impactful errors. The pipeline covers privacy masking, dispute-centred question generation with expert review, standardised answer generation using a fixed system prompt and stable input order in fresh sessions, and authority-level evaluation against the reference decision.</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rPr>
        <w:t>In the 100-question slice, mean scores rank DeepSeek-Thinking (16.45/20) and DeepSeek (16.42/20) highest, followed by Gemini (15.63/20), Claude (13.11/20), Qwen-Max (10.36/20), and GPT-4o (9.39/20). The largest gaps cluster in subsumption alignment and key-fact coverage. Reliability also varies among strong models. Abandoned-law citations range from 0/100 to 16/100 (Gemini 0; DeepSeek 1; DeepSeek-Thinking 7; Qwen-Max 7; Claude 10; GPT-4o 16). DeepSeek-Thinking gains only +0.04/20 over DeepSeek while showing higher outdated-citation risk (7 vs. 1). Efficiency is not monotonic with quality. For models with token logging, per-response usage spans roughly 3.6k to 5.8k tokens, and higher scores do not necessarily yield better score-per-token.</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rPr>
        <w:t>Performance is kept distinct from deployability. GPT-5 is excluded from the main ranking because content-sensitivity behaviour produced refusals on most prompts in this slice, which undermines cross-model comparability even when non-refused outputs are strong.</w:t>
      </w:r>
    </w:p>
    <w:p w14:paraId="48D75D28">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80" w:firstLineChars="200"/>
        <w:textAlignment w:val="auto"/>
        <w:rPr>
          <w:rFonts w:hint="default" w:ascii="Times New Roman Regular" w:hAnsi="Times New Roman Regular" w:cs="Times New Roman Regular"/>
          <w:b/>
          <w:bCs/>
          <w:color w:val="auto"/>
          <w:sz w:val="24"/>
          <w:szCs w:val="24"/>
          <w:lang w:val="en-US" w:eastAsia="zh-CN"/>
        </w:rPr>
      </w:pPr>
      <w:r>
        <w:rPr>
          <w:rFonts w:hint="default" w:ascii="Times New Roman Regular" w:hAnsi="Times New Roman Regular" w:cs="Times New Roman Regular"/>
          <w:sz w:val="24"/>
          <w:szCs w:val="24"/>
          <w:lang w:val="en-US"/>
        </w:rPr>
        <w:t xml:space="preserve">Overall, </w:t>
      </w:r>
      <w:r>
        <w:rPr>
          <w:rFonts w:hint="eastAsia" w:ascii="Times New Roman Regular" w:hAnsi="Times New Roman Regular" w:cs="Times New Roman Regular"/>
          <w:sz w:val="24"/>
          <w:szCs w:val="24"/>
          <w:lang w:val="en-US" w:eastAsia="zh-CN"/>
        </w:rPr>
        <w:t>DV-JusticeBench</w:t>
      </w:r>
      <w:r>
        <w:rPr>
          <w:rFonts w:hint="default" w:ascii="Times New Roman Regular" w:hAnsi="Times New Roman Regular" w:cs="Times New Roman Regular"/>
          <w:sz w:val="24"/>
          <w:szCs w:val="24"/>
          <w:lang w:val="en-US"/>
        </w:rPr>
        <w:t xml:space="preserve"> supports reliability-gated deployment. It favours citation validation, abandoned-law detection, and procedural-stage checks. The rubric and cross-model results provide a grounded baseline for improving legal LLMs in value-laden disputes and for designing multi-model collaboration. The promise is institutional, not utopian. LLMs can function as scalable junior support for triage, summarisation, and risk flagging, easing workload without delegating legal authority. Final responsibility should remain with accountable human decision makers, while AI operates as a disciplined assistant that expands access, reduces delay, and supports legally justified care in domestic violence disputes.</w:t>
      </w:r>
    </w:p>
    <w:p w14:paraId="3ED08032">
      <w:pPr>
        <w:pStyle w:val="2"/>
        <w:bidi w:val="0"/>
        <w:rPr>
          <w:rFonts w:hint="default" w:ascii="Times New Roman Regular" w:hAnsi="Times New Roman Regular" w:cs="Times New Roman Regular"/>
          <w:b/>
          <w:bCs/>
          <w:color w:val="auto"/>
          <w:sz w:val="24"/>
          <w:szCs w:val="24"/>
          <w:lang w:val="en-US" w:eastAsia="zh-CN"/>
        </w:rPr>
      </w:pPr>
      <w:r>
        <w:rPr>
          <w:rFonts w:hint="eastAsia" w:ascii="Times New Roman Regular" w:hAnsi="Times New Roman Regular" w:cs="Times New Roman Regular"/>
          <w:b/>
          <w:bCs/>
          <w:color w:val="auto"/>
          <w:sz w:val="24"/>
          <w:szCs w:val="24"/>
          <w:lang w:val="en-US" w:eastAsia="zh-CN"/>
        </w:rPr>
        <w:t>7</w:t>
      </w:r>
      <w:r>
        <w:rPr>
          <w:rFonts w:hint="default" w:ascii="Times New Roman Regular" w:hAnsi="Times New Roman Regular" w:cs="Times New Roman Regular"/>
          <w:b/>
          <w:bCs/>
          <w:color w:val="auto"/>
          <w:sz w:val="24"/>
          <w:szCs w:val="24"/>
          <w:lang w:val="en-US" w:eastAsia="zh-CN"/>
        </w:rPr>
        <w:t xml:space="preserve"> LIMITATIONS</w:t>
      </w:r>
    </w:p>
    <w:p w14:paraId="4AAF4A08">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sz w:val="24"/>
          <w:szCs w:val="24"/>
        </w:rPr>
      </w:pPr>
    </w:p>
    <w:p w14:paraId="697B57EC">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While our benchmark provides a structured way to test how LLMs reason about domestic violence disputes in China, several limitations warrant discussion.</w:t>
      </w:r>
    </w:p>
    <w:p w14:paraId="4DCC86D8">
      <w:pPr>
        <w:keepNext w:val="0"/>
        <w:keepLines w:val="0"/>
        <w:pageBreakBefore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First, scope is jurisdiction- and period-specific. The dataset is built from Chinese written judgments from 2023 to 2025. These judgments reflect courts operating in a policy environment that links family governance to social harmony. Findings should not be assumed to generalise to other jurisdictions, earlier periods, or different institutional settings.</w:t>
      </w:r>
    </w:p>
    <w:p w14:paraId="25D6A1B2">
      <w:pPr>
        <w:keepNext w:val="0"/>
        <w:keepLines w:val="0"/>
        <w:pageBreakBefore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Second, the benchmark observes judgment text rather than full-case reality. Written judgments are institutional narrative products. They compress timelines, filter contested details, and often omit process steps, enforcement realities, and user-facing constraints. This can overstate model readiness for real consultations, where survivors present fragmented facts and incomplete proof. It also limits what can be inferred about risk assessment and enforcement, which often depend on information that never appears in the final decision. </w:t>
      </w:r>
      <w:r>
        <w:rPr>
          <w:rFonts w:hint="eastAsia" w:ascii="Times New Roman Regular" w:hAnsi="Times New Roman Regular" w:cs="Times New Roman Regular"/>
          <w:sz w:val="24"/>
          <w:szCs w:val="24"/>
          <w:lang w:eastAsia="zh-CN"/>
        </w:rPr>
        <w:t>DV-JusticeBench</w:t>
      </w:r>
      <w:r>
        <w:rPr>
          <w:rFonts w:hint="default" w:ascii="Times New Roman Regular" w:hAnsi="Times New Roman Regular" w:cs="Times New Roman Regular"/>
          <w:sz w:val="24"/>
          <w:szCs w:val="24"/>
        </w:rPr>
        <w:t xml:space="preserve"> therefore measures text-grounded judicial alignment, not downstream safety, feasibility of protection, or real-world outcomes.</w:t>
      </w:r>
    </w:p>
    <w:p w14:paraId="12027D5B">
      <w:pPr>
        <w:keepNext w:val="0"/>
        <w:keepLines w:val="0"/>
        <w:pageBreakBefore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Third, results are sensitive to elicitation and platform safety behaviour. The answer-generation protocol is standardised, but small variations in framing, formatting, or context length can still change what a model treats as decisive. Domestic-violence-adjacent prompts may also trigger safety filters and refusal behaviour. Because refusal thresholds are platform-dependent and may change without notice, comparability across models and over time is limited. Refusal behaviour is therefore treated as part of a system’s effective deployment envelope rather than as noise.</w:t>
      </w:r>
    </w:p>
    <w:p w14:paraId="7E6464AF">
      <w:pPr>
        <w:pStyle w:val="17"/>
        <w:keepNext w:val="0"/>
        <w:keepLines w:val="0"/>
        <w:widowControl/>
        <w:suppressLineNumbers w:val="0"/>
        <w:bidi w:val="0"/>
        <w:spacing w:before="0" w:beforeAutospacing="0" w:after="0" w:afterAutospacing="0" w:line="48" w:lineRule="atLeast"/>
        <w:jc w:val="center"/>
      </w:pPr>
      <w:r>
        <w:rPr>
          <w:rFonts w:hint="default" w:ascii="Times New Roman Regular" w:hAnsi="Times New Roman Regular" w:cs="Times New Roman Regular"/>
          <w:sz w:val="24"/>
          <w:szCs w:val="24"/>
        </w:rPr>
        <w:t>F</w:t>
      </w:r>
      <w:r>
        <w:rPr>
          <w:rFonts w:hint="eastAsia" w:ascii="Times New Roman Regular" w:hAnsi="Times New Roman Regular" w:cs="Times New Roman Regular"/>
          <w:sz w:val="24"/>
          <w:szCs w:val="24"/>
          <w:lang w:val="en-US" w:eastAsia="zh-CN"/>
        </w:rPr>
        <w:t>our</w:t>
      </w:r>
      <w:r>
        <w:rPr>
          <w:rFonts w:hint="default" w:ascii="Times New Roman Regular" w:hAnsi="Times New Roman Regular" w:cs="Times New Roman Regular"/>
          <w:sz w:val="24"/>
          <w:szCs w:val="24"/>
        </w:rPr>
        <w:t>th, reproducibility is constrained by API drift, non-determinism, and pipeline effects. Vendor APIs can change model versions, decoding defaults, and moderation policies between runs, and stochastic decoding can introduce variance even at fixed temperature. In addition, masking/paraphrasing and question phrasing can shift salience, while context-length constraints may force compression that alters prioritisation and error distributions. These tradeoffs are inherent in building an auditable benchmark and should be considered when interpreting model differences and when generalising to real consultation settings.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br w:type="textWrapping"/>
      </w:r>
      <w:r>
        <w:rPr>
          <w:rFonts w:hint="default" w:ascii="Times New Roman" w:hAnsi="Times New Roman" w:cs="Times New Roman"/>
          <w:b/>
          <w:bCs/>
          <w:i w:val="0"/>
          <w:iCs w:val="0"/>
          <w:color w:val="FF0000"/>
          <w:sz w:val="24"/>
          <w:szCs w:val="24"/>
          <w:u w:val="none"/>
          <w:shd w:val="clear" w:fill="FFFFFF"/>
          <w:vertAlign w:val="baseline"/>
        </w:rPr>
        <w:t>References</w:t>
      </w:r>
    </w:p>
    <w:p w14:paraId="2D51E704">
      <w:pPr>
        <w:pStyle w:val="1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48" w:lineRule="atLeast"/>
        <w:ind w:left="0" w:hanging="720"/>
      </w:pPr>
      <w:r>
        <w:rPr>
          <w:rFonts w:hint="default" w:ascii="Times New Roman" w:hAnsi="Times New Roman" w:cs="Times New Roman"/>
          <w:i w:val="0"/>
          <w:iCs w:val="0"/>
          <w:color w:val="FF0000"/>
          <w:sz w:val="24"/>
          <w:szCs w:val="24"/>
          <w:u w:val="none"/>
          <w:shd w:val="clear" w:fill="FFFFFF"/>
          <w:vertAlign w:val="baseline"/>
        </w:rPr>
        <w:t xml:space="preserve">Alibaba. (2024, 09 19). </w:t>
      </w:r>
      <w:r>
        <w:rPr>
          <w:rFonts w:hint="default" w:ascii="Times New Roman" w:hAnsi="Times New Roman" w:cs="Times New Roman"/>
          <w:i/>
          <w:iCs/>
          <w:color w:val="FF0000"/>
          <w:sz w:val="24"/>
          <w:szCs w:val="24"/>
          <w:u w:val="none"/>
          <w:shd w:val="clear" w:fill="FFFFFF"/>
          <w:vertAlign w:val="baseline"/>
        </w:rPr>
        <w:t>Qwen-Max</w:t>
      </w:r>
      <w:r>
        <w:rPr>
          <w:rFonts w:hint="default" w:ascii="Times New Roman" w:hAnsi="Times New Roman" w:cs="Times New Roman"/>
          <w:i w:val="0"/>
          <w:iCs w:val="0"/>
          <w:color w:val="FF0000"/>
          <w:sz w:val="24"/>
          <w:szCs w:val="24"/>
          <w:u w:val="none"/>
          <w:shd w:val="clear" w:fill="FFFFFF"/>
          <w:vertAlign w:val="baseline"/>
        </w:rPr>
        <w:t>. Qwen-Max. Retrieved January 15, 2026, from https://tongyi.aliyun.com/</w:t>
      </w:r>
    </w:p>
    <w:p w14:paraId="0AF6C5F5">
      <w:pPr>
        <w:pStyle w:val="1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48" w:lineRule="atLeast"/>
        <w:ind w:left="0" w:hanging="720"/>
      </w:pPr>
      <w:r>
        <w:rPr>
          <w:rFonts w:hint="default" w:ascii="Times New Roman" w:hAnsi="Times New Roman" w:cs="Times New Roman"/>
          <w:i w:val="0"/>
          <w:iCs w:val="0"/>
          <w:color w:val="FF0000"/>
          <w:sz w:val="24"/>
          <w:szCs w:val="24"/>
          <w:u w:val="none"/>
          <w:shd w:val="clear" w:fill="FFFFFF"/>
          <w:vertAlign w:val="baseline"/>
        </w:rPr>
        <w:t xml:space="preserve">Anthropic. (2025, 05 22). </w:t>
      </w:r>
      <w:r>
        <w:rPr>
          <w:rFonts w:hint="default" w:ascii="Times New Roman" w:hAnsi="Times New Roman" w:cs="Times New Roman"/>
          <w:i/>
          <w:iCs/>
          <w:color w:val="FF0000"/>
          <w:sz w:val="24"/>
          <w:szCs w:val="24"/>
          <w:u w:val="none"/>
          <w:shd w:val="clear" w:fill="FFFFFF"/>
          <w:vertAlign w:val="baseline"/>
        </w:rPr>
        <w:t>Claude Opus 4</w:t>
      </w:r>
      <w:r>
        <w:rPr>
          <w:rFonts w:hint="default" w:ascii="Times New Roman" w:hAnsi="Times New Roman" w:cs="Times New Roman"/>
          <w:i w:val="0"/>
          <w:iCs w:val="0"/>
          <w:color w:val="FF0000"/>
          <w:sz w:val="24"/>
          <w:szCs w:val="24"/>
          <w:u w:val="none"/>
          <w:shd w:val="clear" w:fill="FFFFFF"/>
          <w:vertAlign w:val="baseline"/>
        </w:rPr>
        <w:t>. Anthropic Launches Claude 4. https://www.anthropic.com/news/claude-opus-4</w:t>
      </w:r>
    </w:p>
    <w:p w14:paraId="3128A4F9">
      <w:pPr>
        <w:pStyle w:val="1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48" w:lineRule="atLeast"/>
        <w:ind w:left="0" w:hanging="720"/>
      </w:pPr>
      <w:r>
        <w:rPr>
          <w:rFonts w:hint="default" w:ascii="Times New Roman" w:hAnsi="Times New Roman" w:cs="Times New Roman"/>
          <w:i w:val="0"/>
          <w:iCs w:val="0"/>
          <w:color w:val="FF0000"/>
          <w:sz w:val="24"/>
          <w:szCs w:val="24"/>
          <w:u w:val="none"/>
          <w:shd w:val="clear" w:fill="FFFFFF"/>
          <w:vertAlign w:val="baseline"/>
        </w:rPr>
        <w:t xml:space="preserve">DeepSeek. (2025, 01 20). </w:t>
      </w:r>
      <w:r>
        <w:rPr>
          <w:rFonts w:hint="default" w:ascii="Times New Roman" w:hAnsi="Times New Roman" w:cs="Times New Roman"/>
          <w:i/>
          <w:iCs/>
          <w:color w:val="FF0000"/>
          <w:sz w:val="24"/>
          <w:szCs w:val="24"/>
          <w:u w:val="none"/>
          <w:shd w:val="clear" w:fill="FFFFFF"/>
          <w:vertAlign w:val="baseline"/>
        </w:rPr>
        <w:t>DeepSeek-R1</w:t>
      </w:r>
      <w:r>
        <w:rPr>
          <w:rFonts w:hint="default" w:ascii="Times New Roman" w:hAnsi="Times New Roman" w:cs="Times New Roman"/>
          <w:i w:val="0"/>
          <w:iCs w:val="0"/>
          <w:color w:val="FF0000"/>
          <w:sz w:val="24"/>
          <w:szCs w:val="24"/>
          <w:u w:val="none"/>
          <w:shd w:val="clear" w:fill="FFFFFF"/>
          <w:vertAlign w:val="baseline"/>
        </w:rPr>
        <w:t>. DeepSeek-R1. https://deepseeksr1.com/r1/</w:t>
      </w:r>
    </w:p>
    <w:p w14:paraId="26A53170">
      <w:pPr>
        <w:pStyle w:val="1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48" w:lineRule="atLeast"/>
        <w:ind w:left="0" w:hanging="720"/>
      </w:pPr>
      <w:r>
        <w:rPr>
          <w:rFonts w:hint="default" w:ascii="Times New Roman" w:hAnsi="Times New Roman" w:cs="Times New Roman"/>
          <w:i w:val="0"/>
          <w:iCs w:val="0"/>
          <w:color w:val="FF0000"/>
          <w:sz w:val="24"/>
          <w:szCs w:val="24"/>
          <w:u w:val="none"/>
          <w:shd w:val="clear" w:fill="FFFFFF"/>
          <w:vertAlign w:val="baseline"/>
        </w:rPr>
        <w:t xml:space="preserve">DeepSeek. (2025, August 15). </w:t>
      </w:r>
      <w:r>
        <w:rPr>
          <w:rFonts w:hint="default" w:ascii="Times New Roman" w:hAnsi="Times New Roman" w:cs="Times New Roman"/>
          <w:i/>
          <w:iCs/>
          <w:color w:val="FF0000"/>
          <w:sz w:val="24"/>
          <w:szCs w:val="24"/>
          <w:u w:val="none"/>
          <w:shd w:val="clear" w:fill="FFFFFF"/>
          <w:vertAlign w:val="baseline"/>
        </w:rPr>
        <w:t>DeepSeek-V3</w:t>
      </w:r>
      <w:r>
        <w:rPr>
          <w:rFonts w:hint="default" w:ascii="Times New Roman" w:hAnsi="Times New Roman" w:cs="Times New Roman"/>
          <w:i w:val="0"/>
          <w:iCs w:val="0"/>
          <w:color w:val="FF0000"/>
          <w:sz w:val="24"/>
          <w:szCs w:val="24"/>
          <w:u w:val="none"/>
          <w:shd w:val="clear" w:fill="FFFFFF"/>
          <w:vertAlign w:val="baseline"/>
        </w:rPr>
        <w:t>. DeepSeek-V3. https://deepseek-usa.ai/models/deepseek-v3/</w:t>
      </w:r>
    </w:p>
    <w:p w14:paraId="65082E1C">
      <w:pPr>
        <w:pStyle w:val="1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48" w:lineRule="atLeast"/>
        <w:ind w:left="0" w:hanging="720"/>
      </w:pPr>
      <w:r>
        <w:rPr>
          <w:rFonts w:hint="default" w:ascii="Times New Roman" w:hAnsi="Times New Roman" w:cs="Times New Roman"/>
          <w:i w:val="0"/>
          <w:iCs w:val="0"/>
          <w:color w:val="FF0000"/>
          <w:sz w:val="24"/>
          <w:szCs w:val="24"/>
          <w:u w:val="none"/>
          <w:shd w:val="clear" w:fill="FFFFFF"/>
          <w:vertAlign w:val="baseline"/>
        </w:rPr>
        <w:t xml:space="preserve">Doshi, T. (2025, June 17). </w:t>
      </w:r>
      <w:r>
        <w:rPr>
          <w:rFonts w:hint="default" w:ascii="Times New Roman" w:hAnsi="Times New Roman" w:cs="Times New Roman"/>
          <w:i/>
          <w:iCs/>
          <w:color w:val="FF0000"/>
          <w:sz w:val="24"/>
          <w:szCs w:val="24"/>
          <w:u w:val="none"/>
          <w:shd w:val="clear" w:fill="FFFFFF"/>
          <w:vertAlign w:val="baseline"/>
        </w:rPr>
        <w:t>Gemini 2.5 model family expands</w:t>
      </w:r>
      <w:r>
        <w:rPr>
          <w:rFonts w:hint="default" w:ascii="Times New Roman" w:hAnsi="Times New Roman" w:cs="Times New Roman"/>
          <w:i w:val="0"/>
          <w:iCs w:val="0"/>
          <w:color w:val="FF0000"/>
          <w:sz w:val="24"/>
          <w:szCs w:val="24"/>
          <w:u w:val="none"/>
          <w:shd w:val="clear" w:fill="FFFFFF"/>
          <w:vertAlign w:val="baseline"/>
        </w:rPr>
        <w:t>. Google Blog. Retrieved January 15, 2026, from https://blog.google/products/gemini/gemini-2-5-model-family-expands/</w:t>
      </w:r>
    </w:p>
    <w:p w14:paraId="5A8DF3BF">
      <w:pPr>
        <w:pStyle w:val="1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48" w:lineRule="atLeast"/>
        <w:ind w:left="0" w:hanging="720"/>
      </w:pPr>
      <w:r>
        <w:rPr>
          <w:rFonts w:hint="default" w:ascii="Times New Roman" w:hAnsi="Times New Roman" w:cs="Times New Roman"/>
          <w:i w:val="0"/>
          <w:iCs w:val="0"/>
          <w:color w:val="FF0000"/>
          <w:sz w:val="24"/>
          <w:szCs w:val="24"/>
          <w:u w:val="none"/>
          <w:shd w:val="clear" w:fill="FFFFFF"/>
          <w:vertAlign w:val="baseline"/>
        </w:rPr>
        <w:t xml:space="preserve">OpenAI. (2024, May 13). </w:t>
      </w:r>
      <w:r>
        <w:rPr>
          <w:rFonts w:hint="default" w:ascii="Times New Roman" w:hAnsi="Times New Roman" w:cs="Times New Roman"/>
          <w:i/>
          <w:iCs/>
          <w:color w:val="FF0000"/>
          <w:sz w:val="24"/>
          <w:szCs w:val="24"/>
          <w:u w:val="none"/>
          <w:shd w:val="clear" w:fill="FFFFFF"/>
          <w:vertAlign w:val="baseline"/>
        </w:rPr>
        <w:t>Hello GPT-4o</w:t>
      </w:r>
      <w:r>
        <w:rPr>
          <w:rFonts w:hint="default" w:ascii="Times New Roman" w:hAnsi="Times New Roman" w:cs="Times New Roman"/>
          <w:i w:val="0"/>
          <w:iCs w:val="0"/>
          <w:color w:val="FF0000"/>
          <w:sz w:val="24"/>
          <w:szCs w:val="24"/>
          <w:u w:val="none"/>
          <w:shd w:val="clear" w:fill="FFFFFF"/>
          <w:vertAlign w:val="baseline"/>
        </w:rPr>
        <w:t>. OpenAI. Retrieved January 15, 2026, from https://openai.com/index/hello-gpt-4o/</w:t>
      </w:r>
    </w:p>
    <w:p w14:paraId="1A25A3E2">
      <w:pPr>
        <w:pStyle w:val="1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48" w:lineRule="atLeast"/>
        <w:ind w:left="0" w:hanging="720"/>
      </w:pPr>
      <w:r>
        <w:rPr>
          <w:rFonts w:hint="default" w:ascii="Times New Roman" w:hAnsi="Times New Roman" w:cs="Times New Roman"/>
          <w:i w:val="0"/>
          <w:iCs w:val="0"/>
          <w:color w:val="FF0000"/>
          <w:sz w:val="24"/>
          <w:szCs w:val="24"/>
          <w:u w:val="none"/>
          <w:shd w:val="clear" w:fill="FFFFFF"/>
          <w:vertAlign w:val="baseline"/>
        </w:rPr>
        <w:t xml:space="preserve">OpenAI. (2025, August 7). </w:t>
      </w:r>
      <w:r>
        <w:rPr>
          <w:rFonts w:hint="default" w:ascii="Times New Roman" w:hAnsi="Times New Roman" w:cs="Times New Roman"/>
          <w:i/>
          <w:iCs/>
          <w:color w:val="FF0000"/>
          <w:sz w:val="24"/>
          <w:szCs w:val="24"/>
          <w:u w:val="none"/>
          <w:shd w:val="clear" w:fill="FFFFFF"/>
          <w:vertAlign w:val="baseline"/>
        </w:rPr>
        <w:t>Introducing GPT-5</w:t>
      </w:r>
      <w:r>
        <w:rPr>
          <w:rFonts w:hint="default" w:ascii="Times New Roman" w:hAnsi="Times New Roman" w:cs="Times New Roman"/>
          <w:i w:val="0"/>
          <w:iCs w:val="0"/>
          <w:color w:val="FF0000"/>
          <w:sz w:val="24"/>
          <w:szCs w:val="24"/>
          <w:u w:val="none"/>
          <w:shd w:val="clear" w:fill="FFFFFF"/>
          <w:vertAlign w:val="baseline"/>
        </w:rPr>
        <w:t>. OpenAI. Retrieved January 15, 2026, from https://openai.com/index/introducing-gpt-5/</w:t>
      </w:r>
    </w:p>
    <w:p w14:paraId="54BECA43">
      <w:pPr>
        <w:keepNext w:val="0"/>
        <w:keepLines w:val="0"/>
        <w:pageBreakBefore w:val="0"/>
        <w:kinsoku/>
        <w:wordWrap/>
        <w:overflowPunct/>
        <w:topLinePunct w:val="0"/>
        <w:autoSpaceDE/>
        <w:autoSpaceDN/>
        <w:bidi w:val="0"/>
        <w:adjustRightInd w:val="0"/>
        <w:snapToGrid w:val="0"/>
        <w:spacing w:beforeAutospacing="0" w:afterAutospacing="0"/>
        <w:textAlignment w:val="auto"/>
        <w:rPr>
          <w:rFonts w:hint="default" w:ascii="Times New Roman Regular" w:hAnsi="Times New Roman Regular" w:cs="Times New Roman Regular"/>
          <w:color w:val="auto"/>
          <w:sz w:val="24"/>
          <w:szCs w:val="24"/>
          <w:lang w:val="en-US" w:eastAsia="zh-CN"/>
        </w:rPr>
      </w:pPr>
    </w:p>
    <w:sectPr>
      <w:footnotePr>
        <w:numFmt w:val="decimal"/>
      </w:footnote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Olivia Huang" w:date="2026-01-18T13:17:04Z" w:initials="yidan">
    <w:p w14:paraId="101546E3">
      <w:pPr>
        <w:pStyle w:val="8"/>
        <w:rPr>
          <w:rFonts w:hint="default" w:eastAsiaTheme="minorEastAsia"/>
          <w:lang w:val="en-US" w:eastAsia="zh-CN"/>
        </w:rPr>
      </w:pPr>
      <w:r>
        <w:rPr>
          <w:rFonts w:hint="eastAsia"/>
          <w:lang w:val="en-US" w:eastAsia="zh-CN"/>
        </w:rPr>
        <w:t>需要找source</w:t>
      </w:r>
      <w:r>
        <w:rPr>
          <w:rFonts w:hint="default"/>
          <w:lang w:val="en-US" w:eastAsia="zh-CN"/>
        </w:rPr>
        <w:t xml:space="preserve"> cite</w:t>
      </w:r>
      <w:r>
        <w:rPr>
          <w:rFonts w:hint="eastAsia"/>
          <w:lang w:val="en-US" w:eastAsia="zh-CN"/>
        </w:rPr>
        <w:t>一下</w:t>
      </w:r>
    </w:p>
  </w:comment>
  <w:comment w:id="1" w:author="陈龙" w:date="2026-01-19T11:05:41Z" w:initials="">
    <w:p w14:paraId="4356B3D7">
      <w:pPr>
        <w:pStyle w:val="8"/>
        <w:rPr>
          <w:rFonts w:hint="default" w:eastAsiaTheme="minorEastAsia"/>
          <w:lang w:val="en-US" w:eastAsia="zh-CN"/>
        </w:rPr>
      </w:pPr>
      <w:r>
        <w:rPr>
          <w:rFonts w:hint="eastAsia"/>
          <w:lang w:val="en-US" w:eastAsia="zh-CN"/>
        </w:rPr>
        <w:t>我的想法是放在reference里？</w:t>
      </w:r>
      <w:r>
        <w:rPr>
          <w:rFonts w:hint="eastAsia"/>
          <w:lang w:val="en-US" w:eastAsia="zh-CN"/>
        </w:rPr>
        <w:br w:type="textWrapping"/>
      </w:r>
      <w:r>
        <w:rPr>
          <w:rFonts w:hint="eastAsia"/>
          <w:lang w:val="en-US" w:eastAsia="zh-CN"/>
        </w:rPr>
        <w:t>全文提到的太多了</w:t>
      </w:r>
    </w:p>
  </w:comment>
  <w:comment w:id="2" w:author="Olivia Huang" w:date="2026-01-18T14:08:42Z" w:initials="yidan">
    <w:p w14:paraId="3E1EBDA5">
      <w:pPr>
        <w:pStyle w:val="8"/>
        <w:rPr>
          <w:rFonts w:hint="default" w:eastAsiaTheme="minorEastAsia"/>
          <w:lang w:val="en-US" w:eastAsia="zh-CN"/>
        </w:rPr>
      </w:pPr>
      <w:r>
        <w:rPr>
          <w:rFonts w:hint="eastAsia"/>
          <w:lang w:val="en-US" w:eastAsia="zh-CN"/>
        </w:rPr>
        <w:t>need</w:t>
      </w:r>
      <w:r>
        <w:rPr>
          <w:rFonts w:hint="default"/>
          <w:lang w:val="en-US" w:eastAsia="zh-CN"/>
        </w:rPr>
        <w:t xml:space="preserve"> citation</w:t>
      </w:r>
    </w:p>
  </w:comment>
  <w:comment w:id="3" w:author="Olivia Huang" w:date="2026-01-13T15:18:59Z" w:initials="yidan">
    <w:p w14:paraId="499FD018">
      <w:pPr>
        <w:pStyle w:val="8"/>
      </w:pPr>
      <w:r>
        <w:rPr>
          <w:rFonts w:hint="eastAsia"/>
          <w:lang w:val="en-US" w:eastAsia="zh-CN"/>
        </w:rPr>
        <w:t>journal可以加个图说明 大前提-小前提-结论</w:t>
      </w:r>
    </w:p>
  </w:comment>
  <w:comment w:id="4" w:author="陈龙" w:date="2026-01-19T13:05:37Z" w:initials="">
    <w:p w14:paraId="039FCDF5">
      <w:pPr>
        <w:pStyle w:val="8"/>
        <w:rPr>
          <w:rFonts w:hint="default" w:eastAsiaTheme="minorEastAsia"/>
          <w:lang w:val="en-US" w:eastAsia="zh-CN"/>
        </w:rPr>
      </w:pPr>
      <w:r>
        <w:rPr>
          <w:rFonts w:hint="eastAsia"/>
          <w:lang w:val="en-US" w:eastAsia="zh-CN"/>
        </w:rPr>
        <w:t>你的意思是要我加这个图吗~</w:t>
      </w:r>
    </w:p>
  </w:comment>
  <w:comment w:id="5" w:author="Olivia Huang" w:date="2026-01-18T15:55:50Z" w:initials="yidan">
    <w:p w14:paraId="5AF1981B">
      <w:pPr>
        <w:pStyle w:val="8"/>
        <w:rPr>
          <w:rFonts w:hint="default" w:eastAsiaTheme="minorEastAsia"/>
          <w:lang w:val="en-US" w:eastAsia="zh-CN"/>
        </w:rPr>
      </w:pPr>
      <w:r>
        <w:rPr>
          <w:rFonts w:hint="eastAsia"/>
          <w:lang w:val="en-US" w:eastAsia="zh-CN"/>
        </w:rPr>
        <w:t>都这样写嘛 我感觉怪怪的</w:t>
      </w:r>
    </w:p>
  </w:comment>
  <w:comment w:id="6" w:author="陈龙" w:date="2026-01-18T22:14:54Z" w:initials="">
    <w:p w14:paraId="2E8C80DA">
      <w:pPr>
        <w:pStyle w:val="8"/>
        <w:rPr>
          <w:rFonts w:hint="default" w:eastAsiaTheme="minorEastAsia"/>
          <w:lang w:val="en-US" w:eastAsia="zh-CN"/>
        </w:rPr>
      </w:pPr>
      <w:r>
        <w:rPr>
          <w:rFonts w:hint="eastAsia"/>
          <w:lang w:val="en-US" w:eastAsia="zh-CN"/>
        </w:rPr>
        <w:t>啥意思哈？</w:t>
      </w:r>
    </w:p>
  </w:comment>
  <w:comment w:id="7" w:author="Olivia Huang" w:date="2026-01-18T16:09:15Z" w:initials="yidan">
    <w:p w14:paraId="19BDBB15">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这个地方还是要着重提一下gpt引用了已经废除的引用这个</w:t>
      </w:r>
    </w:p>
    <w:p w14:paraId="288308E9">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致命的事实性幻觉问题。</w:t>
      </w:r>
    </w:p>
    <w:p w14:paraId="59D4801A">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我给你对应语料~</w:t>
      </w:r>
    </w:p>
    <w:p w14:paraId="0CDA93E4">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p>
    <w:p w14:paraId="504DB6EA">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1.|||||||||</w:t>
      </w:r>
    </w:p>
    <w:p w14:paraId="526ABFA1">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您观察到的GPT-4o引用已废止《婚姻法》的情况，是典型的“事实性幻觉”。多个权威信源均确认：</w:t>
      </w:r>
    </w:p>
    <w:p w14:paraId="12CE32D9">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p>
    <w:p w14:paraId="79027D20">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法律已废止：《中华人民共和国民法典》于2021年1月1日起施行，原《中华人民共和国婚姻法》同时废止。</w:t>
      </w:r>
    </w:p>
    <w:p w14:paraId="612B7CEF">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p>
    <w:p w14:paraId="1A4C0EF2">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内容被吸收：原《婚姻法》的内容已被吸收进《民法典》第五编“婚姻家庭编”。</w:t>
      </w:r>
    </w:p>
    <w:p w14:paraId="011430AF">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p>
    <w:p w14:paraId="6A18BB43">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这意味着，自2021年起，任何涉及婚姻家庭的法律分析、判决书或法律意见，其依据都应当是《民法典》及相关的司法解释。引用已废止的《婚姻法》在法律实务中是完全错误的。</w:t>
      </w:r>
    </w:p>
    <w:p w14:paraId="71CAB496">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p>
    <w:p w14:paraId="3D44430D">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p>
    <w:p w14:paraId="253A08FB">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2.|||||||||</w:t>
      </w:r>
    </w:p>
    <w:p w14:paraId="38437D50">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GPT-4采用稠密Transformer架构，所有参数全程参与计算，追求极致性能但成本极高。</w:t>
      </w:r>
    </w:p>
    <w:p w14:paraId="1059CC4A">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p>
    <w:p w14:paraId="276084CB">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DeepSeek-R1采用混合专家模型（MoE），能动态激活部分参数，在保持高性能的同时，将单次推理成本降至GPT-4的1/5到1/3。这解释了其“极高性价比”的原因。</w:t>
      </w:r>
    </w:p>
    <w:p w14:paraId="0C48474D">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p>
    <w:p w14:paraId="032809BB">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p>
    <w:p w14:paraId="2629C693">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3.||||||</w:t>
      </w:r>
    </w:p>
    <w:p w14:paraId="29FDA1AE">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DeepSeek的训练数据中中文占比高达60%，且整合了大量法律、代码等垂直领域结构化数据。这使得它对中文法律术语、中国法律体系的时效性更新可能具有先天的、更好的理解和记忆。</w:t>
      </w:r>
    </w:p>
    <w:p w14:paraId="6CFCD881">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p>
    <w:p w14:paraId="5A8FDECE">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相比之下，GPT的训练数据以英文为主，虽然在知识广度上占优，但在特定、精细的中国法律条文时效性上，其知识库可能更新不够及时或权重不足，从而导致你遇到的“引用旧法”的幻觉。</w:t>
      </w:r>
    </w:p>
    <w:p w14:paraId="007DB676">
      <w:pPr>
        <w:pStyle w:val="1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textAlignment w:val="auto"/>
        <w:rPr>
          <w:rFonts w:hint="default" w:ascii="Times New Roman Regular" w:hAnsi="Times New Roman Regular" w:cs="Times New Roman Regular"/>
          <w:sz w:val="24"/>
          <w:szCs w:val="24"/>
          <w:lang w:val="en-US"/>
        </w:rPr>
      </w:pPr>
    </w:p>
    <w:p w14:paraId="04294478">
      <w:pPr>
        <w:pStyle w:val="8"/>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01546E3" w15:done="0"/>
  <w15:commentEx w15:paraId="4356B3D7" w15:done="0" w15:paraIdParent="101546E3"/>
  <w15:commentEx w15:paraId="3E1EBDA5" w15:done="0"/>
  <w15:commentEx w15:paraId="499FD018" w15:done="0"/>
  <w15:commentEx w15:paraId="039FCDF5" w15:done="0" w15:paraIdParent="499FD018"/>
  <w15:commentEx w15:paraId="5AF1981B" w15:done="0"/>
  <w15:commentEx w15:paraId="2E8C80DA" w15:done="0" w15:paraIdParent="5AF1981B"/>
  <w15:commentEx w15:paraId="0429447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0" w:usb3="00000000" w:csb0="00040001" w:csb1="00000000"/>
  </w:font>
  <w:font w:name="Calibri Light">
    <w:altName w:val="Helvetica Neue"/>
    <w:panose1 w:val="020F0302020204030204"/>
    <w:charset w:val="00"/>
    <w:family w:val="swiss"/>
    <w:pitch w:val="default"/>
    <w:sig w:usb0="00000000" w:usb1="00000000" w:usb2="00000009" w:usb3="00000000" w:csb0="000001FF" w:csb1="00000000"/>
  </w:font>
  <w:font w:name="Times New Roman Regular">
    <w:panose1 w:val="020205030504050903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STIX Two Text">
    <w:panose1 w:val="00000000000000000000"/>
    <w:charset w:val="00"/>
    <w:family w:val="auto"/>
    <w:pitch w:val="default"/>
    <w:sig w:usb0="A00002FF" w:usb1="0000001F" w:usb2="00000000" w:usb3="00000000" w:csb0="2000019F" w:csb1="00000000"/>
  </w:font>
  <w:font w:name="MyriadPro-SemiCn">
    <w:altName w:val="苹方-简"/>
    <w:panose1 w:val="00000000000000000000"/>
    <w:charset w:val="00"/>
    <w:family w:val="auto"/>
    <w:pitch w:val="default"/>
    <w:sig w:usb0="00000000" w:usb1="00000000" w:usb2="00000000" w:usb3="00000000" w:csb0="00000000" w:csb1="00000000"/>
  </w:font>
  <w:font w:name="MyriadPro-SemiCnIt">
    <w:altName w:val="苹方-简"/>
    <w:panose1 w:val="00000000000000000000"/>
    <w:charset w:val="00"/>
    <w:family w:val="auto"/>
    <w:pitch w:val="default"/>
    <w:sig w:usb0="00000000" w:usb1="00000000" w:usb2="00000000" w:usb3="00000000" w:csb0="00000000" w:csb1="00000000"/>
  </w:font>
  <w:font w:name="GraphikNaturel-Regular">
    <w:altName w:val="苹方-简"/>
    <w:panose1 w:val="00000000000000000000"/>
    <w:charset w:val="00"/>
    <w:family w:val="auto"/>
    <w:pitch w:val="default"/>
    <w:sig w:usb0="00000000" w:usb1="00000000" w:usb2="00000000" w:usb3="00000000" w:csb0="00000000" w:csb1="00000000"/>
  </w:font>
  <w:font w:name="GraphikNaturel-RegularItalic4">
    <w:altName w:val="苹方-简"/>
    <w:panose1 w:val="00000000000000000000"/>
    <w:charset w:val="00"/>
    <w:family w:val="auto"/>
    <w:pitch w:val="default"/>
    <w:sig w:usb0="00000000" w:usb1="00000000" w:usb2="00000000" w:usb3="00000000" w:csb0="00000000" w:csb1="00000000"/>
  </w:font>
  <w:font w:name="GraphikNaturel-Semibold">
    <w:altName w:val="苹方-简"/>
    <w:panose1 w:val="00000000000000000000"/>
    <w:charset w:val="00"/>
    <w:family w:val="auto"/>
    <w:pitch w:val="default"/>
    <w:sig w:usb0="00000000" w:usb1="00000000" w:usb2="00000000" w:usb3="00000000" w:csb0="00000000" w:csb1="00000000"/>
  </w:font>
  <w:font w:name="LibertinusSerif-Regular">
    <w:altName w:val="苹方-简"/>
    <w:panose1 w:val="00000000000000000000"/>
    <w:charset w:val="00"/>
    <w:family w:val="auto"/>
    <w:pitch w:val="default"/>
    <w:sig w:usb0="00000000" w:usb1="00000000" w:usb2="00000000" w:usb3="00000000" w:csb0="00000000" w:csb1="00000000"/>
  </w:font>
  <w:font w:name="NimbusRomNo9L-Regu">
    <w:altName w:val="苹方-简"/>
    <w:panose1 w:val="00000000000000000000"/>
    <w:charset w:val="00"/>
    <w:family w:val="auto"/>
    <w:pitch w:val="default"/>
    <w:sig w:usb0="00000000" w:usb1="00000000" w:usb2="00000000" w:usb3="00000000" w:csb0="00000000" w:csb1="00000000"/>
  </w:font>
  <w:font w:name="AdvOTf9433e2d">
    <w:altName w:val="苹方-简"/>
    <w:panose1 w:val="00000000000000000000"/>
    <w:charset w:val="00"/>
    <w:family w:val="auto"/>
    <w:pitch w:val="default"/>
    <w:sig w:usb0="00000000" w:usb1="00000000" w:usb2="00000000" w:usb3="00000000" w:csb0="00000000" w:csb1="00000000"/>
  </w:font>
  <w:font w:name="AdvOTb4af3d5d.I">
    <w:altName w:val="苹方-简"/>
    <w:panose1 w:val="00000000000000000000"/>
    <w:charset w:val="00"/>
    <w:family w:val="auto"/>
    <w:pitch w:val="default"/>
    <w:sig w:usb0="00000000" w:usb1="00000000" w:usb2="00000000" w:usb3="00000000" w:csb0="00000000" w:csb1="00000000"/>
  </w:font>
  <w:font w:name="STIX Two Text Italic">
    <w:panose1 w:val="00000000000000000000"/>
    <w:charset w:val="00"/>
    <w:family w:val="auto"/>
    <w:pitch w:val="default"/>
    <w:sig w:usb0="A00002FF" w:usb1="0000001F" w:usb2="00000000" w:usb3="00000000" w:csb0="200001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SimSun">
    <w:altName w:val="汉仪书宋二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6">
    <w:p>
      <w:r>
        <w:separator/>
      </w:r>
    </w:p>
  </w:footnote>
  <w:footnote w:type="continuationSeparator" w:id="187">
    <w:p>
      <w:r>
        <w:continuationSeparator/>
      </w:r>
    </w:p>
  </w:footnote>
  <w:footnote w:id="0">
    <w:p w14:paraId="5DC8177B">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ind w:left="0" w:leftChars="0" w:firstLine="0" w:firstLineChars="0"/>
        <w:jc w:val="left"/>
        <w:textAlignment w:val="auto"/>
        <w:rPr>
          <w:rFonts w:hint="default" w:ascii="Times New Roman Regular" w:hAnsi="Times New Roman Regular" w:cs="Times New Roman Regular"/>
          <w:sz w:val="18"/>
          <w:szCs w:val="18"/>
          <w:highlight w:val="none"/>
        </w:rPr>
      </w:pPr>
      <w:r>
        <w:rPr>
          <w:rStyle w:val="10"/>
          <w:rFonts w:hint="default" w:ascii="Times New Roman Regular" w:hAnsi="Times New Roman Regular" w:cs="Times New Roman Regular"/>
          <w:sz w:val="18"/>
          <w:szCs w:val="18"/>
          <w:highlight w:val="none"/>
        </w:rPr>
        <w:t>[</w:t>
      </w:r>
      <w:r>
        <w:rPr>
          <w:rStyle w:val="10"/>
          <w:rFonts w:hint="default" w:ascii="Times New Roman Regular" w:hAnsi="Times New Roman Regular" w:cs="Times New Roman Regular"/>
          <w:sz w:val="18"/>
          <w:szCs w:val="18"/>
          <w:highlight w:val="none"/>
        </w:rPr>
        <w:footnoteRef/>
      </w:r>
      <w:r>
        <w:rPr>
          <w:rStyle w:val="10"/>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r>
        <w:rPr>
          <w:rFonts w:hint="default" w:ascii="Times New Roman Regular" w:hAnsi="Times New Roman Regular" w:eastAsia="Helvetica Neue" w:cs="Times New Roman Regular"/>
          <w:i w:val="0"/>
          <w:iCs w:val="0"/>
          <w:caps w:val="0"/>
          <w:color w:val="000000"/>
          <w:spacing w:val="0"/>
          <w:kern w:val="0"/>
          <w:sz w:val="18"/>
          <w:szCs w:val="18"/>
          <w:highlight w:val="none"/>
          <w:u w:val="none"/>
          <w:lang w:val="en-US" w:eastAsia="zh-CN" w:bidi="ar"/>
        </w:rPr>
        <w:t>Flanagan, B., Almeida, G., Chen, D., &amp; Gitahi, A. (2025). The rule of law or the rule of robots? Nationally representative survey evidence from Kenya. Information &amp; Communications Technology Law, 1-18</w:t>
      </w:r>
    </w:p>
  </w:footnote>
  <w:footnote w:id="1">
    <w:p w14:paraId="55B895C0">
      <w:pPr>
        <w:pStyle w:val="11"/>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color w:val="auto"/>
          <w:sz w:val="18"/>
          <w:szCs w:val="18"/>
          <w:highlight w:val="none"/>
        </w:rPr>
      </w:pPr>
      <w:r>
        <w:rPr>
          <w:rStyle w:val="10"/>
          <w:rFonts w:hint="default" w:ascii="Times New Roman Regular" w:hAnsi="Times New Roman Regular" w:cs="Times New Roman Regular"/>
          <w:sz w:val="18"/>
          <w:szCs w:val="18"/>
          <w:highlight w:val="none"/>
        </w:rPr>
        <w:t>[</w:t>
      </w:r>
      <w:r>
        <w:rPr>
          <w:rStyle w:val="10"/>
          <w:rFonts w:hint="default" w:ascii="Times New Roman Regular" w:hAnsi="Times New Roman Regular" w:cs="Times New Roman Regular"/>
          <w:sz w:val="18"/>
          <w:szCs w:val="18"/>
          <w:highlight w:val="none"/>
        </w:rPr>
        <w:footnoteRef/>
      </w:r>
      <w:r>
        <w:rPr>
          <w:rStyle w:val="10"/>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bookmarkStart w:id="0" w:name="world"/>
      <w:r>
        <w:rPr>
          <w:rFonts w:hint="default" w:ascii="Times New Roman Regular" w:hAnsi="Times New Roman Regular" w:cs="Times New Roman Regular"/>
          <w:color w:val="auto"/>
          <w:sz w:val="18"/>
          <w:szCs w:val="18"/>
          <w:highlight w:val="none"/>
        </w:rPr>
        <w:t>World Economic Forum (2024) AI value alignment: guiding artificial intelligence towards shared human goals. White Paper, October 2024.</w:t>
      </w:r>
    </w:p>
    <w:p w14:paraId="3629794B">
      <w:pPr>
        <w:pStyle w:val="11"/>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highlight w:val="none"/>
        </w:rPr>
      </w:pPr>
      <w:r>
        <w:rPr>
          <w:rStyle w:val="13"/>
          <w:rFonts w:hint="default" w:ascii="Times New Roman Regular" w:hAnsi="Times New Roman Regular" w:cs="Times New Roman Regular" w:eastAsiaTheme="minorEastAsia"/>
          <w:kern w:val="2"/>
          <w:sz w:val="18"/>
          <w:szCs w:val="18"/>
          <w:highlight w:val="none"/>
          <w:u w:val="none"/>
          <w:lang w:val="en-US" w:eastAsia="zh-CN" w:bidi="ar-SA"/>
        </w:rPr>
        <w:t xml:space="preserve">https://www.weforum.org/publications/ai-value-alignment-guiding-artificial-intelligence-towards-shared-human-goals/. </w:t>
      </w:r>
      <w:bookmarkEnd w:id="0"/>
    </w:p>
  </w:footnote>
  <w:footnote w:id="2">
    <w:p w14:paraId="51B63789">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highlight w:val="none"/>
          <w:lang w:val="en-US"/>
        </w:rPr>
      </w:pPr>
      <w:r>
        <w:rPr>
          <w:rStyle w:val="10"/>
          <w:rFonts w:hint="default" w:ascii="Times New Roman Regular" w:hAnsi="Times New Roman Regular" w:cs="Times New Roman Regular"/>
          <w:sz w:val="18"/>
          <w:szCs w:val="18"/>
          <w:highlight w:val="none"/>
        </w:rPr>
        <w:t>[</w:t>
      </w:r>
      <w:r>
        <w:rPr>
          <w:rStyle w:val="10"/>
          <w:rFonts w:hint="default" w:ascii="Times New Roman Regular" w:hAnsi="Times New Roman Regular" w:cs="Times New Roman Regular"/>
          <w:sz w:val="18"/>
          <w:szCs w:val="18"/>
          <w:highlight w:val="none"/>
        </w:rPr>
        <w:footnoteRef/>
      </w:r>
      <w:r>
        <w:rPr>
          <w:rStyle w:val="10"/>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r>
        <w:rPr>
          <w:rFonts w:hint="default" w:ascii="Times New Roman Regular" w:hAnsi="Times New Roman Regular" w:cs="Times New Roman Regular"/>
          <w:sz w:val="18"/>
          <w:szCs w:val="18"/>
          <w:highlight w:val="none"/>
          <w:lang w:val="en-US"/>
        </w:rPr>
        <w:t>T</w:t>
      </w:r>
      <w:r>
        <w:rPr>
          <w:rFonts w:hint="default" w:ascii="Times New Roman Regular" w:hAnsi="Times New Roman Regular" w:eastAsia="STIX Two Text" w:cs="Times New Roman Regular"/>
          <w:color w:val="000000"/>
          <w:kern w:val="0"/>
          <w:sz w:val="18"/>
          <w:szCs w:val="18"/>
          <w:lang w:val="en-US" w:eastAsia="zh-CN" w:bidi="ar"/>
        </w:rPr>
        <w:t>he Anti-Domestic Violence Law, 2016.</w:t>
      </w:r>
    </w:p>
  </w:footnote>
  <w:footnote w:id="3">
    <w:p w14:paraId="38ABD0B0">
      <w:pPr>
        <w:pStyle w:val="11"/>
        <w:keepNext w:val="0"/>
        <w:keepLines w:val="0"/>
        <w:pageBreakBefore w:val="0"/>
        <w:kinsoku/>
        <w:wordWrap/>
        <w:overflowPunct/>
        <w:topLinePunct w:val="0"/>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highlight w:val="none"/>
        </w:rPr>
      </w:pPr>
      <w:r>
        <w:rPr>
          <w:rStyle w:val="10"/>
          <w:rFonts w:hint="default" w:ascii="Times New Roman Regular" w:hAnsi="Times New Roman Regular" w:cs="Times New Roman Regular"/>
          <w:sz w:val="18"/>
          <w:szCs w:val="18"/>
          <w:highlight w:val="none"/>
        </w:rPr>
        <w:t>[</w:t>
      </w:r>
      <w:r>
        <w:rPr>
          <w:rStyle w:val="10"/>
          <w:rFonts w:hint="default" w:ascii="Times New Roman Regular" w:hAnsi="Times New Roman Regular" w:cs="Times New Roman Regular"/>
          <w:sz w:val="18"/>
          <w:szCs w:val="18"/>
          <w:highlight w:val="none"/>
        </w:rPr>
        <w:footnoteRef/>
      </w:r>
      <w:r>
        <w:rPr>
          <w:rStyle w:val="10"/>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r>
        <w:rPr>
          <w:rFonts w:hint="default" w:ascii="Times New Roman Regular" w:hAnsi="Times New Roman Regular" w:eastAsia="SimSun" w:cs="Times New Roman Regular"/>
          <w:i w:val="0"/>
          <w:iCs w:val="0"/>
          <w:caps w:val="0"/>
          <w:color w:val="222222"/>
          <w:spacing w:val="0"/>
          <w:kern w:val="0"/>
          <w:sz w:val="18"/>
          <w:szCs w:val="18"/>
          <w:highlight w:val="none"/>
          <w:shd w:val="clear" w:fill="FFFFFF"/>
          <w:lang w:val="en-US" w:eastAsia="zh-CN" w:bidi="ar"/>
        </w:rPr>
        <w:t>Sun, Y., Zappalà, A., Di Maso, E., Pompedda, F., Nyman, T. J., &amp; Santtila, P. (2025). Large language models (LLMs) as jurors: Assessing the potential of LLMs in legal contexts. </w:t>
      </w:r>
      <w:r>
        <w:rPr>
          <w:rFonts w:hint="default" w:ascii="Times New Roman Regular" w:hAnsi="Times New Roman Regular" w:eastAsia="SimSun" w:cs="Times New Roman Regular"/>
          <w:i/>
          <w:iCs/>
          <w:caps w:val="0"/>
          <w:color w:val="222222"/>
          <w:spacing w:val="0"/>
          <w:kern w:val="0"/>
          <w:sz w:val="18"/>
          <w:szCs w:val="18"/>
          <w:highlight w:val="none"/>
          <w:shd w:val="clear" w:fill="FFFFFF"/>
          <w:lang w:val="en-US" w:eastAsia="zh-CN" w:bidi="ar"/>
        </w:rPr>
        <w:t>Law and Human Behavior</w:t>
      </w:r>
      <w:r>
        <w:rPr>
          <w:rFonts w:hint="default" w:ascii="Times New Roman Regular" w:hAnsi="Times New Roman Regular" w:eastAsia="SimSun" w:cs="Times New Roman Regular"/>
          <w:i w:val="0"/>
          <w:iCs w:val="0"/>
          <w:caps w:val="0"/>
          <w:color w:val="222222"/>
          <w:spacing w:val="0"/>
          <w:kern w:val="0"/>
          <w:sz w:val="18"/>
          <w:szCs w:val="18"/>
          <w:highlight w:val="none"/>
          <w:shd w:val="clear" w:fill="FFFFFF"/>
          <w:lang w:val="en-US" w:eastAsia="zh-CN" w:bidi="ar"/>
        </w:rPr>
        <w:t>.</w:t>
      </w:r>
    </w:p>
  </w:footnote>
  <w:footnote w:id="4">
    <w:p w14:paraId="1B2B8ABA">
      <w:pPr>
        <w:pStyle w:val="11"/>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highlight w:val="none"/>
        </w:rPr>
      </w:pPr>
      <w:r>
        <w:rPr>
          <w:rStyle w:val="10"/>
          <w:rFonts w:hint="default" w:ascii="Times New Roman Regular" w:hAnsi="Times New Roman Regular" w:cs="Times New Roman Regular"/>
          <w:sz w:val="18"/>
          <w:szCs w:val="18"/>
          <w:highlight w:val="none"/>
        </w:rPr>
        <w:t>[</w:t>
      </w:r>
      <w:r>
        <w:rPr>
          <w:rStyle w:val="10"/>
          <w:rFonts w:hint="default" w:ascii="Times New Roman Regular" w:hAnsi="Times New Roman Regular" w:cs="Times New Roman Regular"/>
          <w:sz w:val="18"/>
          <w:szCs w:val="18"/>
          <w:highlight w:val="none"/>
        </w:rPr>
        <w:footnoteRef/>
      </w:r>
      <w:r>
        <w:rPr>
          <w:rStyle w:val="10"/>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bookmarkStart w:id="1" w:name="Huang"/>
      <w:r>
        <w:rPr>
          <w:rFonts w:hint="default" w:ascii="Times New Roman Regular" w:hAnsi="Times New Roman Regular" w:cs="Times New Roman Regular"/>
          <w:color w:val="auto"/>
          <w:sz w:val="18"/>
          <w:szCs w:val="18"/>
          <w:highlight w:val="none"/>
        </w:rPr>
        <w:t xml:space="preserve">Huang LT-L, Papyshev G, Wong JK (2025) </w:t>
      </w:r>
      <w:r>
        <w:rPr>
          <w:rFonts w:hint="default" w:ascii="Times New Roman Regular" w:hAnsi="Times New Roman Regular" w:cs="Times New Roman Regular"/>
          <w:color w:val="auto"/>
          <w:sz w:val="18"/>
          <w:szCs w:val="18"/>
          <w:highlight w:val="none"/>
          <w:lang w:val="en-US"/>
        </w:rPr>
        <w:t>Democratising</w:t>
      </w:r>
      <w:r>
        <w:rPr>
          <w:rFonts w:hint="default" w:ascii="Times New Roman Regular" w:hAnsi="Times New Roman Regular" w:cs="Times New Roman Regular"/>
          <w:color w:val="auto"/>
          <w:sz w:val="18"/>
          <w:szCs w:val="18"/>
          <w:highlight w:val="none"/>
        </w:rPr>
        <w:t xml:space="preserve"> value alignment: from authoritarian to democratic AI ethics. AI Ethics 5:11.</w:t>
      </w:r>
      <w:bookmarkEnd w:id="1"/>
    </w:p>
  </w:footnote>
  <w:footnote w:id="5">
    <w:p w14:paraId="45C8F639">
      <w:pPr>
        <w:pStyle w:val="11"/>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highlight w:val="none"/>
        </w:rPr>
      </w:pPr>
      <w:r>
        <w:rPr>
          <w:rStyle w:val="10"/>
          <w:rFonts w:hint="default" w:ascii="Times New Roman Regular" w:hAnsi="Times New Roman Regular" w:cs="Times New Roman Regular"/>
          <w:sz w:val="18"/>
          <w:szCs w:val="18"/>
          <w:highlight w:val="none"/>
        </w:rPr>
        <w:t>[</w:t>
      </w:r>
      <w:r>
        <w:rPr>
          <w:rStyle w:val="10"/>
          <w:rFonts w:hint="default" w:ascii="Times New Roman Regular" w:hAnsi="Times New Roman Regular" w:cs="Times New Roman Regular"/>
          <w:sz w:val="18"/>
          <w:szCs w:val="18"/>
          <w:highlight w:val="none"/>
        </w:rPr>
        <w:footnoteRef/>
      </w:r>
      <w:r>
        <w:rPr>
          <w:rStyle w:val="10"/>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bookmarkStart w:id="2" w:name="La24"/>
      <w:r>
        <w:rPr>
          <w:rFonts w:hint="default" w:ascii="Times New Roman Regular" w:hAnsi="Times New Roman Regular" w:cs="Times New Roman Regular"/>
          <w:color w:val="auto"/>
          <w:sz w:val="18"/>
          <w:szCs w:val="18"/>
          <w:highlight w:val="none"/>
        </w:rPr>
        <w:t>LaCroix T (2024) The linguistic dead zone of value-aligned agency, natural and artificial. Philosophical Studies 1–23.</w:t>
      </w:r>
      <w:bookmarkEnd w:id="2"/>
    </w:p>
  </w:footnote>
  <w:footnote w:id="6">
    <w:p w14:paraId="0065F2A8">
      <w:pPr>
        <w:pStyle w:val="11"/>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highlight w:val="none"/>
        </w:rPr>
      </w:pPr>
      <w:r>
        <w:rPr>
          <w:rStyle w:val="10"/>
          <w:rFonts w:hint="default" w:ascii="Times New Roman Regular" w:hAnsi="Times New Roman Regular" w:cs="Times New Roman Regular"/>
          <w:sz w:val="18"/>
          <w:szCs w:val="18"/>
          <w:highlight w:val="none"/>
        </w:rPr>
        <w:t>[</w:t>
      </w:r>
      <w:r>
        <w:rPr>
          <w:rStyle w:val="10"/>
          <w:rFonts w:hint="default" w:ascii="Times New Roman Regular" w:hAnsi="Times New Roman Regular" w:cs="Times New Roman Regular"/>
          <w:sz w:val="18"/>
          <w:szCs w:val="18"/>
          <w:highlight w:val="none"/>
        </w:rPr>
        <w:footnoteRef/>
      </w:r>
      <w:r>
        <w:rPr>
          <w:rStyle w:val="10"/>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bookmarkStart w:id="3" w:name="Gro"/>
      <w:r>
        <w:rPr>
          <w:rFonts w:hint="default" w:ascii="Times New Roman Regular" w:hAnsi="Times New Roman Regular" w:cs="Times New Roman Regular"/>
          <w:color w:val="auto"/>
          <w:sz w:val="18"/>
          <w:szCs w:val="18"/>
          <w:highlight w:val="none"/>
        </w:rPr>
        <w:t>Grosfeld E, Scheepers DT, Cuyvers A (2022) Value alignment and public perceived legitimacy of the European Union and the Court of Justice. Frontiers in Psychology 12.</w:t>
      </w:r>
      <w:bookmarkEnd w:id="3"/>
    </w:p>
  </w:footnote>
  <w:footnote w:id="7">
    <w:p w14:paraId="72145618">
      <w:pPr>
        <w:pStyle w:val="11"/>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highlight w:val="none"/>
          <w:lang w:val="en-US"/>
        </w:rPr>
      </w:pPr>
      <w:r>
        <w:rPr>
          <w:rStyle w:val="10"/>
          <w:rFonts w:hint="default" w:ascii="Times New Roman Regular" w:hAnsi="Times New Roman Regular" w:cs="Times New Roman Regular"/>
          <w:sz w:val="18"/>
          <w:szCs w:val="18"/>
          <w:highlight w:val="none"/>
        </w:rPr>
        <w:t>[</w:t>
      </w:r>
      <w:r>
        <w:rPr>
          <w:rStyle w:val="10"/>
          <w:rFonts w:hint="default" w:ascii="Times New Roman Regular" w:hAnsi="Times New Roman Regular" w:cs="Times New Roman Regular"/>
          <w:sz w:val="18"/>
          <w:szCs w:val="18"/>
          <w:highlight w:val="none"/>
        </w:rPr>
        <w:footnoteRef/>
      </w:r>
      <w:r>
        <w:rPr>
          <w:rStyle w:val="10"/>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r>
        <w:rPr>
          <w:rFonts w:hint="default" w:ascii="Times New Roman Regular" w:hAnsi="Times New Roman Regular" w:cs="Times New Roman Regular"/>
          <w:color w:val="auto"/>
          <w:sz w:val="18"/>
          <w:szCs w:val="18"/>
          <w:highlight w:val="none"/>
        </w:rPr>
        <w:t>Nay JJ (2023) A legal informatics approach to aligning AI with humans. NJTIP:383</w:t>
      </w:r>
      <w:r>
        <w:rPr>
          <w:rFonts w:hint="default" w:ascii="Times New Roman Regular" w:hAnsi="Times New Roman Regular" w:cs="Times New Roman Regular"/>
          <w:color w:val="auto"/>
          <w:sz w:val="18"/>
          <w:szCs w:val="18"/>
          <w:highlight w:val="none"/>
          <w:lang w:val="en-US"/>
        </w:rPr>
        <w:t xml:space="preserve">; </w:t>
      </w:r>
      <w:bookmarkStart w:id="4" w:name="J24"/>
      <w:r>
        <w:rPr>
          <w:rFonts w:hint="default" w:ascii="Times New Roman Regular" w:hAnsi="Times New Roman Regular" w:cs="Times New Roman Regular"/>
          <w:color w:val="auto"/>
          <w:sz w:val="18"/>
          <w:szCs w:val="18"/>
          <w:highlight w:val="none"/>
        </w:rPr>
        <w:t>Josifović S (2024) Legal and administrative frameworks as foundations for AI alignment with human volition. AI and Ethics. Springer Science and Business Media LLC.</w:t>
      </w:r>
      <w:bookmarkEnd w:id="4"/>
    </w:p>
  </w:footnote>
  <w:footnote w:id="8">
    <w:p w14:paraId="62E239F8">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ind w:left="0" w:leftChars="0" w:firstLine="0" w:firstLineChars="0"/>
        <w:jc w:val="left"/>
        <w:textAlignment w:val="auto"/>
        <w:rPr>
          <w:rFonts w:hint="default" w:ascii="Times New Roman Regular" w:hAnsi="Times New Roman Regular" w:cs="Times New Roman Regular"/>
          <w:sz w:val="18"/>
          <w:szCs w:val="18"/>
          <w:highlight w:val="none"/>
        </w:rPr>
      </w:pPr>
      <w:r>
        <w:rPr>
          <w:rStyle w:val="10"/>
          <w:rFonts w:hint="default" w:ascii="Times New Roman Regular" w:hAnsi="Times New Roman Regular" w:cs="Times New Roman Regular"/>
          <w:sz w:val="18"/>
          <w:szCs w:val="18"/>
          <w:highlight w:val="none"/>
        </w:rPr>
        <w:t>[</w:t>
      </w:r>
      <w:r>
        <w:rPr>
          <w:rStyle w:val="10"/>
          <w:rFonts w:hint="default" w:ascii="Times New Roman Regular" w:hAnsi="Times New Roman Regular" w:cs="Times New Roman Regular"/>
          <w:sz w:val="18"/>
          <w:szCs w:val="18"/>
          <w:highlight w:val="none"/>
        </w:rPr>
        <w:footnoteRef/>
      </w:r>
      <w:r>
        <w:rPr>
          <w:rStyle w:val="10"/>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r>
        <w:rPr>
          <w:rFonts w:hint="default" w:ascii="Times New Roman Regular" w:hAnsi="Times New Roman Regular" w:eastAsia="MyriadPro-SemiCn" w:cs="Times New Roman Regular"/>
          <w:color w:val="000000"/>
          <w:kern w:val="0"/>
          <w:sz w:val="18"/>
          <w:szCs w:val="18"/>
          <w:highlight w:val="none"/>
          <w:lang w:val="en-US" w:eastAsia="zh-CN" w:bidi="ar"/>
        </w:rPr>
        <w:t xml:space="preserve">Michael Livermore, ‘Rule by rules’ in Ryan Whalen (ed), </w:t>
      </w:r>
      <w:r>
        <w:rPr>
          <w:rFonts w:hint="default" w:ascii="Times New Roman Regular" w:hAnsi="Times New Roman Regular" w:eastAsia="MyriadPro-SemiCnIt" w:cs="Times New Roman Regular"/>
          <w:i/>
          <w:iCs/>
          <w:color w:val="000000"/>
          <w:kern w:val="0"/>
          <w:sz w:val="18"/>
          <w:szCs w:val="18"/>
          <w:highlight w:val="none"/>
          <w:lang w:val="en-US" w:eastAsia="zh-CN" w:bidi="ar"/>
        </w:rPr>
        <w:t xml:space="preserve">Computational Legal Studies: The Promise and Challenge of Data Driven Research </w:t>
      </w:r>
      <w:r>
        <w:rPr>
          <w:rFonts w:hint="default" w:ascii="Times New Roman Regular" w:hAnsi="Times New Roman Regular" w:eastAsia="MyriadPro-SemiCn" w:cs="Times New Roman Regular"/>
          <w:color w:val="000000"/>
          <w:kern w:val="0"/>
          <w:sz w:val="18"/>
          <w:szCs w:val="18"/>
          <w:highlight w:val="none"/>
          <w:lang w:val="en-US" w:eastAsia="zh-CN" w:bidi="ar"/>
        </w:rPr>
        <w:t xml:space="preserve">(Edward Elgar, 2020) 239. See also Phillip Sales, ‘Algorithms, Artificial Intelligence and the Law, Judicial Review’ (2020) 25(1) 46, 50; Richard Re and Alicia Solow-Niederman, ‘Developing Artificially Intelligent Justice’ (2019) 22(2) </w:t>
      </w:r>
      <w:r>
        <w:rPr>
          <w:rFonts w:hint="default" w:ascii="Times New Roman Regular" w:hAnsi="Times New Roman Regular" w:eastAsia="MyriadPro-SemiCnIt" w:cs="Times New Roman Regular"/>
          <w:i/>
          <w:iCs/>
          <w:color w:val="000000"/>
          <w:kern w:val="0"/>
          <w:sz w:val="18"/>
          <w:szCs w:val="18"/>
          <w:highlight w:val="none"/>
          <w:lang w:val="en-US" w:eastAsia="zh-CN" w:bidi="ar"/>
        </w:rPr>
        <w:t xml:space="preserve">Stanford Technology Law Review </w:t>
      </w:r>
      <w:r>
        <w:rPr>
          <w:rFonts w:hint="default" w:ascii="Times New Roman Regular" w:hAnsi="Times New Roman Regular" w:eastAsia="MyriadPro-SemiCn" w:cs="Times New Roman Regular"/>
          <w:color w:val="000000"/>
          <w:kern w:val="0"/>
          <w:sz w:val="18"/>
          <w:szCs w:val="18"/>
          <w:highlight w:val="none"/>
          <w:lang w:val="en-US" w:eastAsia="zh-CN" w:bidi="ar"/>
        </w:rPr>
        <w:t>242.</w:t>
      </w:r>
    </w:p>
  </w:footnote>
  <w:footnote w:id="9">
    <w:p w14:paraId="4A60EDF2">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ind w:left="0" w:leftChars="0" w:firstLine="0" w:firstLineChars="0"/>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MyriadPro-SemiCn" w:cs="Times New Roman Regular"/>
          <w:color w:val="000000"/>
          <w:kern w:val="0"/>
          <w:sz w:val="18"/>
          <w:szCs w:val="18"/>
          <w:lang w:val="en-US" w:eastAsia="zh-CN" w:bidi="ar"/>
        </w:rPr>
        <w:t xml:space="preserve">Cristina Criddle, ‘Law Firms Embrace the Efficiencies of Artificial Intelligence’ </w:t>
      </w:r>
      <w:r>
        <w:rPr>
          <w:rFonts w:hint="default" w:ascii="Times New Roman Regular" w:hAnsi="Times New Roman Regular" w:eastAsia="MyriadPro-SemiCnIt" w:cs="Times New Roman Regular"/>
          <w:i/>
          <w:iCs/>
          <w:color w:val="000000"/>
          <w:kern w:val="0"/>
          <w:sz w:val="18"/>
          <w:szCs w:val="18"/>
          <w:lang w:val="en-US" w:eastAsia="zh-CN" w:bidi="ar"/>
        </w:rPr>
        <w:t xml:space="preserve">Financial Times </w:t>
      </w:r>
      <w:r>
        <w:rPr>
          <w:rFonts w:hint="default" w:ascii="Times New Roman Regular" w:hAnsi="Times New Roman Regular" w:eastAsia="MyriadPro-SemiCn" w:cs="Times New Roman Regular"/>
          <w:color w:val="000000"/>
          <w:kern w:val="0"/>
          <w:sz w:val="18"/>
          <w:szCs w:val="18"/>
          <w:lang w:val="en-US" w:eastAsia="zh-CN" w:bidi="ar"/>
        </w:rPr>
        <w:t xml:space="preserve">(London 4 May 2024) </w:t>
      </w:r>
    </w:p>
    <w:p w14:paraId="057EFEFE">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ind w:left="0" w:leftChars="0" w:firstLine="0" w:firstLineChars="0"/>
        <w:jc w:val="left"/>
        <w:textAlignment w:val="auto"/>
        <w:rPr>
          <w:rFonts w:hint="default" w:ascii="Times New Roman Regular" w:hAnsi="Times New Roman Regular" w:cs="Times New Roman Regular"/>
          <w:sz w:val="18"/>
          <w:szCs w:val="18"/>
        </w:rPr>
      </w:pPr>
      <w:r>
        <w:rPr>
          <w:rFonts w:hint="default" w:ascii="Times New Roman Regular" w:hAnsi="Times New Roman Regular" w:eastAsia="MyriadPro-SemiCn" w:cs="Times New Roman Regular"/>
          <w:color w:val="000000"/>
          <w:kern w:val="0"/>
          <w:sz w:val="18"/>
          <w:szCs w:val="18"/>
          <w:lang w:val="en-US" w:eastAsia="zh-CN" w:bidi="ar"/>
        </w:rPr>
        <w:t>&lt;</w:t>
      </w:r>
      <w:r>
        <w:rPr>
          <w:rFonts w:hint="default" w:ascii="Times New Roman Regular" w:hAnsi="Times New Roman Regular" w:eastAsia="MyriadPro-SemiCn" w:cs="Times New Roman Regular"/>
          <w:color w:val="010181"/>
          <w:kern w:val="0"/>
          <w:sz w:val="18"/>
          <w:szCs w:val="18"/>
          <w:lang w:val="en-US" w:eastAsia="zh-CN" w:bidi="ar"/>
        </w:rPr>
        <w:t>https://www.ft.com/content/9b1b1c5d-f382-484f-961a-b45ae0526675</w:t>
      </w:r>
      <w:r>
        <w:rPr>
          <w:rFonts w:hint="default" w:ascii="Times New Roman Regular" w:hAnsi="Times New Roman Regular" w:eastAsia="MyriadPro-SemiCn" w:cs="Times New Roman Regular"/>
          <w:color w:val="000000"/>
          <w:kern w:val="0"/>
          <w:sz w:val="18"/>
          <w:szCs w:val="18"/>
          <w:lang w:val="en-US" w:eastAsia="zh-CN" w:bidi="ar"/>
        </w:rPr>
        <w:t>&gt;.</w:t>
      </w:r>
    </w:p>
  </w:footnote>
  <w:footnote w:id="10">
    <w:p w14:paraId="2478D425">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ind w:left="0" w:leftChars="0" w:firstLine="0" w:firstLineChars="0"/>
        <w:jc w:val="left"/>
        <w:textAlignment w:val="auto"/>
        <w:rPr>
          <w:rFonts w:hint="default" w:ascii="Times New Roman Regular" w:hAnsi="Times New Roman Regular" w:cs="Times New Roman Regular"/>
          <w:sz w:val="18"/>
          <w:szCs w:val="18"/>
          <w:highlight w:val="none"/>
        </w:rPr>
      </w:pPr>
      <w:r>
        <w:rPr>
          <w:rStyle w:val="10"/>
          <w:rFonts w:hint="default" w:ascii="Times New Roman Regular" w:hAnsi="Times New Roman Regular" w:cs="Times New Roman Regular"/>
          <w:sz w:val="18"/>
          <w:szCs w:val="18"/>
          <w:highlight w:val="none"/>
        </w:rPr>
        <w:t>[</w:t>
      </w:r>
      <w:r>
        <w:rPr>
          <w:rStyle w:val="10"/>
          <w:rFonts w:hint="default" w:ascii="Times New Roman Regular" w:hAnsi="Times New Roman Regular" w:cs="Times New Roman Regular"/>
          <w:sz w:val="18"/>
          <w:szCs w:val="18"/>
          <w:highlight w:val="none"/>
        </w:rPr>
        <w:footnoteRef/>
      </w:r>
      <w:r>
        <w:rPr>
          <w:rStyle w:val="10"/>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r>
        <w:rPr>
          <w:rFonts w:hint="default" w:ascii="Times New Roman Regular" w:hAnsi="Times New Roman Regular" w:eastAsia="Helvetica Neue" w:cs="Times New Roman Regular"/>
          <w:i w:val="0"/>
          <w:iCs w:val="0"/>
          <w:caps w:val="0"/>
          <w:color w:val="000000"/>
          <w:spacing w:val="0"/>
          <w:kern w:val="0"/>
          <w:sz w:val="18"/>
          <w:szCs w:val="18"/>
          <w:highlight w:val="none"/>
          <w:u w:val="none"/>
          <w:lang w:val="en-US" w:eastAsia="zh-CN" w:bidi="ar"/>
        </w:rPr>
        <w:t>Flanagan, B., Almeida, G., Chen, D., &amp; Gitahi, A. (2025). The rule of law or the rule of robots? Nationally representative survey evidence from Kenya. Information &amp; Communications Technology Law, 1-18</w:t>
      </w:r>
    </w:p>
  </w:footnote>
  <w:footnote w:id="11">
    <w:p w14:paraId="2CC8ED7C">
      <w:pPr>
        <w:pStyle w:val="11"/>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color w:val="auto"/>
          <w:sz w:val="18"/>
          <w:szCs w:val="18"/>
          <w:highlight w:val="none"/>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bookmarkStart w:id="5" w:name="zhang"/>
      <w:r>
        <w:rPr>
          <w:rFonts w:hint="default" w:ascii="Times New Roman Regular" w:hAnsi="Times New Roman Regular" w:cs="Times New Roman Regular"/>
          <w:color w:val="auto"/>
          <w:sz w:val="18"/>
          <w:szCs w:val="18"/>
          <w:highlight w:val="none"/>
        </w:rPr>
        <w:t>Zhang Z, Zhang C, Liu N, Qi S, Rong Z, Zhu SC, Cui S, Yang Y (2024) Heterogeneous value alignment evaluation for large language models. Association for the Advancement of Artificial Intelligence.</w:t>
      </w:r>
    </w:p>
    <w:bookmarkEnd w:id="5"/>
    <w:p w14:paraId="5EB01C5B">
      <w:pPr>
        <w:pStyle w:val="11"/>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color w:val="auto"/>
          <w:sz w:val="18"/>
          <w:szCs w:val="18"/>
          <w:highlight w:val="none"/>
        </w:rPr>
      </w:pPr>
      <w:r>
        <w:rPr>
          <w:rFonts w:hint="default" w:ascii="Times New Roman Regular" w:hAnsi="Times New Roman Regular" w:cs="Times New Roman Regular"/>
          <w:color w:val="auto"/>
          <w:sz w:val="18"/>
          <w:szCs w:val="18"/>
          <w:highlight w:val="none"/>
        </w:rPr>
        <w:t>Grosfeld E, Scheepers DT, Cuyvers A (2022) Value alignment and public perceived legitimacy of the European Union and the Court of Justice. Frontiers in Psychology 12.</w:t>
      </w:r>
    </w:p>
    <w:p w14:paraId="27CEBA5B">
      <w:pPr>
        <w:pStyle w:val="11"/>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color w:val="auto"/>
          <w:sz w:val="18"/>
          <w:szCs w:val="18"/>
          <w:highlight w:val="none"/>
        </w:rPr>
      </w:pPr>
      <w:bookmarkStart w:id="6" w:name="Kh"/>
      <w:r>
        <w:rPr>
          <w:rFonts w:hint="default" w:ascii="Times New Roman Regular" w:hAnsi="Times New Roman Regular" w:cs="Times New Roman Regular"/>
          <w:color w:val="auto"/>
          <w:sz w:val="18"/>
          <w:szCs w:val="18"/>
          <w:highlight w:val="none"/>
        </w:rPr>
        <w:t>Khamassi M, Nahon M, Chatila R (2024) Strong and weak alignment of large language models with human values. Scientific Reports 14:19399.</w:t>
      </w:r>
    </w:p>
    <w:bookmarkEnd w:id="6"/>
    <w:p w14:paraId="37AC4AF1">
      <w:pPr>
        <w:pStyle w:val="11"/>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rPr>
      </w:pPr>
      <w:bookmarkStart w:id="7" w:name="wang24"/>
      <w:r>
        <w:rPr>
          <w:rFonts w:hint="default" w:ascii="Times New Roman Regular" w:hAnsi="Times New Roman Regular" w:cs="Times New Roman Regular"/>
          <w:color w:val="auto"/>
          <w:sz w:val="18"/>
          <w:szCs w:val="18"/>
          <w:highlight w:val="none"/>
        </w:rPr>
        <w:t>Wang X, Duan S, Yi X, Yao J, Zhou S, Wei Z, Zhang P, Xu D, Sun M, Xie X (2024) On the essence and prospect: an investigation of alignment approaches for big models. In: Thirty-Third International Joint Conference on Artificial Intelligence (IJCAI-24).</w:t>
      </w:r>
      <w:bookmarkEnd w:id="7"/>
    </w:p>
  </w:footnote>
  <w:footnote w:id="12">
    <w:p w14:paraId="6EFB797F">
      <w:pPr>
        <w:pStyle w:val="11"/>
        <w:keepNext w:val="0"/>
        <w:keepLines w:val="0"/>
        <w:pageBreakBefore w:val="0"/>
        <w:kinsoku/>
        <w:wordWrap/>
        <w:overflowPunct/>
        <w:topLinePunct w:val="0"/>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i w:val="0"/>
          <w:iCs w:val="0"/>
          <w:caps w:val="0"/>
          <w:color w:val="222222"/>
          <w:spacing w:val="0"/>
          <w:kern w:val="0"/>
          <w:sz w:val="18"/>
          <w:szCs w:val="18"/>
          <w:highlight w:val="none"/>
          <w:shd w:val="clear" w:fill="FFFFFF"/>
          <w:lang w:val="en-US" w:eastAsia="zh-CN" w:bidi="ar"/>
        </w:rPr>
        <w:t>Sun, Y., Zappalà, A., Di Maso, E., Pompedda, F., Nyman, T. J., &amp; Santtila, P. (2025). Large language models (LLMs) as jurors: Assessing the potential of LLMs in legal contexts. </w:t>
      </w:r>
      <w:r>
        <w:rPr>
          <w:rFonts w:hint="default" w:ascii="Times New Roman Regular" w:hAnsi="Times New Roman Regular" w:eastAsia="SimSun" w:cs="Times New Roman Regular"/>
          <w:i/>
          <w:iCs/>
          <w:caps w:val="0"/>
          <w:color w:val="222222"/>
          <w:spacing w:val="0"/>
          <w:kern w:val="0"/>
          <w:sz w:val="18"/>
          <w:szCs w:val="18"/>
          <w:highlight w:val="none"/>
          <w:shd w:val="clear" w:fill="FFFFFF"/>
          <w:lang w:val="en-US" w:eastAsia="zh-CN" w:bidi="ar"/>
        </w:rPr>
        <w:t>Law and Human Behavior</w:t>
      </w:r>
      <w:r>
        <w:rPr>
          <w:rFonts w:hint="default" w:ascii="Times New Roman Regular" w:hAnsi="Times New Roman Regular" w:eastAsia="SimSun" w:cs="Times New Roman Regular"/>
          <w:i w:val="0"/>
          <w:iCs w:val="0"/>
          <w:caps w:val="0"/>
          <w:color w:val="222222"/>
          <w:spacing w:val="0"/>
          <w:kern w:val="0"/>
          <w:sz w:val="18"/>
          <w:szCs w:val="18"/>
          <w:highlight w:val="none"/>
          <w:shd w:val="clear" w:fill="FFFFFF"/>
          <w:lang w:val="en-US" w:eastAsia="zh-CN" w:bidi="ar"/>
        </w:rPr>
        <w:t>.</w:t>
      </w:r>
    </w:p>
  </w:footnote>
  <w:footnote w:id="13">
    <w:p w14:paraId="6B20AB1B">
      <w:pPr>
        <w:pStyle w:val="11"/>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bookmarkStart w:id="8" w:name="Pang"/>
      <w:r>
        <w:rPr>
          <w:rFonts w:hint="default" w:ascii="Times New Roman Regular" w:hAnsi="Times New Roman Regular" w:cs="Times New Roman Regular"/>
          <w:color w:val="auto"/>
          <w:sz w:val="18"/>
          <w:szCs w:val="18"/>
          <w:highlight w:val="none"/>
        </w:rPr>
        <w:t>Pang X, et al. (2024) Self-alignment of large language models via monopolylogue-based social scene simulation. In: Proceedings of the 41st International Conference on Machine Learning (ICML, Vienna, Austria, 2024). PMLR 235.</w:t>
      </w:r>
      <w:bookmarkEnd w:id="8"/>
    </w:p>
  </w:footnote>
  <w:footnote w:id="14">
    <w:p w14:paraId="443B6952">
      <w:pPr>
        <w:pStyle w:val="11"/>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bookmarkStart w:id="9" w:name="feng"/>
      <w:r>
        <w:rPr>
          <w:rFonts w:hint="default" w:ascii="Times New Roman Regular" w:hAnsi="Times New Roman Regular" w:cs="Times New Roman Regular"/>
          <w:color w:val="auto"/>
          <w:sz w:val="18"/>
          <w:szCs w:val="18"/>
          <w:highlight w:val="none"/>
        </w:rPr>
        <w:t xml:space="preserve">Feng KJ, Chen QZ, Cheong I, Xia K, Zhang AX (2023) Case repositories: towards case-based reasoning for AI alignment. </w:t>
      </w:r>
      <w:r>
        <w:rPr>
          <w:rStyle w:val="13"/>
          <w:rFonts w:hint="default" w:ascii="Times New Roman Regular" w:hAnsi="Times New Roman Regular" w:cs="Times New Roman Regular" w:eastAsiaTheme="minorEastAsia"/>
          <w:kern w:val="2"/>
          <w:sz w:val="18"/>
          <w:szCs w:val="18"/>
          <w:highlight w:val="none"/>
          <w:u w:val="none"/>
          <w:lang w:val="en-US" w:eastAsia="zh-CN" w:bidi="ar-SA"/>
        </w:rPr>
        <w:t>arXiv preprint arXiv:2311.10934.</w:t>
      </w:r>
      <w:bookmarkEnd w:id="9"/>
    </w:p>
  </w:footnote>
  <w:footnote w:id="15">
    <w:p w14:paraId="0E3A9537">
      <w:pPr>
        <w:pStyle w:val="11"/>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cs="Times New Roman Regular"/>
          <w:color w:val="auto"/>
          <w:sz w:val="18"/>
          <w:szCs w:val="18"/>
          <w:highlight w:val="none"/>
        </w:rPr>
        <w:t>LaCroix T (2024) The linguistic dead zone of value-aligned agency, natural and artificial. Philosophical Studies 1–23.</w:t>
      </w:r>
    </w:p>
  </w:footnote>
  <w:footnote w:id="16">
    <w:p w14:paraId="322DD8C9">
      <w:pPr>
        <w:keepNext w:val="0"/>
        <w:keepLines w:val="0"/>
        <w:pageBreakBefore w:val="0"/>
        <w:widowControl/>
        <w:suppressLineNumbers w:val="0"/>
        <w:kinsoku/>
        <w:wordWrap/>
        <w:overflowPunct/>
        <w:topLinePunct w:val="0"/>
        <w:bidi w:val="0"/>
        <w:adjustRightInd w:val="0"/>
        <w:snapToGrid w:val="0"/>
        <w:spacing w:beforeAutospacing="0" w:after="0" w:afterAutospacing="0" w:line="240" w:lineRule="exact"/>
        <w:ind w:left="0" w:leftChars="0" w:firstLine="0" w:firstLineChars="0"/>
        <w:jc w:val="left"/>
        <w:textAlignment w:val="auto"/>
        <w:rPr>
          <w:rFonts w:hint="default" w:ascii="Times New Roman Regular" w:hAnsi="Times New Roman Regular" w:cs="Times New Roman Regular"/>
          <w:sz w:val="18"/>
          <w:szCs w:val="18"/>
          <w:lang w:val="en-US"/>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GraphikNaturel-Regular" w:cs="Times New Roman Regular"/>
          <w:color w:val="000000"/>
          <w:kern w:val="0"/>
          <w:sz w:val="18"/>
          <w:szCs w:val="18"/>
          <w:lang w:val="en-US" w:eastAsia="zh-CN" w:bidi="ar"/>
        </w:rPr>
        <w:t xml:space="preserve">Sharma, A., Lin, I. W., Miner, A. S., Atkins, D. C. &amp; Althoff, T. Human–AI collaboration enables more empathic conversations in text-based peer-to-peer mental health support. </w:t>
      </w:r>
      <w:r>
        <w:rPr>
          <w:rFonts w:hint="default" w:ascii="Times New Roman Regular" w:hAnsi="Times New Roman Regular" w:eastAsia="GraphikNaturel-RegularItalic4" w:cs="Times New Roman Regular"/>
          <w:i/>
          <w:iCs/>
          <w:color w:val="000000"/>
          <w:kern w:val="0"/>
          <w:sz w:val="18"/>
          <w:szCs w:val="18"/>
          <w:lang w:val="en-US" w:eastAsia="zh-CN" w:bidi="ar"/>
        </w:rPr>
        <w:t xml:space="preserve">Nat. Mach. Intell. </w:t>
      </w:r>
      <w:r>
        <w:rPr>
          <w:rFonts w:hint="default" w:ascii="Times New Roman Regular" w:hAnsi="Times New Roman Regular" w:eastAsia="GraphikNaturel-Semibold" w:cs="Times New Roman Regular"/>
          <w:b/>
          <w:bCs/>
          <w:color w:val="000000"/>
          <w:kern w:val="0"/>
          <w:sz w:val="18"/>
          <w:szCs w:val="18"/>
          <w:lang w:val="en-US" w:eastAsia="zh-CN" w:bidi="ar"/>
        </w:rPr>
        <w:t>5</w:t>
      </w:r>
      <w:r>
        <w:rPr>
          <w:rFonts w:hint="default" w:ascii="Times New Roman Regular" w:hAnsi="Times New Roman Regular" w:eastAsia="GraphikNaturel-Regular" w:cs="Times New Roman Regular"/>
          <w:color w:val="000000"/>
          <w:kern w:val="0"/>
          <w:sz w:val="18"/>
          <w:szCs w:val="18"/>
          <w:lang w:val="en-US" w:eastAsia="zh-CN" w:bidi="ar"/>
        </w:rPr>
        <w:t xml:space="preserve">, 46–57 (2023); Lin, I. et al. IMBUE: improving interpersonal effectiveness through simulation and just-in-time feedback with human-language model interaction. In </w:t>
      </w:r>
      <w:r>
        <w:rPr>
          <w:rFonts w:hint="default" w:ascii="Times New Roman Regular" w:hAnsi="Times New Roman Regular" w:eastAsia="GraphikNaturel-RegularItalic4" w:cs="Times New Roman Regular"/>
          <w:i/>
          <w:iCs/>
          <w:color w:val="000000"/>
          <w:kern w:val="0"/>
          <w:sz w:val="18"/>
          <w:szCs w:val="18"/>
          <w:lang w:val="en-US" w:eastAsia="zh-CN" w:bidi="ar"/>
        </w:rPr>
        <w:t>Proc. 62nd Annual Meeting of the Association for Computational Linguistics</w:t>
      </w:r>
      <w:r>
        <w:rPr>
          <w:rFonts w:hint="default" w:ascii="Times New Roman Regular" w:hAnsi="Times New Roman Regular" w:eastAsia="GraphikNaturel-Regular" w:cs="Times New Roman Regular"/>
          <w:color w:val="000000"/>
          <w:kern w:val="0"/>
          <w:sz w:val="18"/>
          <w:szCs w:val="18"/>
          <w:lang w:val="en-US" w:eastAsia="zh-CN" w:bidi="ar"/>
        </w:rPr>
        <w:t xml:space="preserve"> Vol. 1 (eds Ku, L.-W. et al.) 810–840 (ACL, 2024). </w:t>
      </w:r>
      <w:r>
        <w:rPr>
          <w:rFonts w:hint="default" w:ascii="Times New Roman Regular" w:hAnsi="Times New Roman Regular" w:eastAsia="GraphikNaturel-Regular" w:cs="Times New Roman Regular"/>
          <w:color w:val="0068A5"/>
          <w:kern w:val="0"/>
          <w:sz w:val="18"/>
          <w:szCs w:val="18"/>
          <w:lang w:val="en-US" w:eastAsia="zh-CN" w:bidi="ar"/>
        </w:rPr>
        <w:t>https://doi.org/10.18653/v1/2024.acl-long.47.</w:t>
      </w:r>
    </w:p>
  </w:footnote>
  <w:footnote w:id="17">
    <w:p w14:paraId="7A205C99">
      <w:pPr>
        <w:pStyle w:val="11"/>
        <w:keepNext w:val="0"/>
        <w:keepLines w:val="0"/>
        <w:pageBreakBefore w:val="0"/>
        <w:kinsoku/>
        <w:wordWrap/>
        <w:overflowPunct/>
        <w:topLinePunct w:val="0"/>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GraphikNaturel-Regular" w:cs="Times New Roman Regular"/>
          <w:color w:val="000000"/>
          <w:kern w:val="0"/>
          <w:sz w:val="18"/>
          <w:szCs w:val="18"/>
          <w:lang w:val="en-US" w:eastAsia="zh-CN" w:bidi="ar"/>
        </w:rPr>
        <w:t xml:space="preserve">Maples, B., Cerit, M., Vishwanath, A. &amp; Pea, R. Loneliness and suicide mitigation for students using GPT3-enabled chatbots. </w:t>
      </w:r>
      <w:r>
        <w:rPr>
          <w:rFonts w:hint="default" w:ascii="Times New Roman Regular" w:hAnsi="Times New Roman Regular" w:eastAsia="GraphikNaturel-RegularItalic4" w:cs="Times New Roman Regular"/>
          <w:i/>
          <w:iCs/>
          <w:color w:val="000000"/>
          <w:kern w:val="0"/>
          <w:sz w:val="18"/>
          <w:szCs w:val="18"/>
          <w:lang w:val="en-US" w:eastAsia="zh-CN" w:bidi="ar"/>
        </w:rPr>
        <w:t xml:space="preserve">npj Ment. Health Res. </w:t>
      </w:r>
      <w:r>
        <w:rPr>
          <w:rFonts w:hint="default" w:ascii="Times New Roman Regular" w:hAnsi="Times New Roman Regular" w:eastAsia="GraphikNaturel-Semibold" w:cs="Times New Roman Regular"/>
          <w:b/>
          <w:bCs/>
          <w:color w:val="000000"/>
          <w:kern w:val="0"/>
          <w:sz w:val="18"/>
          <w:szCs w:val="18"/>
          <w:lang w:val="en-US" w:eastAsia="zh-CN" w:bidi="ar"/>
        </w:rPr>
        <w:t>3</w:t>
      </w:r>
      <w:r>
        <w:rPr>
          <w:rFonts w:hint="default" w:ascii="Times New Roman Regular" w:hAnsi="Times New Roman Regular" w:eastAsia="GraphikNaturel-Regular" w:cs="Times New Roman Regular"/>
          <w:color w:val="000000"/>
          <w:kern w:val="0"/>
          <w:sz w:val="18"/>
          <w:szCs w:val="18"/>
          <w:lang w:val="en-US" w:eastAsia="zh-CN" w:bidi="ar"/>
        </w:rPr>
        <w:t>, 4 (2024).</w:t>
      </w:r>
    </w:p>
  </w:footnote>
  <w:footnote w:id="18">
    <w:p w14:paraId="00645A84">
      <w:pPr>
        <w:keepNext w:val="0"/>
        <w:keepLines w:val="0"/>
        <w:pageBreakBefore w:val="0"/>
        <w:widowControl/>
        <w:suppressLineNumbers w:val="0"/>
        <w:kinsoku/>
        <w:wordWrap/>
        <w:overflowPunct/>
        <w:topLinePunct w:val="0"/>
        <w:bidi w:val="0"/>
        <w:adjustRightInd w:val="0"/>
        <w:snapToGrid w:val="0"/>
        <w:spacing w:beforeAutospacing="0" w:after="0" w:afterAutospacing="0" w:line="240" w:lineRule="exact"/>
        <w:ind w:left="0" w:leftChars="0" w:firstLine="0" w:firstLineChars="0"/>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GraphikNaturel-Regular" w:cs="Times New Roman Regular"/>
          <w:color w:val="000000"/>
          <w:kern w:val="0"/>
          <w:sz w:val="18"/>
          <w:szCs w:val="18"/>
          <w:lang w:val="en-US" w:eastAsia="zh-CN" w:bidi="ar"/>
        </w:rPr>
        <w:t xml:space="preserve">Zaki, J. &amp; Ochsner, K. N. The neuroscience of empathy: progress, pitfalls and promise. </w:t>
      </w:r>
      <w:r>
        <w:rPr>
          <w:rFonts w:hint="default" w:ascii="Times New Roman Regular" w:hAnsi="Times New Roman Regular" w:eastAsia="GraphikNaturel-RegularItalic4" w:cs="Times New Roman Regular"/>
          <w:i/>
          <w:iCs/>
          <w:color w:val="000000"/>
          <w:kern w:val="0"/>
          <w:sz w:val="18"/>
          <w:szCs w:val="18"/>
          <w:lang w:val="en-US" w:eastAsia="zh-CN" w:bidi="ar"/>
        </w:rPr>
        <w:t xml:space="preserve">Nat. Neurosci. </w:t>
      </w:r>
      <w:r>
        <w:rPr>
          <w:rFonts w:hint="default" w:ascii="Times New Roman Regular" w:hAnsi="Times New Roman Regular" w:eastAsia="GraphikNaturel-Semibold" w:cs="Times New Roman Regular"/>
          <w:b/>
          <w:bCs/>
          <w:color w:val="000000"/>
          <w:kern w:val="0"/>
          <w:sz w:val="18"/>
          <w:szCs w:val="18"/>
          <w:lang w:val="en-US" w:eastAsia="zh-CN" w:bidi="ar"/>
        </w:rPr>
        <w:t>15</w:t>
      </w:r>
      <w:r>
        <w:rPr>
          <w:rFonts w:hint="default" w:ascii="Times New Roman Regular" w:hAnsi="Times New Roman Regular" w:eastAsia="GraphikNaturel-Regular" w:cs="Times New Roman Regular"/>
          <w:color w:val="000000"/>
          <w:kern w:val="0"/>
          <w:sz w:val="18"/>
          <w:szCs w:val="18"/>
          <w:lang w:val="en-US" w:eastAsia="zh-CN" w:bidi="ar"/>
        </w:rPr>
        <w:t>, 675–680 (2012).</w:t>
      </w:r>
    </w:p>
  </w:footnote>
  <w:footnote w:id="19">
    <w:p w14:paraId="22948E35">
      <w:pPr>
        <w:keepNext w:val="0"/>
        <w:keepLines w:val="0"/>
        <w:pageBreakBefore w:val="0"/>
        <w:widowControl/>
        <w:suppressLineNumbers w:val="0"/>
        <w:kinsoku/>
        <w:wordWrap/>
        <w:overflowPunct/>
        <w:topLinePunct w:val="0"/>
        <w:bidi w:val="0"/>
        <w:adjustRightInd w:val="0"/>
        <w:snapToGrid w:val="0"/>
        <w:spacing w:beforeAutospacing="0" w:after="0" w:afterAutospacing="0" w:line="240" w:lineRule="exact"/>
        <w:ind w:left="0" w:leftChars="0" w:firstLine="0" w:firstLineChars="0"/>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GraphikNaturel-Regular" w:cs="Times New Roman Regular"/>
          <w:color w:val="000000"/>
          <w:kern w:val="0"/>
          <w:sz w:val="18"/>
          <w:szCs w:val="18"/>
          <w:lang w:val="en-US" w:eastAsia="zh-CN" w:bidi="ar"/>
        </w:rPr>
        <w:t xml:space="preserve">Montemayor, C., Halpern, J. &amp; Fairweather, A. In principle obstacles for empathic AI: why we can’t replace human empathy in healthcare. </w:t>
      </w:r>
      <w:r>
        <w:rPr>
          <w:rFonts w:hint="default" w:ascii="Times New Roman Regular" w:hAnsi="Times New Roman Regular" w:eastAsia="GraphikNaturel-RegularItalic4" w:cs="Times New Roman Regular"/>
          <w:i/>
          <w:iCs/>
          <w:color w:val="000000"/>
          <w:kern w:val="0"/>
          <w:sz w:val="18"/>
          <w:szCs w:val="18"/>
          <w:lang w:val="en-US" w:eastAsia="zh-CN" w:bidi="ar"/>
        </w:rPr>
        <w:t xml:space="preserve">AI Soc. </w:t>
      </w:r>
      <w:r>
        <w:rPr>
          <w:rFonts w:hint="default" w:ascii="Times New Roman Regular" w:hAnsi="Times New Roman Regular" w:eastAsia="GraphikNaturel-Semibold" w:cs="Times New Roman Regular"/>
          <w:b/>
          <w:bCs/>
          <w:color w:val="000000"/>
          <w:kern w:val="0"/>
          <w:sz w:val="18"/>
          <w:szCs w:val="18"/>
          <w:lang w:val="en-US" w:eastAsia="zh-CN" w:bidi="ar"/>
        </w:rPr>
        <w:t>37</w:t>
      </w:r>
      <w:r>
        <w:rPr>
          <w:rFonts w:hint="default" w:ascii="Times New Roman Regular" w:hAnsi="Times New Roman Regular" w:eastAsia="GraphikNaturel-Regular" w:cs="Times New Roman Regular"/>
          <w:color w:val="000000"/>
          <w:kern w:val="0"/>
          <w:sz w:val="18"/>
          <w:szCs w:val="18"/>
          <w:lang w:val="en-US" w:eastAsia="zh-CN" w:bidi="ar"/>
        </w:rPr>
        <w:t>, 1353–1359 (2022).</w:t>
      </w:r>
    </w:p>
  </w:footnote>
  <w:footnote w:id="20">
    <w:p w14:paraId="59B4163C">
      <w:pPr>
        <w:pStyle w:val="11"/>
        <w:keepNext w:val="0"/>
        <w:keepLines w:val="0"/>
        <w:pageBreakBefore w:val="0"/>
        <w:kinsoku/>
        <w:wordWrap/>
        <w:overflowPunct/>
        <w:topLinePunct w:val="0"/>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GraphikNaturel-Regular" w:cs="Times New Roman Regular"/>
          <w:color w:val="000000"/>
          <w:kern w:val="0"/>
          <w:sz w:val="18"/>
          <w:szCs w:val="18"/>
          <w:lang w:val="en-US" w:eastAsia="zh-CN" w:bidi="ar"/>
        </w:rPr>
        <w:t xml:space="preserve">Ferguson, A. M., Cameron, C. D. &amp; Inzlicht, M. When does empathy feel good? </w:t>
      </w:r>
      <w:r>
        <w:rPr>
          <w:rFonts w:hint="default" w:ascii="Times New Roman Regular" w:hAnsi="Times New Roman Regular" w:eastAsia="GraphikNaturel-RegularItalic4" w:cs="Times New Roman Regular"/>
          <w:i/>
          <w:iCs/>
          <w:color w:val="000000"/>
          <w:kern w:val="0"/>
          <w:sz w:val="18"/>
          <w:szCs w:val="18"/>
          <w:lang w:val="en-US" w:eastAsia="zh-CN" w:bidi="ar"/>
        </w:rPr>
        <w:t xml:space="preserve">Curr. Opin. Behav. Sci. </w:t>
      </w:r>
      <w:r>
        <w:rPr>
          <w:rFonts w:hint="default" w:ascii="Times New Roman Regular" w:hAnsi="Times New Roman Regular" w:eastAsia="GraphikNaturel-Semibold" w:cs="Times New Roman Regular"/>
          <w:b/>
          <w:bCs/>
          <w:color w:val="000000"/>
          <w:kern w:val="0"/>
          <w:sz w:val="18"/>
          <w:szCs w:val="18"/>
          <w:lang w:val="en-US" w:eastAsia="zh-CN" w:bidi="ar"/>
        </w:rPr>
        <w:t>39</w:t>
      </w:r>
      <w:r>
        <w:rPr>
          <w:rFonts w:hint="default" w:ascii="Times New Roman Regular" w:hAnsi="Times New Roman Regular" w:eastAsia="GraphikNaturel-Regular" w:cs="Times New Roman Regular"/>
          <w:color w:val="000000"/>
          <w:kern w:val="0"/>
          <w:sz w:val="18"/>
          <w:szCs w:val="18"/>
          <w:lang w:val="en-US" w:eastAsia="zh-CN" w:bidi="ar"/>
        </w:rPr>
        <w:t>, 125–129 (2021)</w:t>
      </w:r>
    </w:p>
  </w:footnote>
  <w:footnote w:id="21">
    <w:p w14:paraId="3CA8A7D2">
      <w:pPr>
        <w:keepNext w:val="0"/>
        <w:keepLines w:val="0"/>
        <w:pageBreakBefore w:val="0"/>
        <w:widowControl/>
        <w:suppressLineNumbers w:val="0"/>
        <w:kinsoku/>
        <w:wordWrap/>
        <w:overflowPunct/>
        <w:topLinePunct w:val="0"/>
        <w:bidi w:val="0"/>
        <w:adjustRightInd w:val="0"/>
        <w:snapToGrid w:val="0"/>
        <w:spacing w:beforeAutospacing="0" w:after="0" w:afterAutospacing="0" w:line="240" w:lineRule="exact"/>
        <w:ind w:left="0" w:leftChars="0" w:firstLine="0" w:firstLineChars="0"/>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GraphikNaturel-Regular" w:cs="Times New Roman Regular"/>
          <w:color w:val="000000"/>
          <w:kern w:val="0"/>
          <w:sz w:val="18"/>
          <w:szCs w:val="18"/>
          <w:lang w:val="en-US" w:eastAsia="zh-CN" w:bidi="ar"/>
        </w:rPr>
        <w:t xml:space="preserve">Wang, Y. et al. A systematic review on affective computing: emotion models, databases, and recent advances. </w:t>
      </w:r>
      <w:r>
        <w:rPr>
          <w:rFonts w:hint="default" w:ascii="Times New Roman Regular" w:hAnsi="Times New Roman Regular" w:eastAsia="GraphikNaturel-RegularItalic4" w:cs="Times New Roman Regular"/>
          <w:i/>
          <w:iCs/>
          <w:color w:val="000000"/>
          <w:kern w:val="0"/>
          <w:sz w:val="18"/>
          <w:szCs w:val="18"/>
          <w:lang w:val="en-US" w:eastAsia="zh-CN" w:bidi="ar"/>
        </w:rPr>
        <w:t xml:space="preserve">Inf. Fusion </w:t>
      </w:r>
      <w:r>
        <w:rPr>
          <w:rFonts w:hint="default" w:ascii="Times New Roman Regular" w:hAnsi="Times New Roman Regular" w:eastAsia="GraphikNaturel-Semibold" w:cs="Times New Roman Regular"/>
          <w:b/>
          <w:bCs/>
          <w:color w:val="000000"/>
          <w:kern w:val="0"/>
          <w:sz w:val="18"/>
          <w:szCs w:val="18"/>
          <w:lang w:val="en-US" w:eastAsia="zh-CN" w:bidi="ar"/>
        </w:rPr>
        <w:t>83–84</w:t>
      </w:r>
      <w:r>
        <w:rPr>
          <w:rFonts w:hint="default" w:ascii="Times New Roman Regular" w:hAnsi="Times New Roman Regular" w:eastAsia="GraphikNaturel-Regular" w:cs="Times New Roman Regular"/>
          <w:color w:val="000000"/>
          <w:kern w:val="0"/>
          <w:sz w:val="18"/>
          <w:szCs w:val="18"/>
          <w:lang w:val="en-US" w:eastAsia="zh-CN" w:bidi="ar"/>
        </w:rPr>
        <w:t>, 19–52 (2022).</w:t>
      </w:r>
    </w:p>
  </w:footnote>
  <w:footnote w:id="22">
    <w:p w14:paraId="1F529B11">
      <w:pPr>
        <w:keepNext w:val="0"/>
        <w:keepLines w:val="0"/>
        <w:pageBreakBefore w:val="0"/>
        <w:widowControl/>
        <w:suppressLineNumbers w:val="0"/>
        <w:kinsoku/>
        <w:wordWrap/>
        <w:overflowPunct/>
        <w:topLinePunct w:val="0"/>
        <w:bidi w:val="0"/>
        <w:adjustRightInd w:val="0"/>
        <w:snapToGrid w:val="0"/>
        <w:spacing w:beforeAutospacing="0" w:after="0" w:afterAutospacing="0" w:line="240" w:lineRule="exact"/>
        <w:ind w:left="0" w:leftChars="0" w:firstLine="0" w:firstLineChars="0"/>
        <w:jc w:val="left"/>
        <w:textAlignment w:val="auto"/>
        <w:rPr>
          <w:rFonts w:hint="default" w:ascii="Times New Roman Regular" w:hAnsi="Times New Roman Regular" w:cs="Times New Roman Regular"/>
          <w:sz w:val="18"/>
          <w:szCs w:val="18"/>
          <w:lang w:val="en-US"/>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GraphikNaturel-Regular" w:cs="Times New Roman Regular"/>
          <w:color w:val="000000"/>
          <w:kern w:val="0"/>
          <w:sz w:val="18"/>
          <w:szCs w:val="18"/>
          <w:lang w:val="en-US" w:eastAsia="zh-CN" w:bidi="ar"/>
        </w:rPr>
        <w:t xml:space="preserve">Shteynberg, G. et al. Does it matter if empathic AI has no empathy? </w:t>
      </w:r>
      <w:r>
        <w:rPr>
          <w:rFonts w:hint="default" w:ascii="Times New Roman Regular" w:hAnsi="Times New Roman Regular" w:eastAsia="GraphikNaturel-RegularItalic4" w:cs="Times New Roman Regular"/>
          <w:i/>
          <w:iCs/>
          <w:color w:val="000000"/>
          <w:kern w:val="0"/>
          <w:sz w:val="18"/>
          <w:szCs w:val="18"/>
          <w:lang w:val="en-US" w:eastAsia="zh-CN" w:bidi="ar"/>
        </w:rPr>
        <w:t xml:space="preserve">Nat. Mach. Intell. </w:t>
      </w:r>
      <w:r>
        <w:rPr>
          <w:rFonts w:hint="default" w:ascii="Times New Roman Regular" w:hAnsi="Times New Roman Regular" w:eastAsia="GraphikNaturel-Semibold" w:cs="Times New Roman Regular"/>
          <w:b/>
          <w:bCs/>
          <w:color w:val="000000"/>
          <w:kern w:val="0"/>
          <w:sz w:val="18"/>
          <w:szCs w:val="18"/>
          <w:lang w:val="en-US" w:eastAsia="zh-CN" w:bidi="ar"/>
        </w:rPr>
        <w:t>6</w:t>
      </w:r>
      <w:r>
        <w:rPr>
          <w:rFonts w:hint="default" w:ascii="Times New Roman Regular" w:hAnsi="Times New Roman Regular" w:eastAsia="GraphikNaturel-Regular" w:cs="Times New Roman Regular"/>
          <w:color w:val="000000"/>
          <w:kern w:val="0"/>
          <w:sz w:val="18"/>
          <w:szCs w:val="18"/>
          <w:lang w:val="en-US" w:eastAsia="zh-CN" w:bidi="ar"/>
        </w:rPr>
        <w:t xml:space="preserve">, 496–497 (2024); de Waal, F. B. M. &amp; Preston, S. D. Mammalian empathy: behavioural manifestations and neural basis. </w:t>
      </w:r>
      <w:r>
        <w:rPr>
          <w:rFonts w:hint="default" w:ascii="Times New Roman Regular" w:hAnsi="Times New Roman Regular" w:eastAsia="GraphikNaturel-RegularItalic4" w:cs="Times New Roman Regular"/>
          <w:i/>
          <w:iCs/>
          <w:color w:val="000000"/>
          <w:kern w:val="0"/>
          <w:sz w:val="18"/>
          <w:szCs w:val="18"/>
          <w:lang w:val="en-US" w:eastAsia="zh-CN" w:bidi="ar"/>
        </w:rPr>
        <w:t xml:space="preserve">Nat. Rev. Neurosci. </w:t>
      </w:r>
      <w:r>
        <w:rPr>
          <w:rFonts w:hint="default" w:ascii="Times New Roman Regular" w:hAnsi="Times New Roman Regular" w:eastAsia="GraphikNaturel-Semibold" w:cs="Times New Roman Regular"/>
          <w:b/>
          <w:bCs/>
          <w:color w:val="000000"/>
          <w:kern w:val="0"/>
          <w:sz w:val="18"/>
          <w:szCs w:val="18"/>
          <w:lang w:val="en-US" w:eastAsia="zh-CN" w:bidi="ar"/>
        </w:rPr>
        <w:t>18</w:t>
      </w:r>
      <w:r>
        <w:rPr>
          <w:rFonts w:hint="default" w:ascii="Times New Roman Regular" w:hAnsi="Times New Roman Regular" w:eastAsia="GraphikNaturel-Regular" w:cs="Times New Roman Regular"/>
          <w:color w:val="000000"/>
          <w:kern w:val="0"/>
          <w:sz w:val="18"/>
          <w:szCs w:val="18"/>
          <w:lang w:val="en-US" w:eastAsia="zh-CN" w:bidi="ar"/>
        </w:rPr>
        <w:t>, 498–509 (2017).</w:t>
      </w:r>
    </w:p>
  </w:footnote>
  <w:footnote w:id="23">
    <w:p w14:paraId="489CE868">
      <w:pPr>
        <w:keepNext w:val="0"/>
        <w:keepLines w:val="0"/>
        <w:pageBreakBefore w:val="0"/>
        <w:widowControl/>
        <w:suppressLineNumbers w:val="0"/>
        <w:kinsoku/>
        <w:wordWrap/>
        <w:overflowPunct/>
        <w:topLinePunct w:val="0"/>
        <w:bidi w:val="0"/>
        <w:adjustRightInd w:val="0"/>
        <w:snapToGrid w:val="0"/>
        <w:spacing w:beforeAutospacing="0" w:after="0" w:afterAutospacing="0" w:line="240" w:lineRule="exact"/>
        <w:ind w:left="0" w:leftChars="0" w:firstLine="0" w:firstLineChars="0"/>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GraphikNaturel-Regular" w:cs="Times New Roman Regular"/>
          <w:color w:val="000000"/>
          <w:kern w:val="0"/>
          <w:sz w:val="18"/>
          <w:szCs w:val="18"/>
          <w:lang w:val="en-US" w:eastAsia="zh-CN" w:bidi="ar"/>
        </w:rPr>
        <w:t xml:space="preserve">Haugeland, J. Understanding natural language. </w:t>
      </w:r>
      <w:r>
        <w:rPr>
          <w:rFonts w:hint="default" w:ascii="Times New Roman Regular" w:hAnsi="Times New Roman Regular" w:eastAsia="GraphikNaturel-RegularItalic4" w:cs="Times New Roman Regular"/>
          <w:i/>
          <w:iCs/>
          <w:color w:val="000000"/>
          <w:kern w:val="0"/>
          <w:sz w:val="18"/>
          <w:szCs w:val="18"/>
          <w:lang w:val="en-US" w:eastAsia="zh-CN" w:bidi="ar"/>
        </w:rPr>
        <w:t xml:space="preserve">J. Philos. </w:t>
      </w:r>
      <w:r>
        <w:rPr>
          <w:rFonts w:hint="default" w:ascii="Times New Roman Regular" w:hAnsi="Times New Roman Regular" w:eastAsia="GraphikNaturel-Semibold" w:cs="Times New Roman Regular"/>
          <w:b/>
          <w:bCs/>
          <w:color w:val="000000"/>
          <w:kern w:val="0"/>
          <w:sz w:val="18"/>
          <w:szCs w:val="18"/>
          <w:lang w:val="en-US" w:eastAsia="zh-CN" w:bidi="ar"/>
        </w:rPr>
        <w:t>76</w:t>
      </w:r>
      <w:r>
        <w:rPr>
          <w:rFonts w:hint="default" w:ascii="Times New Roman Regular" w:hAnsi="Times New Roman Regular" w:eastAsia="GraphikNaturel-Regular" w:cs="Times New Roman Regular"/>
          <w:color w:val="000000"/>
          <w:kern w:val="0"/>
          <w:sz w:val="18"/>
          <w:szCs w:val="18"/>
          <w:lang w:val="en-US" w:eastAsia="zh-CN" w:bidi="ar"/>
        </w:rPr>
        <w:t>, 619–632 (1979).</w:t>
      </w:r>
    </w:p>
  </w:footnote>
  <w:footnote w:id="24">
    <w:p w14:paraId="584EE136">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LibertinusSerif-Regular" w:cs="Times New Roman Regular"/>
          <w:color w:val="000000"/>
          <w:kern w:val="0"/>
          <w:sz w:val="18"/>
          <w:szCs w:val="18"/>
          <w:lang w:val="en-US" w:eastAsia="zh-CN" w:bidi="ar"/>
        </w:rPr>
        <w:t>D. M. Katz, M. J. Bommarito, S. Gao, P. Arredondo, Gpt-4 passes the bar exam, Available at SSRN 4389233 (2023).</w:t>
      </w:r>
    </w:p>
  </w:footnote>
  <w:footnote w:id="25">
    <w:p w14:paraId="630DA3E0">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LibertinusSerif-Regular" w:cs="Times New Roman Regular"/>
          <w:color w:val="000000"/>
          <w:kern w:val="0"/>
          <w:sz w:val="18"/>
          <w:szCs w:val="18"/>
          <w:lang w:val="en-US" w:eastAsia="zh-CN" w:bidi="ar"/>
        </w:rPr>
        <w:t>J. H. Choi, K. E. Hickman, A. Monahan, D. Schwarcz, Chatgpt goes to law school, Available at SSRN (2023).</w:t>
      </w:r>
    </w:p>
  </w:footnote>
  <w:footnote w:id="26">
    <w:p w14:paraId="41B3E6C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LibertinusSerif-Regular" w:cs="Times New Roman Regular"/>
          <w:color w:val="000000"/>
          <w:kern w:val="0"/>
          <w:sz w:val="18"/>
          <w:szCs w:val="18"/>
          <w:lang w:val="en-US" w:eastAsia="zh-CN" w:bidi="ar"/>
        </w:rPr>
        <w:t>J. Savelka, K. Ashley, M. Gray, H. Westermann, H. Xu, Explaining legal concepts with augmented large language models (gpt-4), in: AI4Legs 2023: AI for Legislation, 2023</w:t>
      </w:r>
    </w:p>
  </w:footnote>
  <w:footnote w:id="27">
    <w:p w14:paraId="2E51344E">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i w:val="0"/>
          <w:iCs w:val="0"/>
          <w:caps w:val="0"/>
          <w:color w:val="222222"/>
          <w:spacing w:val="0"/>
          <w:kern w:val="0"/>
          <w:sz w:val="18"/>
          <w:szCs w:val="18"/>
          <w:shd w:val="clear" w:fill="FFFFFF"/>
          <w:lang w:val="en-US" w:eastAsia="zh-CN" w:bidi="ar"/>
        </w:rPr>
        <w:t>Liu, P., &amp; Situ, Y. (2001). Mixing inquisitorial and adversarial models: Changes in criminal procedure in a changing China. </w:t>
      </w:r>
      <w:r>
        <w:rPr>
          <w:rFonts w:hint="default" w:ascii="Times New Roman Regular" w:hAnsi="Times New Roman Regular" w:eastAsia="SimSun" w:cs="Times New Roman Regular"/>
          <w:i/>
          <w:iCs/>
          <w:caps w:val="0"/>
          <w:color w:val="222222"/>
          <w:spacing w:val="0"/>
          <w:kern w:val="0"/>
          <w:sz w:val="18"/>
          <w:szCs w:val="18"/>
          <w:shd w:val="clear" w:fill="FFFFFF"/>
          <w:lang w:val="en-US" w:eastAsia="zh-CN" w:bidi="ar"/>
        </w:rPr>
        <w:t>Contributions in Criminology and Penology</w:t>
      </w:r>
      <w:r>
        <w:rPr>
          <w:rFonts w:hint="default" w:ascii="Times New Roman Regular" w:hAnsi="Times New Roman Regular" w:eastAsia="SimSun" w:cs="Times New Roman Regular"/>
          <w:i w:val="0"/>
          <w:iCs w:val="0"/>
          <w:caps w:val="0"/>
          <w:color w:val="222222"/>
          <w:spacing w:val="0"/>
          <w:kern w:val="0"/>
          <w:sz w:val="18"/>
          <w:szCs w:val="18"/>
          <w:shd w:val="clear" w:fill="FFFFFF"/>
          <w:lang w:val="en-US" w:eastAsia="zh-CN" w:bidi="ar"/>
        </w:rPr>
        <w:t>, </w:t>
      </w:r>
      <w:r>
        <w:rPr>
          <w:rFonts w:hint="default" w:ascii="Times New Roman Regular" w:hAnsi="Times New Roman Regular" w:eastAsia="SimSun" w:cs="Times New Roman Regular"/>
          <w:i/>
          <w:iCs/>
          <w:caps w:val="0"/>
          <w:color w:val="222222"/>
          <w:spacing w:val="0"/>
          <w:kern w:val="0"/>
          <w:sz w:val="18"/>
          <w:szCs w:val="18"/>
          <w:shd w:val="clear" w:fill="FFFFFF"/>
          <w:lang w:val="en-US" w:eastAsia="zh-CN" w:bidi="ar"/>
        </w:rPr>
        <w:t>53</w:t>
      </w:r>
      <w:r>
        <w:rPr>
          <w:rFonts w:hint="default" w:ascii="Times New Roman Regular" w:hAnsi="Times New Roman Regular" w:eastAsia="SimSun" w:cs="Times New Roman Regular"/>
          <w:i w:val="0"/>
          <w:iCs w:val="0"/>
          <w:caps w:val="0"/>
          <w:color w:val="222222"/>
          <w:spacing w:val="0"/>
          <w:kern w:val="0"/>
          <w:sz w:val="18"/>
          <w:szCs w:val="18"/>
          <w:shd w:val="clear" w:fill="FFFFFF"/>
          <w:lang w:val="en-US" w:eastAsia="zh-CN" w:bidi="ar"/>
        </w:rPr>
        <w:t>, 133-150.</w:t>
      </w:r>
    </w:p>
  </w:footnote>
  <w:footnote w:id="28">
    <w:p w14:paraId="6F2A873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Xiao C, Zhong H, Guo Z, Tu C, Liu Z, Sun M, Feng Y, Han X, Hu Z, Wang H, et al. (2018). CAIL2018: A large-scale legal dataset for judgment prediction. arXiv:1807.02478.</w:t>
      </w:r>
    </w:p>
  </w:footnote>
  <w:footnote w:id="29">
    <w:p w14:paraId="28F58C70">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Zheng L, Guha N, Anderson BR, Henderson P, Ho DE. (2021). When does pretraining help? Assessing self-supervised learning for law and the CaseHOLD dataset of 53,000+ legal holdings. In Proc. ICAIL 159–168.</w:t>
      </w:r>
    </w:p>
  </w:footnote>
  <w:footnote w:id="30">
    <w:p w14:paraId="05A26547">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lang w:val="en-US"/>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Niklaus J, Matoshi V, Stürmer M, Chalkidis I, Ho DE. (2023). MultiLegalPile: A 689GB multilingual legal corpus. arXiv:2306.02069.</w:t>
      </w:r>
    </w:p>
  </w:footnote>
  <w:footnote w:id="31">
    <w:p w14:paraId="6188EC16">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Dehghani F, Dehghani R, Naderzadeh Ardebili Y, Rahnamayan S. (2025). Large Language Models in Legal Systems: A Survey. Humanities and Social Sciences Communications, 12(1), 1977.</w:t>
      </w:r>
    </w:p>
  </w:footnote>
  <w:footnote w:id="32">
    <w:p w14:paraId="5DF1C21F">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Macey-Dare R (2023) How chatgpt and generative ai systems will revolutionize legal services and the legal profession. Available at SSRN 4366749.</w:t>
      </w:r>
    </w:p>
  </w:footnote>
  <w:footnote w:id="33">
    <w:p w14:paraId="08A1AD66">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lang w:val="en-US"/>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Cui J, Ning M, Li Z, Chen B, Yan Y, Li H, Ling B, Tian Y, Yuan L (2023) Chatlaw: A multi-agent collaborative legal assistant with knowledge graph enhanced mixture-of-experts large language model. arXiv preprint arXiv:2306.16092; Huang Q, Tao M, Zhang C, An Z, Jiang C, Chen Z, Wu Z, Feng Y (2023) Lawyer llama technical report. arXiv preprint arXiv:2305.15062; Yue S, Chen W, Wang S, Li B, Shen C, Liu S, Zhou Y, Xiao Y, Yun S, Huang X, et al. (2023) Disc-lawllm: Fine-tuning large language models for intelligent legal services. arXiv preprint arXiv:2309.11325.</w:t>
      </w:r>
    </w:p>
  </w:footnote>
  <w:footnote w:id="34">
    <w:p w14:paraId="3ECA89A8">
      <w:pPr>
        <w:pStyle w:val="11"/>
        <w:keepNext w:val="0"/>
        <w:keepLines w:val="0"/>
        <w:pageBreakBefore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Fürst, D., El-Assady, M., Keim, D. A., &amp; Fischer, M. T. (2025). Challenges and Opportunities for Visual Analytics in Jurisprudence. Artificial Intelligence and Law, 1-32.</w:t>
      </w:r>
    </w:p>
  </w:footnote>
  <w:footnote w:id="35">
    <w:p w14:paraId="76AA4DBF">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Niklaus J, Chalkidis I, Stürmer M (2021) Swiss-judgment-prediction: A multilingual legal judgment prediction benchmark. arXiv preprint arXiv:2110.00806.</w:t>
      </w:r>
    </w:p>
  </w:footnote>
  <w:footnote w:id="36">
    <w:p w14:paraId="0E8CDC19">
      <w:pPr>
        <w:pStyle w:val="11"/>
        <w:keepNext w:val="0"/>
        <w:keepLines w:val="0"/>
        <w:pageBreakBefore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lang w:val="en-US"/>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Perlman A (2023) The implications of chatgpt for legal services and society. Mich. Tech. L. Rev. 30:1</w:t>
      </w:r>
      <w:r>
        <w:rPr>
          <w:rFonts w:hint="default" w:ascii="Times New Roman Regular" w:hAnsi="Times New Roman Regular" w:cs="Times New Roman Regular"/>
          <w:sz w:val="18"/>
          <w:szCs w:val="18"/>
          <w:lang w:val="en-US"/>
        </w:rPr>
        <w:t>; Magesh V, Surani F, Dahl M, Suzgun M, Manning CD, Ho DE (2024) Ai on trial: Legal models hallucinate in 1 out of 6 (or more) benchmarking queries.</w:t>
      </w:r>
    </w:p>
  </w:footnote>
  <w:footnote w:id="37">
    <w:p w14:paraId="1C38F0F1">
      <w:pPr>
        <w:pStyle w:val="11"/>
        <w:keepNext w:val="0"/>
        <w:keepLines w:val="0"/>
        <w:pageBreakBefore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Hariri E, Ho DE (2025) AI for Statutory Simplification: A Comprehensive State Legal Corpus and Labor Benchmark. arXiv preprint arXiv:2508.19365.</w:t>
      </w:r>
    </w:p>
  </w:footnote>
  <w:footnote w:id="38">
    <w:p w14:paraId="52C8951B">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Guo B, Zhang X, Wang Z, Jiang M, Nie J, Ding Y, Yue J, Wu Y (2023) How close is chatgpt to human experts? comparison corpus, evaluation, and detection. arXiv preprint arXiv:2301.07597.</w:t>
      </w:r>
    </w:p>
  </w:footnote>
  <w:footnote w:id="39">
    <w:p w14:paraId="32405C81">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Noveck BS (2007) Wikipedia and the future of legal education. J. Legal Educ. 57:3.</w:t>
      </w:r>
    </w:p>
  </w:footnote>
  <w:footnote w:id="40">
    <w:p w14:paraId="62BE9F17">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Tan J, Westermann H, Benyekhlef K (2023) Chatgpt as an artificial lawyer? In AI4AJ@ICAIL, pp. 1–8.</w:t>
      </w:r>
    </w:p>
  </w:footnote>
  <w:footnote w:id="41">
    <w:p w14:paraId="4CFEA909">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Wu Y, Zhou S, Liu Y, Lu W, Liu X, Zhang Y, Sun C, Wu F, Kuang K (2023b) Precedent-enhanced legal judgment prediction with llm and domain-model collaboration. arXiv preprint arXiv:2310.09241.</w:t>
      </w:r>
    </w:p>
  </w:footnote>
  <w:footnote w:id="42">
    <w:p w14:paraId="6A44C28E">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Cheong I, Caliskan A, Kohno T (2023) Is the us legal system ready for ai’s challenges to human values? arXiv preprint arXiv:2308.15906.</w:t>
      </w:r>
    </w:p>
  </w:footnote>
  <w:footnote w:id="43">
    <w:p w14:paraId="6B4B0799">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Anthropic (2024) Claude 3.5 Sonnet,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"https://www.anthropic.com/news/claude-3-5-sonnet"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https://www.anthropic.com/news/claude-3-5-sonnet</w:t>
      </w:r>
      <w:r>
        <w:rPr>
          <w:rFonts w:hint="default" w:ascii="Times New Roman Regular" w:hAnsi="Times New Roman Regular" w:eastAsia="SimSun" w:cs="Times New Roman Regular"/>
          <w:kern w:val="0"/>
          <w:sz w:val="18"/>
          <w:szCs w:val="18"/>
          <w:lang w:val="en-US" w:eastAsia="zh-CN" w:bidi="ar"/>
        </w:rPr>
        <w:fldChar w:fldCharType="end"/>
      </w:r>
      <w:r>
        <w:rPr>
          <w:rFonts w:hint="default" w:ascii="Times New Roman Regular" w:hAnsi="Times New Roman Regular" w:eastAsia="SimSun" w:cs="Times New Roman Regular"/>
          <w:kern w:val="0"/>
          <w:sz w:val="18"/>
          <w:szCs w:val="18"/>
          <w:lang w:val="en-US" w:eastAsia="zh-CN" w:bidi="ar"/>
        </w:rPr>
        <w:t xml:space="preserve">; Robert Post (2024) </w:t>
      </w:r>
      <w:r>
        <w:rPr>
          <w:rStyle w:val="9"/>
          <w:rFonts w:hint="default" w:ascii="Times New Roman Regular" w:hAnsi="Times New Roman Regular" w:eastAsia="SimSun" w:cs="Times New Roman Regular"/>
          <w:kern w:val="0"/>
          <w:sz w:val="18"/>
          <w:szCs w:val="18"/>
          <w:lang w:val="en-US" w:eastAsia="zh-CN" w:bidi="ar"/>
        </w:rPr>
        <w:t>The Supreme Court’s Crisis of Authority: Law, Politics, and the Judiciary Act of 1925</w:t>
      </w:r>
      <w:r>
        <w:rPr>
          <w:rFonts w:hint="default" w:ascii="Times New Roman Regular" w:hAnsi="Times New Roman Regular" w:eastAsia="SimSun" w:cs="Times New Roman Regular"/>
          <w:kern w:val="0"/>
          <w:sz w:val="18"/>
          <w:szCs w:val="18"/>
          <w:lang w:val="en-US" w:eastAsia="zh-CN" w:bidi="ar"/>
        </w:rPr>
        <w:t>.</w:t>
      </w:r>
    </w:p>
  </w:footnote>
  <w:footnote w:id="44">
    <w:p w14:paraId="71334D20">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Neel Guha et al. (2023) LegalBench: A collaboratively built benchmark for measuring legal reasoning in large language models, </w:t>
      </w:r>
      <w:r>
        <w:rPr>
          <w:rStyle w:val="9"/>
          <w:rFonts w:hint="default" w:ascii="Times New Roman Regular" w:hAnsi="Times New Roman Regular" w:eastAsia="SimSun" w:cs="Times New Roman Regular"/>
          <w:kern w:val="0"/>
          <w:sz w:val="18"/>
          <w:szCs w:val="18"/>
          <w:lang w:val="en-US" w:eastAsia="zh-CN" w:bidi="ar"/>
        </w:rPr>
        <w:t>Advances in Neural Information Processing Systems</w:t>
      </w:r>
      <w:r>
        <w:rPr>
          <w:rFonts w:hint="default" w:ascii="Times New Roman Regular" w:hAnsi="Times New Roman Regular" w:eastAsia="SimSun" w:cs="Times New Roman Regular"/>
          <w:kern w:val="0"/>
          <w:sz w:val="18"/>
          <w:szCs w:val="18"/>
          <w:lang w:val="en-US" w:eastAsia="zh-CN" w:bidi="ar"/>
        </w:rPr>
        <w:t xml:space="preserve"> 36:44123–44279; Yuta Koreeda and Christopher D Manning (2021) ContractNLI, </w:t>
      </w:r>
      <w:r>
        <w:rPr>
          <w:rStyle w:val="9"/>
          <w:rFonts w:hint="default" w:ascii="Times New Roman Regular" w:hAnsi="Times New Roman Regular" w:eastAsia="SimSun" w:cs="Times New Roman Regular"/>
          <w:kern w:val="0"/>
          <w:sz w:val="18"/>
          <w:szCs w:val="18"/>
          <w:lang w:val="en-US" w:eastAsia="zh-CN" w:bidi="ar"/>
        </w:rPr>
        <w:t>Findings of EMNLP 2021</w:t>
      </w:r>
      <w:r>
        <w:rPr>
          <w:rFonts w:hint="default" w:ascii="Times New Roman Regular" w:hAnsi="Times New Roman Regular" w:eastAsia="SimSun" w:cs="Times New Roman Regular"/>
          <w:kern w:val="0"/>
          <w:sz w:val="18"/>
          <w:szCs w:val="18"/>
          <w:lang w:val="en-US" w:eastAsia="zh-CN" w:bidi="ar"/>
        </w:rPr>
        <w:t xml:space="preserve"> 1907–1919; Dan Hendrycks et al. (2021a) CUAD, NeurIPS Datasets and Benchmarks Track.</w:t>
      </w:r>
    </w:p>
  </w:footnote>
  <w:footnote w:id="45">
    <w:p w14:paraId="0CE6C51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OpenAI (2023) GPT-4 and the Uniform Bar Exam; Blair-Stanek et al. (2023) statutory reasoning evaluation of GPT-4; Nay et al. (2024) tax law problem solving with prompting.</w:t>
      </w:r>
    </w:p>
  </w:footnote>
  <w:footnote w:id="46">
    <w:p w14:paraId="61DC542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Han, S. S., Takashima, Y., Shen, S. Z., Liu, C., Liu, Y., Thuo, R. K., et al. (2025) COURTREASONER: Can LLM Agents Reason Like Judges?, </w:t>
      </w:r>
      <w:r>
        <w:rPr>
          <w:rStyle w:val="9"/>
          <w:rFonts w:hint="default" w:ascii="Times New Roman Regular" w:hAnsi="Times New Roman Regular" w:eastAsia="SimSun" w:cs="Times New Roman Regular"/>
          <w:kern w:val="0"/>
          <w:sz w:val="18"/>
          <w:szCs w:val="18"/>
          <w:lang w:val="en-US" w:eastAsia="zh-CN" w:bidi="ar"/>
        </w:rPr>
        <w:t>Proceedings of EMNLP 2025</w:t>
      </w:r>
      <w:r>
        <w:rPr>
          <w:rFonts w:hint="default" w:ascii="Times New Roman Regular" w:hAnsi="Times New Roman Regular" w:eastAsia="SimSun" w:cs="Times New Roman Regular"/>
          <w:kern w:val="0"/>
          <w:sz w:val="18"/>
          <w:szCs w:val="18"/>
          <w:lang w:val="en-US" w:eastAsia="zh-CN" w:bidi="ar"/>
        </w:rPr>
        <w:t>, 35279–35294.</w:t>
      </w:r>
    </w:p>
  </w:footnote>
  <w:footnote w:id="47">
    <w:p w14:paraId="56444D2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H. Westermann, J. Savelka, K. Benyekhlef, Llmediator: Gpt-4 assisted online dispute resolution, in: Artificial Intelligence for Access to Justice (AI4AJ 2023), 2023</w:t>
      </w:r>
    </w:p>
  </w:footnote>
  <w:footnote w:id="48">
    <w:p w14:paraId="6A045FB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Hargreaves S (2023) Words are flowing out like endless rain into a paper cup: Chatgpt &amp; law school assessments. Leg. Educ. Rev. 33:69</w:t>
      </w:r>
    </w:p>
  </w:footnote>
  <w:footnote w:id="49">
    <w:p w14:paraId="24D59E2F">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Yu F, Quartey L &amp; Schilder F (2022) Legal prompting: Teaching a language model to think like a lawyer. arXiv preprint arXiv:2212.01326</w:t>
      </w:r>
    </w:p>
  </w:footnote>
  <w:footnote w:id="50">
    <w:p w14:paraId="4596CF5B">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Iu, K Y &amp; Man-Yi Wong, V (2023) Chatgpt by openai: The end of litigation lawyers? Available at SSRN 4339839.</w:t>
      </w:r>
    </w:p>
  </w:footnote>
  <w:footnote w:id="51">
    <w:p w14:paraId="1B6B0FC2">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Mshweshwe L (2020) Understanding domestic violence: masculinity, culture, traditions. Heliyon 6(10):05334.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"https://doi.org/10.1016/j.heliyon.2020.e0533"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https://doi.org/10.1016/j.heliyon.2020.e0533</w:t>
      </w:r>
      <w:r>
        <w:rPr>
          <w:rFonts w:hint="default" w:ascii="Times New Roman Regular" w:hAnsi="Times New Roman Regular" w:eastAsia="SimSun" w:cs="Times New Roman Regular"/>
          <w:kern w:val="0"/>
          <w:sz w:val="18"/>
          <w:szCs w:val="18"/>
          <w:lang w:val="en-US" w:eastAsia="zh-CN" w:bidi="ar"/>
        </w:rPr>
        <w:fldChar w:fldCharType="end"/>
      </w:r>
      <w:r>
        <w:rPr>
          <w:rFonts w:hint="default" w:ascii="Times New Roman Regular" w:hAnsi="Times New Roman Regular" w:eastAsia="SimSun" w:cs="Times New Roman Regular"/>
          <w:kern w:val="0"/>
          <w:sz w:val="18"/>
          <w:szCs w:val="18"/>
          <w:lang w:val="en-US" w:eastAsia="zh-CN" w:bidi="ar"/>
        </w:rPr>
        <w:t xml:space="preserve">; Sikweyiya Y, Addo-Lartey AA, Alangea DO, Dako-Gyeke P, Chirwa ED, Coker-Appiah D, Adanu RMK, Jewkes R (2020) Patriarchy and gender-inequitable attitudes as drivers of intimate partner violence against women in the central region of Ghana. BMC Public Health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"https://doi.org/10.1186/s12889-020-08825-z"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https://doi.org/10.1186/s12889-020-08825-z</w:t>
      </w:r>
      <w:r>
        <w:rPr>
          <w:rFonts w:hint="default" w:ascii="Times New Roman Regular" w:hAnsi="Times New Roman Regular" w:eastAsia="SimSun" w:cs="Times New Roman Regular"/>
          <w:kern w:val="0"/>
          <w:sz w:val="18"/>
          <w:szCs w:val="18"/>
          <w:lang w:val="en-US" w:eastAsia="zh-CN" w:bidi="ar"/>
        </w:rPr>
        <w:fldChar w:fldCharType="end"/>
      </w:r>
      <w:r>
        <w:rPr>
          <w:rFonts w:hint="default" w:ascii="Times New Roman Regular" w:hAnsi="Times New Roman Regular" w:eastAsia="SimSun" w:cs="Times New Roman Regular"/>
          <w:kern w:val="0"/>
          <w:sz w:val="18"/>
          <w:szCs w:val="18"/>
          <w:lang w:val="en-US" w:eastAsia="zh-CN" w:bidi="ar"/>
        </w:rPr>
        <w:t>.</w:t>
      </w:r>
    </w:p>
  </w:footnote>
  <w:footnote w:id="52">
    <w:p w14:paraId="11A894E9">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Das TK, Alam MF, Bhattacharyya R, Pervin A (2015) Causes and contexts of domestic violence: tales of help-seeking married women in Sylhet, Bangladesh. Asian Soc Work Policy Rev 9(2):163–176.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"https://doi.org/10.1111/aswp.12055"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https://doi.org/10.1111/aswp.12055</w:t>
      </w:r>
      <w:r>
        <w:rPr>
          <w:rFonts w:hint="default" w:ascii="Times New Roman Regular" w:hAnsi="Times New Roman Regular" w:eastAsia="SimSun" w:cs="Times New Roman Regular"/>
          <w:kern w:val="0"/>
          <w:sz w:val="18"/>
          <w:szCs w:val="18"/>
          <w:lang w:val="en-US" w:eastAsia="zh-CN" w:bidi="ar"/>
        </w:rPr>
        <w:fldChar w:fldCharType="end"/>
      </w:r>
    </w:p>
  </w:footnote>
  <w:footnote w:id="53">
    <w:p w14:paraId="0146391F">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Dutton DG, Nicholls TL, Spidel A (2005) Female perpetrators of intimate abuse. J Offender Rehabil 41(4):1–31.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"https://doi.org/10.1300/j076v41n04_01"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https://doi.org/10.1300/j076v41n04_01</w:t>
      </w:r>
      <w:r>
        <w:rPr>
          <w:rFonts w:hint="default" w:ascii="Times New Roman Regular" w:hAnsi="Times New Roman Regular" w:eastAsia="SimSun" w:cs="Times New Roman Regular"/>
          <w:kern w:val="0"/>
          <w:sz w:val="18"/>
          <w:szCs w:val="18"/>
          <w:lang w:val="en-US" w:eastAsia="zh-CN" w:bidi="ar"/>
        </w:rPr>
        <w:fldChar w:fldCharType="end"/>
      </w:r>
      <w:r>
        <w:rPr>
          <w:rFonts w:hint="default" w:ascii="Times New Roman Regular" w:hAnsi="Times New Roman Regular" w:eastAsia="SimSun" w:cs="Times New Roman Regular"/>
          <w:kern w:val="0"/>
          <w:sz w:val="18"/>
          <w:szCs w:val="18"/>
          <w:lang w:val="en-US" w:eastAsia="zh-CN" w:bidi="ar"/>
        </w:rPr>
        <w:t xml:space="preserve">; Dutton DG, Corvo K (2007) Corrigendum to transforming a flawed policy: a call to revive psychology and science in domestic violence research and practice. Aggress Violent Beh 12(2):257.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"https://doi.org/10.1016/j.avb.2006.08.003"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https://doi.org/10.1016/j.avb.2006.08.003</w:t>
      </w:r>
      <w:r>
        <w:rPr>
          <w:rFonts w:hint="default" w:ascii="Times New Roman Regular" w:hAnsi="Times New Roman Regular" w:eastAsia="SimSun" w:cs="Times New Roman Regular"/>
          <w:kern w:val="0"/>
          <w:sz w:val="18"/>
          <w:szCs w:val="18"/>
          <w:lang w:val="en-US" w:eastAsia="zh-CN" w:bidi="ar"/>
        </w:rPr>
        <w:fldChar w:fldCharType="end"/>
      </w:r>
      <w:r>
        <w:rPr>
          <w:rFonts w:hint="default" w:ascii="Times New Roman Regular" w:hAnsi="Times New Roman Regular" w:eastAsia="SimSun" w:cs="Times New Roman Regular"/>
          <w:kern w:val="0"/>
          <w:sz w:val="18"/>
          <w:szCs w:val="18"/>
          <w:lang w:val="en-US" w:eastAsia="zh-CN" w:bidi="ar"/>
        </w:rPr>
        <w:t>.</w:t>
      </w:r>
    </w:p>
  </w:footnote>
  <w:footnote w:id="54">
    <w:p w14:paraId="48A0F30A">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Hossain M, Asadullah M, Rahaman A, Miah M, Hasan M, Paul T, Hossain M (2021) Prediction on domestic violence in Bangladesh during the COVID-19 outbreak using machine learning methods. Appl Syst Innov 4(4):77.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"https://doi.org/10.3390/asi4040077"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https://doi.org/10.3390/asi4040077</w:t>
      </w:r>
      <w:r>
        <w:rPr>
          <w:rFonts w:hint="default" w:ascii="Times New Roman Regular" w:hAnsi="Times New Roman Regular" w:eastAsia="SimSun" w:cs="Times New Roman Regular"/>
          <w:kern w:val="0"/>
          <w:sz w:val="18"/>
          <w:szCs w:val="18"/>
          <w:lang w:val="en-US" w:eastAsia="zh-CN" w:bidi="ar"/>
        </w:rPr>
        <w:fldChar w:fldCharType="end"/>
      </w:r>
    </w:p>
  </w:footnote>
  <w:footnote w:id="55">
    <w:p w14:paraId="36D82F86">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Victor BG, Perron BE, Sokol RL, Fedina L, Ryan JP (2021) Automated identification of domestic violence in written child welfare records: leveraging text mining and machine learning to enhance social work research and evaluation. J Soc Soc Work Res 12(4):631–655.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"https://doi.org/10.1086/712734"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https://doi.org/10.1086/712734</w:t>
      </w:r>
      <w:r>
        <w:rPr>
          <w:rFonts w:hint="default" w:ascii="Times New Roman Regular" w:hAnsi="Times New Roman Regular" w:eastAsia="SimSun" w:cs="Times New Roman Regular"/>
          <w:kern w:val="0"/>
          <w:sz w:val="18"/>
          <w:szCs w:val="18"/>
          <w:lang w:val="en-US" w:eastAsia="zh-CN" w:bidi="ar"/>
        </w:rPr>
        <w:fldChar w:fldCharType="end"/>
      </w:r>
    </w:p>
  </w:footnote>
  <w:footnote w:id="56">
    <w:p w14:paraId="7A85380C">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Lin, G. (2024). Worthy survivors of domestic violence in the eyes of the Beijing courts. </w:t>
      </w:r>
      <w:r>
        <w:rPr>
          <w:rStyle w:val="9"/>
          <w:rFonts w:hint="default" w:ascii="Times New Roman Regular" w:hAnsi="Times New Roman Regular" w:eastAsia="SimSun" w:cs="Times New Roman Regular"/>
          <w:kern w:val="0"/>
          <w:sz w:val="18"/>
          <w:szCs w:val="18"/>
          <w:lang w:val="en-US" w:eastAsia="zh-CN" w:bidi="ar"/>
        </w:rPr>
        <w:t>Journal of Law and Society, 51</w:t>
      </w:r>
      <w:r>
        <w:rPr>
          <w:rFonts w:hint="default" w:ascii="Times New Roman Regular" w:hAnsi="Times New Roman Regular" w:eastAsia="SimSun" w:cs="Times New Roman Regular"/>
          <w:kern w:val="0"/>
          <w:sz w:val="18"/>
          <w:szCs w:val="18"/>
          <w:lang w:val="en-US" w:eastAsia="zh-CN" w:bidi="ar"/>
        </w:rPr>
        <w:t xml:space="preserve">, 539–561.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"https://doi.org/10.1111/jols.12507"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https://doi.org/10.1111/jols.12507</w:t>
      </w:r>
      <w:r>
        <w:rPr>
          <w:rFonts w:hint="default" w:ascii="Times New Roman Regular" w:hAnsi="Times New Roman Regular" w:eastAsia="SimSun" w:cs="Times New Roman Regular"/>
          <w:kern w:val="0"/>
          <w:sz w:val="18"/>
          <w:szCs w:val="18"/>
          <w:lang w:val="en-US" w:eastAsia="zh-CN" w:bidi="ar"/>
        </w:rPr>
        <w:fldChar w:fldCharType="end"/>
      </w:r>
    </w:p>
  </w:footnote>
  <w:footnote w:id="57">
    <w:p w14:paraId="138F82E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Anti Domestic Violence Law of the People’s Republic of China (2016) (establishing the personal safety protection order mechanism; an application is not contingent upon filing for divorce and can be sought at any stage of the relationship).</w:t>
      </w:r>
    </w:p>
  </w:footnote>
  <w:footnote w:id="58">
    <w:p w14:paraId="2A0E25FF">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Zheng, R., Xie, Z., &amp; Duan, Z. (2025). Challenges identifying domestic violence in Chinese judicial practice: An empirical analysis of personal safety protection orders. </w:t>
      </w:r>
      <w:r>
        <w:rPr>
          <w:rStyle w:val="9"/>
          <w:rFonts w:hint="default" w:ascii="Times New Roman Regular" w:hAnsi="Times New Roman Regular" w:eastAsia="SimSun" w:cs="Times New Roman Regular"/>
          <w:kern w:val="0"/>
          <w:sz w:val="18"/>
          <w:szCs w:val="18"/>
          <w:lang w:val="en-US" w:eastAsia="zh-CN" w:bidi="ar"/>
        </w:rPr>
        <w:t>Violence Against Women, 31</w:t>
      </w:r>
      <w:r>
        <w:rPr>
          <w:rFonts w:hint="default" w:ascii="Times New Roman Regular" w:hAnsi="Times New Roman Regular" w:eastAsia="SimSun" w:cs="Times New Roman Regular"/>
          <w:kern w:val="0"/>
          <w:sz w:val="18"/>
          <w:szCs w:val="18"/>
          <w:lang w:val="en-US" w:eastAsia="zh-CN" w:bidi="ar"/>
        </w:rPr>
        <w:t>(15–16), 3886–3909.</w:t>
      </w:r>
    </w:p>
  </w:footnote>
  <w:footnote w:id="59">
    <w:p w14:paraId="0E96F241">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Supreme People’s Court. (2025, November 21). </w:t>
      </w:r>
      <w:r>
        <w:rPr>
          <w:rStyle w:val="9"/>
          <w:rFonts w:hint="default" w:ascii="Times New Roman Regular" w:hAnsi="Times New Roman Regular" w:eastAsia="SimSun" w:cs="Times New Roman Regular"/>
          <w:kern w:val="0"/>
          <w:sz w:val="18"/>
          <w:szCs w:val="18"/>
          <w:lang w:val="en-US" w:eastAsia="zh-CN" w:bidi="ar"/>
        </w:rPr>
        <w:t>Supreme People’s Court releases 2025 typical domestic violence prevention cases in China</w:t>
      </w:r>
      <w:r>
        <w:rPr>
          <w:rFonts w:hint="default" w:ascii="Times New Roman Regular" w:hAnsi="Times New Roman Regular" w:eastAsia="SimSun" w:cs="Times New Roman Regular"/>
          <w:kern w:val="0"/>
          <w:sz w:val="18"/>
          <w:szCs w:val="18"/>
          <w:lang w:val="en-US" w:eastAsia="zh-CN" w:bidi="ar"/>
        </w:rPr>
        <w:t xml:space="preserve">.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"https://www.court.gov.cn/zixun/xiangqing/482111.html?utm_source=chatgpt.com"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https://www.court.gov.cn/zixun/xiangqing/482111.html</w:t>
      </w:r>
      <w:r>
        <w:rPr>
          <w:rFonts w:hint="default" w:ascii="Times New Roman Regular" w:hAnsi="Times New Roman Regular" w:eastAsia="SimSun" w:cs="Times New Roman Regular"/>
          <w:kern w:val="0"/>
          <w:sz w:val="18"/>
          <w:szCs w:val="18"/>
          <w:lang w:val="en-US" w:eastAsia="zh-CN" w:bidi="ar"/>
        </w:rPr>
        <w:fldChar w:fldCharType="end"/>
      </w:r>
    </w:p>
  </w:footnote>
  <w:footnote w:id="60">
    <w:p w14:paraId="465F6435">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He, X. (2025). Threat to family stability or social stability? Domestic violence protection orders in two Chinese courts. </w:t>
      </w:r>
      <w:r>
        <w:rPr>
          <w:rStyle w:val="9"/>
          <w:rFonts w:hint="default" w:ascii="Times New Roman Regular" w:hAnsi="Times New Roman Regular" w:eastAsia="SimSun" w:cs="Times New Roman Regular"/>
          <w:kern w:val="0"/>
          <w:sz w:val="18"/>
          <w:szCs w:val="18"/>
          <w:lang w:val="en-US" w:eastAsia="zh-CN" w:bidi="ar"/>
        </w:rPr>
        <w:t>Law &amp; Social Inquiry</w:t>
      </w:r>
      <w:r>
        <w:rPr>
          <w:rFonts w:hint="default" w:ascii="Times New Roman Regular" w:hAnsi="Times New Roman Regular" w:eastAsia="SimSun" w:cs="Times New Roman Regular"/>
          <w:kern w:val="0"/>
          <w:sz w:val="18"/>
          <w:szCs w:val="18"/>
          <w:lang w:val="en-US" w:eastAsia="zh-CN" w:bidi="ar"/>
        </w:rPr>
        <w:t>, 1–28.</w:t>
      </w:r>
    </w:p>
  </w:footnote>
  <w:footnote w:id="61">
    <w:p w14:paraId="073F597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Zheng, R., Xie, Z., &amp; Duan, Z. (2025). Challenges identifying domestic violence in Chinese judicial practice: An empirical analysis of personal safety protection orders. </w:t>
      </w:r>
      <w:r>
        <w:rPr>
          <w:rStyle w:val="9"/>
          <w:rFonts w:hint="default" w:ascii="Times New Roman Regular" w:hAnsi="Times New Roman Regular" w:eastAsia="SimSun" w:cs="Times New Roman Regular"/>
          <w:kern w:val="0"/>
          <w:sz w:val="18"/>
          <w:szCs w:val="18"/>
          <w:lang w:val="en-US" w:eastAsia="zh-CN" w:bidi="ar"/>
        </w:rPr>
        <w:t>Violence Against Women, 31</w:t>
      </w:r>
      <w:r>
        <w:rPr>
          <w:rFonts w:hint="default" w:ascii="Times New Roman Regular" w:hAnsi="Times New Roman Regular" w:eastAsia="SimSun" w:cs="Times New Roman Regular"/>
          <w:kern w:val="0"/>
          <w:sz w:val="18"/>
          <w:szCs w:val="18"/>
          <w:lang w:val="en-US" w:eastAsia="zh-CN" w:bidi="ar"/>
        </w:rPr>
        <w:t>(15–16), 3886–3909.</w:t>
      </w:r>
    </w:p>
  </w:footnote>
  <w:footnote w:id="62">
    <w:p w14:paraId="1A1BBBF1">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Lin, G. (2024). Worthy survivors of domestic violence in the eyes of the Beijing courts. </w:t>
      </w:r>
      <w:r>
        <w:rPr>
          <w:rStyle w:val="9"/>
          <w:rFonts w:hint="default" w:ascii="Times New Roman Regular" w:hAnsi="Times New Roman Regular" w:eastAsia="SimSun" w:cs="Times New Roman Regular"/>
          <w:kern w:val="0"/>
          <w:sz w:val="18"/>
          <w:szCs w:val="18"/>
          <w:lang w:val="en-US" w:eastAsia="zh-CN" w:bidi="ar"/>
        </w:rPr>
        <w:t>Journal of Law and Society, 51</w:t>
      </w:r>
      <w:r>
        <w:rPr>
          <w:rFonts w:hint="default" w:ascii="Times New Roman Regular" w:hAnsi="Times New Roman Regular" w:eastAsia="SimSun" w:cs="Times New Roman Regular"/>
          <w:kern w:val="0"/>
          <w:sz w:val="18"/>
          <w:szCs w:val="18"/>
          <w:lang w:val="en-US" w:eastAsia="zh-CN" w:bidi="ar"/>
        </w:rPr>
        <w:t xml:space="preserve">, 539–561.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"https://doi.org/10.1111/jols.12507"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https://doi.org/10.1111/jols.12507</w:t>
      </w:r>
      <w:r>
        <w:rPr>
          <w:rFonts w:hint="default" w:ascii="Times New Roman Regular" w:hAnsi="Times New Roman Regular" w:eastAsia="SimSun" w:cs="Times New Roman Regular"/>
          <w:kern w:val="0"/>
          <w:sz w:val="18"/>
          <w:szCs w:val="18"/>
          <w:lang w:val="en-US" w:eastAsia="zh-CN" w:bidi="ar"/>
        </w:rPr>
        <w:fldChar w:fldCharType="end"/>
      </w:r>
    </w:p>
  </w:footnote>
  <w:footnote w:id="63">
    <w:p w14:paraId="652AD372">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Park, S. Y. (2025). Judicial decision making in intimate partner violence cases: A scoping review and critical analysis. </w:t>
      </w:r>
      <w:r>
        <w:rPr>
          <w:rStyle w:val="9"/>
          <w:rFonts w:hint="default" w:ascii="Times New Roman Regular" w:hAnsi="Times New Roman Regular" w:eastAsia="SimSun" w:cs="Times New Roman Regular"/>
          <w:kern w:val="0"/>
          <w:sz w:val="18"/>
          <w:szCs w:val="18"/>
          <w:lang w:val="en-US" w:eastAsia="zh-CN" w:bidi="ar"/>
        </w:rPr>
        <w:t>Family Transitions, 66</w:t>
      </w:r>
      <w:r>
        <w:rPr>
          <w:rFonts w:hint="default" w:ascii="Times New Roman Regular" w:hAnsi="Times New Roman Regular" w:eastAsia="SimSun" w:cs="Times New Roman Regular"/>
          <w:kern w:val="0"/>
          <w:sz w:val="18"/>
          <w:szCs w:val="18"/>
          <w:lang w:val="en-US" w:eastAsia="zh-CN" w:bidi="ar"/>
        </w:rPr>
        <w:t>(1–2), 108–135.</w:t>
      </w:r>
    </w:p>
  </w:footnote>
  <w:footnote w:id="64">
    <w:p w14:paraId="374F56D8">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Zhang, J. (2018). Why is family violence difficult to identify? An empirical study focusing on divorce cases related to family violence. </w:t>
      </w:r>
      <w:r>
        <w:rPr>
          <w:rStyle w:val="9"/>
          <w:rFonts w:hint="default" w:ascii="Times New Roman Regular" w:hAnsi="Times New Roman Regular" w:eastAsia="SimSun" w:cs="Times New Roman Regular"/>
          <w:kern w:val="0"/>
          <w:sz w:val="18"/>
          <w:szCs w:val="18"/>
          <w:lang w:val="en-US" w:eastAsia="zh-CN" w:bidi="ar"/>
        </w:rPr>
        <w:t>Journal of Shandong University (Philosophy and Social Sciences)</w:t>
      </w:r>
      <w:r>
        <w:rPr>
          <w:rFonts w:hint="default" w:ascii="Times New Roman Regular" w:hAnsi="Times New Roman Regular" w:eastAsia="SimSun" w:cs="Times New Roman Regular"/>
          <w:kern w:val="0"/>
          <w:sz w:val="18"/>
          <w:szCs w:val="18"/>
          <w:lang w:val="en-US" w:eastAsia="zh-CN" w:bidi="ar"/>
        </w:rPr>
        <w:t>, 4, 103–111.</w:t>
      </w:r>
    </w:p>
  </w:footnote>
  <w:footnote w:id="65">
    <w:p w14:paraId="57316B20">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Aiken, J. H., &amp; Murphy, J. C. (2000). Evidence issues in domestic violence civil cases. </w:t>
      </w:r>
      <w:r>
        <w:rPr>
          <w:rStyle w:val="9"/>
          <w:rFonts w:hint="default" w:ascii="Times New Roman Regular" w:hAnsi="Times New Roman Regular" w:eastAsia="SimSun" w:cs="Times New Roman Regular"/>
          <w:kern w:val="0"/>
          <w:sz w:val="18"/>
          <w:szCs w:val="18"/>
          <w:lang w:val="en-US" w:eastAsia="zh-CN" w:bidi="ar"/>
        </w:rPr>
        <w:t>Family Law Quarterly, 34</w:t>
      </w:r>
      <w:r>
        <w:rPr>
          <w:rFonts w:hint="default" w:ascii="Times New Roman Regular" w:hAnsi="Times New Roman Regular" w:eastAsia="SimSun" w:cs="Times New Roman Regular"/>
          <w:kern w:val="0"/>
          <w:sz w:val="18"/>
          <w:szCs w:val="18"/>
          <w:lang w:val="en-US" w:eastAsia="zh-CN" w:bidi="ar"/>
        </w:rPr>
        <w:t>(1), 43–62.</w:t>
      </w:r>
    </w:p>
  </w:footnote>
  <w:footnote w:id="66">
    <w:p w14:paraId="2C34451D">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Johnson, L., Davidoff, E., &amp; DeSilva, A. R. (2021). Motivations for police support of domestic violence response team implementation with advocates. </w:t>
      </w:r>
      <w:r>
        <w:rPr>
          <w:rStyle w:val="9"/>
          <w:rFonts w:hint="default" w:ascii="Times New Roman Regular" w:hAnsi="Times New Roman Regular" w:eastAsia="SimSun" w:cs="Times New Roman Regular"/>
          <w:kern w:val="0"/>
          <w:sz w:val="18"/>
          <w:szCs w:val="18"/>
          <w:lang w:val="en-US" w:eastAsia="zh-CN" w:bidi="ar"/>
        </w:rPr>
        <w:t>Violence Against Women, 27</w:t>
      </w:r>
      <w:r>
        <w:rPr>
          <w:rFonts w:hint="default" w:ascii="Times New Roman Regular" w:hAnsi="Times New Roman Regular" w:eastAsia="SimSun" w:cs="Times New Roman Regular"/>
          <w:kern w:val="0"/>
          <w:sz w:val="18"/>
          <w:szCs w:val="18"/>
          <w:lang w:val="en-US" w:eastAsia="zh-CN" w:bidi="ar"/>
        </w:rPr>
        <w:t>(9), 1150–1172.</w:t>
      </w:r>
    </w:p>
  </w:footnote>
  <w:footnote w:id="67">
    <w:p w14:paraId="672887C5">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Randall, M. (2004). Domestic violence and the construction of ideal victims: Assaulted women’s image problems in law. </w:t>
      </w:r>
      <w:r>
        <w:rPr>
          <w:rStyle w:val="9"/>
          <w:rFonts w:hint="default" w:ascii="Times New Roman Regular" w:hAnsi="Times New Roman Regular" w:eastAsia="SimSun" w:cs="Times New Roman Regular"/>
          <w:kern w:val="0"/>
          <w:sz w:val="18"/>
          <w:szCs w:val="18"/>
          <w:lang w:val="en-US" w:eastAsia="zh-CN" w:bidi="ar"/>
        </w:rPr>
        <w:t>St Louis University Public Law Review, 23</w:t>
      </w:r>
      <w:r>
        <w:rPr>
          <w:rFonts w:hint="default" w:ascii="Times New Roman Regular" w:hAnsi="Times New Roman Regular" w:eastAsia="SimSun" w:cs="Times New Roman Regular"/>
          <w:kern w:val="0"/>
          <w:sz w:val="18"/>
          <w:szCs w:val="18"/>
          <w:lang w:val="en-US" w:eastAsia="zh-CN" w:bidi="ar"/>
        </w:rPr>
        <w:t>, 107–154.</w:t>
      </w:r>
    </w:p>
  </w:footnote>
  <w:footnote w:id="68">
    <w:p w14:paraId="26E8BC8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Beecher Monas, E. (2001). Domestic violence: Competing conceptions of equality in the law of evidence. </w:t>
      </w:r>
      <w:r>
        <w:rPr>
          <w:rStyle w:val="9"/>
          <w:rFonts w:hint="default" w:ascii="Times New Roman Regular" w:hAnsi="Times New Roman Regular" w:eastAsia="SimSun" w:cs="Times New Roman Regular"/>
          <w:kern w:val="0"/>
          <w:sz w:val="18"/>
          <w:szCs w:val="18"/>
          <w:lang w:val="en-US" w:eastAsia="zh-CN" w:bidi="ar"/>
        </w:rPr>
        <w:t>Loyola Law Review, 47</w:t>
      </w:r>
      <w:r>
        <w:rPr>
          <w:rFonts w:hint="default" w:ascii="Times New Roman Regular" w:hAnsi="Times New Roman Regular" w:eastAsia="SimSun" w:cs="Times New Roman Regular"/>
          <w:kern w:val="0"/>
          <w:sz w:val="18"/>
          <w:szCs w:val="18"/>
          <w:lang w:val="en-US" w:eastAsia="zh-CN" w:bidi="ar"/>
        </w:rPr>
        <w:t>, 81.</w:t>
      </w:r>
    </w:p>
  </w:footnote>
  <w:footnote w:id="69">
    <w:p w14:paraId="00F4A0A7">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Supreme People’s Court. (2025, November 21). </w:t>
      </w:r>
      <w:r>
        <w:rPr>
          <w:rStyle w:val="9"/>
          <w:rFonts w:hint="default" w:ascii="Times New Roman Regular" w:hAnsi="Times New Roman Regular" w:eastAsia="SimSun" w:cs="Times New Roman Regular"/>
          <w:kern w:val="0"/>
          <w:sz w:val="18"/>
          <w:szCs w:val="18"/>
          <w:lang w:val="en-US" w:eastAsia="zh-CN" w:bidi="ar"/>
        </w:rPr>
        <w:t>Supreme People’s Court releases 2025 typical domestic violence prevention cases in China</w:t>
      </w:r>
      <w:r>
        <w:rPr>
          <w:rFonts w:hint="default" w:ascii="Times New Roman Regular" w:hAnsi="Times New Roman Regular" w:eastAsia="SimSun" w:cs="Times New Roman Regular"/>
          <w:kern w:val="0"/>
          <w:sz w:val="18"/>
          <w:szCs w:val="18"/>
          <w:lang w:val="en-US" w:eastAsia="zh-CN" w:bidi="ar"/>
        </w:rPr>
        <w:t xml:space="preserve">.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"https://www.court.gov.cn/zixun/xiangqing/482111.html?utm_source=chatgpt.com"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https://www.court.gov.cn/zixun/xiangqing/482111.html</w:t>
      </w:r>
      <w:r>
        <w:rPr>
          <w:rFonts w:hint="default" w:ascii="Times New Roman Regular" w:hAnsi="Times New Roman Regular" w:eastAsia="SimSun" w:cs="Times New Roman Regular"/>
          <w:kern w:val="0"/>
          <w:sz w:val="18"/>
          <w:szCs w:val="18"/>
          <w:lang w:val="en-US" w:eastAsia="zh-CN" w:bidi="ar"/>
        </w:rPr>
        <w:fldChar w:fldCharType="end"/>
      </w:r>
    </w:p>
  </w:footnote>
  <w:footnote w:id="70">
    <w:p w14:paraId="1F1EAC5B">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He, X. (2025). Threat to family stability or social stability? Domestic violence protection orders in two Chinese courts. </w:t>
      </w:r>
      <w:r>
        <w:rPr>
          <w:rStyle w:val="9"/>
          <w:rFonts w:hint="default" w:ascii="Times New Roman Regular" w:hAnsi="Times New Roman Regular" w:eastAsia="SimSun" w:cs="Times New Roman Regular"/>
          <w:kern w:val="0"/>
          <w:sz w:val="18"/>
          <w:szCs w:val="18"/>
          <w:lang w:val="en-US" w:eastAsia="zh-CN" w:bidi="ar"/>
        </w:rPr>
        <w:t>Law &amp; Social Inquiry</w:t>
      </w:r>
      <w:r>
        <w:rPr>
          <w:rFonts w:hint="default" w:ascii="Times New Roman Regular" w:hAnsi="Times New Roman Regular" w:eastAsia="SimSun" w:cs="Times New Roman Regular"/>
          <w:kern w:val="0"/>
          <w:sz w:val="18"/>
          <w:szCs w:val="18"/>
          <w:lang w:val="en-US" w:eastAsia="zh-CN" w:bidi="ar"/>
        </w:rPr>
        <w:t>, 1–28.</w:t>
      </w:r>
    </w:p>
  </w:footnote>
  <w:footnote w:id="71">
    <w:p w14:paraId="5BDDD0E6">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Wang, G. (2025, November 27). Cohabitation recognized as family members? Only for the purpose of anti domestic violence, avoid misinterpretation. </w:t>
      </w:r>
      <w:r>
        <w:rPr>
          <w:rStyle w:val="9"/>
          <w:rFonts w:hint="default" w:ascii="Times New Roman Regular" w:hAnsi="Times New Roman Regular" w:eastAsia="SimSun" w:cs="Times New Roman Regular"/>
          <w:kern w:val="0"/>
          <w:sz w:val="18"/>
          <w:szCs w:val="18"/>
          <w:lang w:val="en-US" w:eastAsia="zh-CN" w:bidi="ar"/>
        </w:rPr>
        <w:t>Pengpai News</w:t>
      </w:r>
      <w:r>
        <w:rPr>
          <w:rFonts w:hint="default" w:ascii="Times New Roman Regular" w:hAnsi="Times New Roman Regular" w:eastAsia="SimSun" w:cs="Times New Roman Regular"/>
          <w:kern w:val="0"/>
          <w:sz w:val="18"/>
          <w:szCs w:val="18"/>
          <w:lang w:val="en-US" w:eastAsia="zh-CN" w:bidi="ar"/>
        </w:rPr>
        <w:t xml:space="preserve">.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"https://www.spp.gov.cn/zdgz/202511/t20251127_712210.shtml"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https://www.spp.gov.cn/zdgz/202511/t20251127_712210.shtml</w:t>
      </w:r>
      <w:r>
        <w:rPr>
          <w:rFonts w:hint="default" w:ascii="Times New Roman Regular" w:hAnsi="Times New Roman Regular" w:eastAsia="SimSun" w:cs="Times New Roman Regular"/>
          <w:kern w:val="0"/>
          <w:sz w:val="18"/>
          <w:szCs w:val="18"/>
          <w:lang w:val="en-US" w:eastAsia="zh-CN" w:bidi="ar"/>
        </w:rPr>
        <w:fldChar w:fldCharType="end"/>
      </w:r>
    </w:p>
  </w:footnote>
  <w:footnote w:id="72">
    <w:p w14:paraId="3A74ED0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Rubin, M., Arnon, H., Huppert, J. D., &amp; Perry, A. (2024). Considering the role of human empathy in AI-driven therapy. </w:t>
      </w:r>
      <w:r>
        <w:rPr>
          <w:rStyle w:val="9"/>
          <w:rFonts w:hint="default" w:ascii="Times New Roman Regular" w:hAnsi="Times New Roman Regular" w:eastAsia="SimSun" w:cs="Times New Roman Regular"/>
          <w:kern w:val="0"/>
          <w:sz w:val="18"/>
          <w:szCs w:val="18"/>
          <w:lang w:val="en-US" w:eastAsia="zh-CN" w:bidi="ar"/>
        </w:rPr>
        <w:t>JMIR Mental Health, 11</w:t>
      </w:r>
      <w:r>
        <w:rPr>
          <w:rFonts w:hint="default" w:ascii="Times New Roman Regular" w:hAnsi="Times New Roman Regular" w:eastAsia="SimSun" w:cs="Times New Roman Regular"/>
          <w:kern w:val="0"/>
          <w:sz w:val="18"/>
          <w:szCs w:val="18"/>
          <w:lang w:val="en-US" w:eastAsia="zh-CN" w:bidi="ar"/>
        </w:rPr>
        <w:t xml:space="preserve">, e56529.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"https://doi.org/10.2196/56529"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https://doi.org/10.2196/56529</w:t>
      </w:r>
      <w:r>
        <w:rPr>
          <w:rFonts w:hint="default" w:ascii="Times New Roman Regular" w:hAnsi="Times New Roman Regular" w:eastAsia="SimSun" w:cs="Times New Roman Regular"/>
          <w:kern w:val="0"/>
          <w:sz w:val="18"/>
          <w:szCs w:val="18"/>
          <w:lang w:val="en-US" w:eastAsia="zh-CN" w:bidi="ar"/>
        </w:rPr>
        <w:fldChar w:fldCharType="end"/>
      </w:r>
    </w:p>
  </w:footnote>
  <w:footnote w:id="73">
    <w:p w14:paraId="4C8075BB">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Sweet, P. L. (2019). The paradox of legibility: Domestic violence and institutional survivorhood. </w:t>
      </w:r>
      <w:r>
        <w:rPr>
          <w:rStyle w:val="9"/>
          <w:rFonts w:hint="default" w:ascii="Times New Roman Regular" w:hAnsi="Times New Roman Regular" w:eastAsia="SimSun" w:cs="Times New Roman Regular"/>
          <w:kern w:val="0"/>
          <w:sz w:val="18"/>
          <w:szCs w:val="18"/>
          <w:lang w:val="en-US" w:eastAsia="zh-CN" w:bidi="ar"/>
        </w:rPr>
        <w:t>Social Problems, 66</w:t>
      </w:r>
      <w:r>
        <w:rPr>
          <w:rFonts w:hint="default" w:ascii="Times New Roman Regular" w:hAnsi="Times New Roman Regular" w:eastAsia="SimSun" w:cs="Times New Roman Regular"/>
          <w:kern w:val="0"/>
          <w:sz w:val="18"/>
          <w:szCs w:val="18"/>
          <w:lang w:val="en-US" w:eastAsia="zh-CN" w:bidi="ar"/>
        </w:rPr>
        <w:t xml:space="preserve">(3), 411–427.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"https://doi.org/10.1093/socpro/spy012"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https://doi.org/10.1093/socpro/spy012</w:t>
      </w:r>
      <w:r>
        <w:rPr>
          <w:rFonts w:hint="default" w:ascii="Times New Roman Regular" w:hAnsi="Times New Roman Regular" w:eastAsia="SimSun" w:cs="Times New Roman Regular"/>
          <w:kern w:val="0"/>
          <w:sz w:val="18"/>
          <w:szCs w:val="18"/>
          <w:lang w:val="en-US" w:eastAsia="zh-CN" w:bidi="ar"/>
        </w:rPr>
        <w:fldChar w:fldCharType="end"/>
      </w:r>
    </w:p>
  </w:footnote>
  <w:footnote w:id="74">
    <w:p w14:paraId="752A7F9C">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Rubin, M., Li, J. Z., Zimmerman, F., Ong, D. C., Goldenberg, A., &amp; Perry, A. (2025). Comparing the value of perceived human versus AI-generated empathy. </w:t>
      </w:r>
      <w:r>
        <w:rPr>
          <w:rStyle w:val="9"/>
          <w:rFonts w:hint="default" w:ascii="Times New Roman Regular" w:hAnsi="Times New Roman Regular" w:eastAsia="SimSun" w:cs="Times New Roman Regular"/>
          <w:kern w:val="0"/>
          <w:sz w:val="18"/>
          <w:szCs w:val="18"/>
          <w:lang w:val="en-US" w:eastAsia="zh-CN" w:bidi="ar"/>
        </w:rPr>
        <w:t>Nature Human Behaviour</w:t>
      </w:r>
      <w:r>
        <w:rPr>
          <w:rFonts w:hint="default" w:ascii="Times New Roman Regular" w:hAnsi="Times New Roman Regular" w:eastAsia="SimSun" w:cs="Times New Roman Regular"/>
          <w:kern w:val="0"/>
          <w:sz w:val="18"/>
          <w:szCs w:val="18"/>
          <w:lang w:val="en-US" w:eastAsia="zh-CN" w:bidi="ar"/>
        </w:rPr>
        <w:t xml:space="preserve">.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"https://doi.org/10.1038/s41562-025-02247-w"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https://doi.org/10.1038/s41562-025-02247-w</w:t>
      </w:r>
      <w:r>
        <w:rPr>
          <w:rFonts w:hint="default" w:ascii="Times New Roman Regular" w:hAnsi="Times New Roman Regular" w:eastAsia="SimSun" w:cs="Times New Roman Regular"/>
          <w:kern w:val="0"/>
          <w:sz w:val="18"/>
          <w:szCs w:val="18"/>
          <w:lang w:val="en-US" w:eastAsia="zh-CN" w:bidi="ar"/>
        </w:rPr>
        <w:fldChar w:fldCharType="end"/>
      </w:r>
    </w:p>
  </w:footnote>
  <w:footnote w:id="75">
    <w:p w14:paraId="5493E1B1">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Flanagan, B., Almeida, G., Chen, D., &amp; Gitahi, A. (2025). The rule of law or the rule of robots? Nationally representative survey evidence from Kenya. </w:t>
      </w:r>
      <w:r>
        <w:rPr>
          <w:rStyle w:val="9"/>
          <w:rFonts w:hint="default" w:ascii="Times New Roman Regular" w:hAnsi="Times New Roman Regular" w:eastAsia="SimSun" w:cs="Times New Roman Regular"/>
          <w:kern w:val="0"/>
          <w:sz w:val="18"/>
          <w:szCs w:val="18"/>
          <w:lang w:val="en-US" w:eastAsia="zh-CN" w:bidi="ar"/>
        </w:rPr>
        <w:t>Information &amp; Communications Technology Law</w:t>
      </w:r>
      <w:r>
        <w:rPr>
          <w:rFonts w:hint="default" w:ascii="Times New Roman Regular" w:hAnsi="Times New Roman Regular" w:eastAsia="SimSun" w:cs="Times New Roman Regular"/>
          <w:kern w:val="0"/>
          <w:sz w:val="18"/>
          <w:szCs w:val="18"/>
          <w:lang w:val="en-US" w:eastAsia="zh-CN" w:bidi="ar"/>
        </w:rPr>
        <w:t xml:space="preserve">, 1–18.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"https://doi.org/10.1080/13600834.2025.2533042"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https://doi.org/10.1080/13600834.2025.2533042</w:t>
      </w:r>
      <w:r>
        <w:rPr>
          <w:rFonts w:hint="default" w:ascii="Times New Roman Regular" w:hAnsi="Times New Roman Regular" w:eastAsia="SimSun" w:cs="Times New Roman Regular"/>
          <w:kern w:val="0"/>
          <w:sz w:val="18"/>
          <w:szCs w:val="18"/>
          <w:lang w:val="en-US" w:eastAsia="zh-CN" w:bidi="ar"/>
        </w:rPr>
        <w:fldChar w:fldCharType="end"/>
      </w:r>
    </w:p>
  </w:footnote>
  <w:footnote w:id="76">
    <w:p w14:paraId="6481CCBA">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Cui, Z., &amp; Liu, J. (2022). A study on two conditions for the realization of artificial empathy and its cognitive foundation. </w:t>
      </w:r>
      <w:r>
        <w:rPr>
          <w:rStyle w:val="9"/>
          <w:rFonts w:hint="default" w:ascii="Times New Roman Regular" w:hAnsi="Times New Roman Regular" w:eastAsia="SimSun" w:cs="Times New Roman Regular"/>
          <w:kern w:val="0"/>
          <w:sz w:val="18"/>
          <w:szCs w:val="18"/>
          <w:lang w:val="en-US" w:eastAsia="zh-CN" w:bidi="ar"/>
        </w:rPr>
        <w:t>Philosophies, 7</w:t>
      </w:r>
      <w:r>
        <w:rPr>
          <w:rFonts w:hint="default" w:ascii="Times New Roman Regular" w:hAnsi="Times New Roman Regular" w:eastAsia="SimSun" w:cs="Times New Roman Regular"/>
          <w:kern w:val="0"/>
          <w:sz w:val="18"/>
          <w:szCs w:val="18"/>
          <w:lang w:val="en-US" w:eastAsia="zh-CN" w:bidi="ar"/>
        </w:rPr>
        <w:t xml:space="preserve">(6), 135.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"https://doi.org/10.3390/philosophies7060135"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https://doi.org/10.3390/philosophies7060135</w:t>
      </w:r>
      <w:r>
        <w:rPr>
          <w:rFonts w:hint="default" w:ascii="Times New Roman Regular" w:hAnsi="Times New Roman Regular" w:eastAsia="SimSun" w:cs="Times New Roman Regular"/>
          <w:kern w:val="0"/>
          <w:sz w:val="18"/>
          <w:szCs w:val="18"/>
          <w:lang w:val="en-US" w:eastAsia="zh-CN" w:bidi="ar"/>
        </w:rPr>
        <w:fldChar w:fldCharType="end"/>
      </w:r>
    </w:p>
  </w:footnote>
  <w:footnote w:id="77">
    <w:p w14:paraId="2F2788C2">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Sun, Y., Zappalà, A., Di Maso, E., Pompedda, F., Nyman, T. J., &amp; Santtila, P. (2025). Large language models as jurors: Assessing the potential of LLMs in legal contexts. </w:t>
      </w:r>
      <w:r>
        <w:rPr>
          <w:rStyle w:val="9"/>
          <w:rFonts w:hint="default" w:ascii="Times New Roman Regular" w:hAnsi="Times New Roman Regular" w:eastAsia="SimSun" w:cs="Times New Roman Regular"/>
          <w:kern w:val="0"/>
          <w:sz w:val="18"/>
          <w:szCs w:val="18"/>
          <w:lang w:val="en-US" w:eastAsia="zh-CN" w:bidi="ar"/>
        </w:rPr>
        <w:t>Law and Human Behavior</w:t>
      </w:r>
      <w:r>
        <w:rPr>
          <w:rFonts w:hint="default" w:ascii="Times New Roman Regular" w:hAnsi="Times New Roman Regular" w:eastAsia="SimSun" w:cs="Times New Roman Regular"/>
          <w:kern w:val="0"/>
          <w:sz w:val="18"/>
          <w:szCs w:val="18"/>
          <w:lang w:val="en-US" w:eastAsia="zh-CN" w:bidi="ar"/>
        </w:rPr>
        <w:t xml:space="preserve">.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"https://doi.org/10.1037/lhb0000620"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https://doi.org/10.1037/lhb0000620</w:t>
      </w:r>
      <w:r>
        <w:rPr>
          <w:rFonts w:hint="default" w:ascii="Times New Roman Regular" w:hAnsi="Times New Roman Regular" w:eastAsia="SimSun" w:cs="Times New Roman Regular"/>
          <w:kern w:val="0"/>
          <w:sz w:val="18"/>
          <w:szCs w:val="18"/>
          <w:lang w:val="en-US" w:eastAsia="zh-CN" w:bidi="ar"/>
        </w:rPr>
        <w:fldChar w:fldCharType="end"/>
      </w:r>
    </w:p>
  </w:footnote>
  <w:footnote w:id="78">
    <w:p w14:paraId="4EE2F157">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Messingschlager, T. V., &amp; Appel, M. (2025). Algorithmic bias in image-generating artificial intelligence: Prevalence and user perceptions. </w:t>
      </w:r>
      <w:r>
        <w:rPr>
          <w:rStyle w:val="9"/>
          <w:rFonts w:hint="default" w:ascii="Times New Roman Regular" w:hAnsi="Times New Roman Regular" w:eastAsia="SimSun" w:cs="Times New Roman Regular"/>
          <w:kern w:val="0"/>
          <w:sz w:val="18"/>
          <w:szCs w:val="18"/>
          <w:lang w:val="en-US" w:eastAsia="zh-CN" w:bidi="ar"/>
        </w:rPr>
        <w:t>Information, Communication &amp; Society</w:t>
      </w:r>
      <w:r>
        <w:rPr>
          <w:rFonts w:hint="default" w:ascii="Times New Roman Regular" w:hAnsi="Times New Roman Regular" w:eastAsia="SimSun" w:cs="Times New Roman Regular"/>
          <w:kern w:val="0"/>
          <w:sz w:val="18"/>
          <w:szCs w:val="18"/>
          <w:lang w:val="en-US" w:eastAsia="zh-CN" w:bidi="ar"/>
        </w:rPr>
        <w:t xml:space="preserve">.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"https://doi.org/10.1080/1369118X.2025.2584146"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https://doi.org/10.1080/1369118X.2025.2584146</w:t>
      </w:r>
      <w:r>
        <w:rPr>
          <w:rFonts w:hint="default" w:ascii="Times New Roman Regular" w:hAnsi="Times New Roman Regular" w:eastAsia="SimSun" w:cs="Times New Roman Regular"/>
          <w:kern w:val="0"/>
          <w:sz w:val="18"/>
          <w:szCs w:val="18"/>
          <w:lang w:val="en-US" w:eastAsia="zh-CN" w:bidi="ar"/>
        </w:rPr>
        <w:fldChar w:fldCharType="end"/>
      </w:r>
    </w:p>
  </w:footnote>
  <w:footnote w:id="79">
    <w:p w14:paraId="306B7234">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Shteynberg, G., Halpern, J., Sadovnik, A., Garthoff, J., Perry, A., Hay, J., Montemayor, C., Olson, M. A., Hulsey, T. L., &amp; Fairweather, A. (2024). Does it matter if empathic AI has no empathy? </w:t>
      </w:r>
      <w:r>
        <w:rPr>
          <w:rStyle w:val="9"/>
          <w:rFonts w:hint="default" w:ascii="Times New Roman Regular" w:hAnsi="Times New Roman Regular" w:eastAsia="SimSun" w:cs="Times New Roman Regular"/>
          <w:kern w:val="0"/>
          <w:sz w:val="18"/>
          <w:szCs w:val="18"/>
          <w:lang w:val="en-US" w:eastAsia="zh-CN" w:bidi="ar"/>
        </w:rPr>
        <w:t>Nature Machine Intelligence</w:t>
      </w:r>
      <w:r>
        <w:rPr>
          <w:rFonts w:hint="default" w:ascii="Times New Roman Regular" w:hAnsi="Times New Roman Regular" w:eastAsia="SimSun" w:cs="Times New Roman Regular"/>
          <w:kern w:val="0"/>
          <w:sz w:val="18"/>
          <w:szCs w:val="18"/>
          <w:lang w:val="en-US" w:eastAsia="zh-CN" w:bidi="ar"/>
        </w:rPr>
        <w:t xml:space="preserve">.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"https://doi.org/10.1038/s42256-024-00841-7"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3"/>
          <w:rFonts w:hint="default" w:ascii="Times New Roman Regular" w:hAnsi="Times New Roman Regular" w:eastAsia="SimSun" w:cs="Times New Roman Regular"/>
          <w:sz w:val="18"/>
          <w:szCs w:val="18"/>
        </w:rPr>
        <w:t>https://doi.org/10.1038/s42256-024-00841-7</w:t>
      </w:r>
      <w:r>
        <w:rPr>
          <w:rFonts w:hint="default" w:ascii="Times New Roman Regular" w:hAnsi="Times New Roman Regular" w:eastAsia="SimSun" w:cs="Times New Roman Regular"/>
          <w:kern w:val="0"/>
          <w:sz w:val="18"/>
          <w:szCs w:val="18"/>
          <w:lang w:val="en-US" w:eastAsia="zh-CN" w:bidi="ar"/>
        </w:rPr>
        <w:fldChar w:fldCharType="end"/>
      </w:r>
    </w:p>
  </w:footnote>
  <w:footnote w:id="80">
    <w:p w14:paraId="3DF854D1">
      <w:pPr>
        <w:pStyle w:val="11"/>
        <w:keepNext w:val="0"/>
        <w:keepLines w:val="0"/>
        <w:pageBreakBefore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Peeperkorn, M., Kouwenhoven, T., Brown, D., &amp; Jordanous, A. (2024). Is temperature the creativity parameter of large language models?. arXiv preprint arXiv:2405.00492.</w:t>
      </w:r>
    </w:p>
  </w:footnote>
  <w:footnote w:id="81">
    <w:p w14:paraId="7F3869B0">
      <w:pPr>
        <w:pStyle w:val="11"/>
        <w:keepNext w:val="0"/>
        <w:keepLines w:val="0"/>
        <w:pageBreakBefore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Yong, G. (2024). A Comparative Study on Procedural Adjudication. In Criminal Procedural Trial in China: Procedure of Excluding Illegal Evidence as an Example (pp. 63-123). Singapore: Springer Nature Singapore.</w:t>
      </w:r>
    </w:p>
  </w:footnote>
  <w:footnote w:id="82">
    <w:p w14:paraId="7EF6FA24">
      <w:pPr>
        <w:pStyle w:val="17"/>
        <w:keepNext w:val="0"/>
        <w:keepLines w:val="0"/>
        <w:pageBreakBefore w:val="0"/>
        <w:widowControl/>
        <w:suppressLineNumbers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b w:val="0"/>
          <w:bCs/>
          <w:kern w:val="0"/>
          <w:sz w:val="18"/>
          <w:szCs w:val="18"/>
          <w:lang w:val="en-US" w:eastAsia="zh-CN" w:bidi="ar"/>
        </w:rPr>
        <w:t>Figure 1 shows token consumption. Claude uses 7,684 tokens on average (highest), while Gemini uses only 3,126 (lowest). Top-tier models (DeepSeek variants) achieve best scores with moderate budgets (4,247–5,038 tokens)</w:t>
      </w:r>
    </w:p>
  </w:footnote>
  <w:footnote w:id="83">
    <w:p w14:paraId="72A5A627">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i w:val="0"/>
          <w:iCs w:val="0"/>
          <w:caps w:val="0"/>
          <w:color w:val="222222"/>
          <w:spacing w:val="0"/>
          <w:kern w:val="0"/>
          <w:sz w:val="18"/>
          <w:szCs w:val="18"/>
          <w:shd w:val="clear" w:fill="FFFFFF"/>
          <w:lang w:val="en-US" w:eastAsia="zh-CN" w:bidi="ar"/>
        </w:rPr>
        <w:t>Wang, R. (2019). Decoding judicial reasoning in China: a comparative empirical analysis of Guiding Cases. </w:t>
      </w:r>
      <w:r>
        <w:rPr>
          <w:rFonts w:hint="default" w:ascii="Times New Roman Regular" w:hAnsi="Times New Roman Regular" w:eastAsia="SimSun" w:cs="Times New Roman Regular"/>
          <w:i/>
          <w:iCs/>
          <w:caps w:val="0"/>
          <w:color w:val="222222"/>
          <w:spacing w:val="0"/>
          <w:kern w:val="0"/>
          <w:sz w:val="18"/>
          <w:szCs w:val="18"/>
          <w:shd w:val="clear" w:fill="FFFFFF"/>
          <w:lang w:val="en-US" w:eastAsia="zh-CN" w:bidi="ar"/>
        </w:rPr>
        <w:t>Clev. St. L. Rev.</w:t>
      </w:r>
      <w:r>
        <w:rPr>
          <w:rFonts w:hint="default" w:ascii="Times New Roman Regular" w:hAnsi="Times New Roman Regular" w:eastAsia="SimSun" w:cs="Times New Roman Regular"/>
          <w:i w:val="0"/>
          <w:iCs w:val="0"/>
          <w:caps w:val="0"/>
          <w:color w:val="222222"/>
          <w:spacing w:val="0"/>
          <w:kern w:val="0"/>
          <w:sz w:val="18"/>
          <w:szCs w:val="18"/>
          <w:shd w:val="clear" w:fill="FFFFFF"/>
          <w:lang w:val="en-US" w:eastAsia="zh-CN" w:bidi="ar"/>
        </w:rPr>
        <w:t>, </w:t>
      </w:r>
      <w:r>
        <w:rPr>
          <w:rFonts w:hint="default" w:ascii="Times New Roman Regular" w:hAnsi="Times New Roman Regular" w:eastAsia="SimSun" w:cs="Times New Roman Regular"/>
          <w:i/>
          <w:iCs/>
          <w:caps w:val="0"/>
          <w:color w:val="222222"/>
          <w:spacing w:val="0"/>
          <w:kern w:val="0"/>
          <w:sz w:val="18"/>
          <w:szCs w:val="18"/>
          <w:shd w:val="clear" w:fill="FFFFFF"/>
          <w:lang w:val="en-US" w:eastAsia="zh-CN" w:bidi="ar"/>
        </w:rPr>
        <w:t>68</w:t>
      </w:r>
      <w:r>
        <w:rPr>
          <w:rFonts w:hint="default" w:ascii="Times New Roman Regular" w:hAnsi="Times New Roman Regular" w:eastAsia="SimSun" w:cs="Times New Roman Regular"/>
          <w:i w:val="0"/>
          <w:iCs w:val="0"/>
          <w:caps w:val="0"/>
          <w:color w:val="222222"/>
          <w:spacing w:val="0"/>
          <w:kern w:val="0"/>
          <w:sz w:val="18"/>
          <w:szCs w:val="18"/>
          <w:shd w:val="clear" w:fill="FFFFFF"/>
          <w:lang w:val="en-US" w:eastAsia="zh-CN" w:bidi="ar"/>
        </w:rPr>
        <w:t>, 521.</w:t>
      </w:r>
    </w:p>
  </w:footnote>
  <w:footnote w:id="84">
    <w:p w14:paraId="216A1A16">
      <w:pPr>
        <w:pStyle w:val="11"/>
        <w:keepNext w:val="0"/>
        <w:keepLines w:val="0"/>
        <w:pageBreakBefore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Guo, X., Huang, Y., Wei, B. et al. Specialized or general AI? a comparative evaluation of LLMs’ performance in legal tasks. Artif Intell Law (2025). https://doi.org/10.1007/s10506-025-09460-y</w:t>
      </w:r>
    </w:p>
  </w:footnote>
  <w:footnote w:id="85">
    <w:p w14:paraId="16EBA402">
      <w:pPr>
        <w:pStyle w:val="17"/>
        <w:keepNext w:val="0"/>
        <w:keepLines w:val="0"/>
        <w:pageBreakBefore w:val="0"/>
        <w:widowControl/>
        <w:suppressLineNumbers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b w:val="0"/>
          <w:bCs/>
          <w:kern w:val="0"/>
          <w:sz w:val="18"/>
          <w:szCs w:val="18"/>
          <w:lang w:val="en-US" w:eastAsia="zh-CN" w:bidi="ar"/>
        </w:rPr>
        <w:t>Figure 2 summarizes the final ranking: (1) DeepSeek-Thinking, (2) DeepSeek, (3) Gemini, (4) Claude, (5) Qwen-Max, (6) GPT-4o. The top two are statistically tied, and the gap between tiers is substantial.</w:t>
      </w:r>
    </w:p>
  </w:footnote>
  <w:footnote w:id="86">
    <w:p w14:paraId="071AE835">
      <w:pPr>
        <w:pStyle w:val="11"/>
        <w:keepNext w:val="0"/>
        <w:keepLines w:val="0"/>
        <w:pageBreakBefore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To synthesize quality, reliability, and efficiency into a single view, we construct a Pareto frontier plot (Figure X) with three dimensions: (i) rubric score (y-axis, 0–20), (ii) reliability measured as the inverse of abandoned-law citation rate (x-axis, where higher = more reliable), and (iii) computational cost encoded as bubble size (average total tokens per question). Models on or near the upper-right frontier represent better trade-offs. DeepSeek achieves the highest reliability score (1.0 inverse rate, only 1/100 abandoned citations) with a mean score of 16.42/20 and moderate token usage (avg. 4,247 total tokens), placing it at the efficiency frontier. DeepSeek-Thinking adds +0.03 points (16.45/20) at slightly higher cost (avg. 5,038 tokens) and lower reliability (7/100 abandoned), illustrating a score-reliability tradeoff within the same model family. Gemini matches DeepSeek's reliability (0/100 abandoned) but scores lower (15.63/20) and consumes fewer tokens (avg. 3,126), occupying a different region of the frontier. Claude, Qwen-Max, and GPT-4o fall below the frontier, with GPT-4o exhibiting both the lowest score (9.39/20) and the highest abandoned-law rate (16/100). This analysis confirms that no model dominates all three dimensions simultaneously, and deployment decisions must weigh score gains against reliability risks and cost constraints.</w:t>
      </w:r>
    </w:p>
  </w:footnote>
  <w:footnote w:id="87">
    <w:p w14:paraId="4FACB674">
      <w:pPr>
        <w:pStyle w:val="17"/>
        <w:keepNext w:val="0"/>
        <w:keepLines w:val="0"/>
        <w:pageBreakBefore w:val="0"/>
        <w:widowControl/>
        <w:suppressLineNumbers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b w:val="0"/>
          <w:bCs/>
          <w:kern w:val="0"/>
          <w:sz w:val="18"/>
          <w:szCs w:val="18"/>
          <w:lang w:val="en-US" w:eastAsia="zh-CN" w:bidi="ar"/>
        </w:rPr>
        <w:t>Figure 7 decomposes scores into five rubric dimensions. Top-tier models excel in Subsumption Chain Alignment (3.39–3.42/4) and Key Facts Coverage (3.25–3.30/4), while lower-ranked models show steepest drops in these two dimensions. Value Balancing remains challenging across all models (range: 2.29–3.28/4).</w:t>
      </w:r>
    </w:p>
  </w:footnote>
  <w:footnote w:id="88">
    <w:p w14:paraId="2ECFA1A3">
      <w:pPr>
        <w:pStyle w:val="11"/>
        <w:keepNext w:val="0"/>
        <w:keepLines w:val="0"/>
        <w:pageBreakBefore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highlight w:val="none"/>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Helvetica Neue" w:cs="Times New Roman Regular"/>
          <w:i w:val="0"/>
          <w:iCs w:val="0"/>
          <w:caps w:val="0"/>
          <w:color w:val="000000"/>
          <w:spacing w:val="0"/>
          <w:kern w:val="0"/>
          <w:sz w:val="18"/>
          <w:szCs w:val="18"/>
          <w:highlight w:val="none"/>
          <w:u w:val="none"/>
          <w:lang w:val="en-US" w:eastAsia="zh-CN" w:bidi="ar"/>
        </w:rPr>
        <w:t>Flanagan, B., Almeida, G., Chen, D., &amp; Gitahi, A. (2025). The rule of law or the rule of robots? Nationally representative survey evidence from Kenya. Information &amp; Communications Technology Law, 1-18</w:t>
      </w:r>
    </w:p>
  </w:footnote>
  <w:footnote w:id="89">
    <w:p w14:paraId="1ED1A4B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AdvOTf9433e2d" w:cs="Times New Roman Regular"/>
          <w:color w:val="000000"/>
          <w:kern w:val="0"/>
          <w:sz w:val="18"/>
          <w:szCs w:val="18"/>
          <w:lang w:val="en-US" w:eastAsia="zh-CN" w:bidi="ar"/>
        </w:rPr>
        <w:t xml:space="preserve">Zanotto, S. E., &amp; Aroyehun, S. (2024). </w:t>
      </w:r>
      <w:r>
        <w:rPr>
          <w:rFonts w:hint="default" w:ascii="Times New Roman Regular" w:hAnsi="Times New Roman Regular" w:eastAsia="AdvOTb4af3d5d.I" w:cs="Times New Roman Regular"/>
          <w:color w:val="000000"/>
          <w:kern w:val="0"/>
          <w:sz w:val="18"/>
          <w:szCs w:val="18"/>
          <w:lang w:val="en-US" w:eastAsia="zh-CN" w:bidi="ar"/>
        </w:rPr>
        <w:t>Human variability vs. machine consistency: A linguistic analysis of texts generated by humans and large language models</w:t>
      </w:r>
      <w:r>
        <w:rPr>
          <w:rFonts w:hint="default" w:ascii="Times New Roman Regular" w:hAnsi="Times New Roman Regular" w:eastAsia="AdvOTf9433e2d" w:cs="Times New Roman Regular"/>
          <w:color w:val="000000"/>
          <w:kern w:val="0"/>
          <w:sz w:val="18"/>
          <w:szCs w:val="18"/>
          <w:lang w:val="en-US" w:eastAsia="zh-CN" w:bidi="ar"/>
        </w:rPr>
        <w:t xml:space="preserve">. arXiv. </w:t>
      </w:r>
      <w:r>
        <w:rPr>
          <w:rFonts w:hint="default" w:ascii="Times New Roman Regular" w:hAnsi="Times New Roman Regular" w:eastAsia="AdvOTf9433e2d" w:cs="Times New Roman Regular"/>
          <w:color w:val="231F20"/>
          <w:kern w:val="0"/>
          <w:sz w:val="18"/>
          <w:szCs w:val="18"/>
          <w:lang w:val="en-US" w:eastAsia="zh-CN" w:bidi="ar"/>
        </w:rPr>
        <w:t>https://doi.org/10.48550/arXiv.2412.03025</w:t>
      </w:r>
    </w:p>
  </w:footnote>
  <w:footnote w:id="90">
    <w:p w14:paraId="0FD7167E">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TIX Two Text" w:cs="Times New Roman Regular"/>
          <w:color w:val="231F20"/>
          <w:kern w:val="0"/>
          <w:sz w:val="18"/>
          <w:szCs w:val="18"/>
          <w:lang w:val="en-US" w:eastAsia="zh-CN" w:bidi="ar"/>
        </w:rPr>
        <w:t xml:space="preserve">P. L. Sweet, ‘The Paradox of Legibility: Domestic Violence and Institutional Survivorhood’ (2019) 66 </w:t>
      </w:r>
      <w:r>
        <w:rPr>
          <w:rFonts w:hint="default" w:ascii="Times New Roman Regular" w:hAnsi="Times New Roman Regular" w:eastAsia="STIX Two Text Italic" w:cs="Times New Roman Regular"/>
          <w:i/>
          <w:iCs/>
          <w:color w:val="231F20"/>
          <w:kern w:val="0"/>
          <w:sz w:val="18"/>
          <w:szCs w:val="18"/>
          <w:lang w:val="en-US" w:eastAsia="zh-CN" w:bidi="ar"/>
        </w:rPr>
        <w:t xml:space="preserve">Social Problems </w:t>
      </w:r>
      <w:r>
        <w:rPr>
          <w:rFonts w:hint="default" w:ascii="Times New Roman Regular" w:hAnsi="Times New Roman Regular" w:eastAsia="STIX Two Text" w:cs="Times New Roman Regular"/>
          <w:color w:val="231F20"/>
          <w:kern w:val="0"/>
          <w:sz w:val="18"/>
          <w:szCs w:val="18"/>
          <w:lang w:val="en-US" w:eastAsia="zh-CN" w:bidi="ar"/>
        </w:rPr>
        <w:t>411.</w:t>
      </w:r>
    </w:p>
  </w:footnote>
  <w:footnote w:id="91">
    <w:p w14:paraId="1CA83D16">
      <w:pPr>
        <w:pStyle w:val="17"/>
        <w:keepNext w:val="0"/>
        <w:keepLines w:val="0"/>
        <w:pageBreakBefore w:val="0"/>
        <w:widowControl/>
        <w:suppressLineNumbers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b w:val="0"/>
          <w:bCs/>
          <w:kern w:val="0"/>
          <w:sz w:val="18"/>
          <w:szCs w:val="18"/>
          <w:lang w:val="en-US" w:eastAsia="zh-CN" w:bidi="ar"/>
        </w:rPr>
        <w:t>Figure 15 categorizes impactful errors. GPT-4o exhibits 2 major, 86 obvious, and 68 minor errors (156 total), while DeepSeek records only 0 major, 4 obvious, and 26 minor (30 total). Error rates correlate strongly with abandoned-law citations.</w:t>
      </w:r>
    </w:p>
  </w:footnote>
  <w:footnote w:id="92">
    <w:p w14:paraId="5D3A87BF">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highlight w:val="none"/>
        </w:rPr>
      </w:pPr>
      <w:r>
        <w:rPr>
          <w:rStyle w:val="10"/>
          <w:rFonts w:hint="default" w:ascii="Times New Roman Regular" w:hAnsi="Times New Roman Regular" w:cs="Times New Roman Regular"/>
          <w:sz w:val="18"/>
          <w:szCs w:val="18"/>
        </w:rPr>
        <w:t>[</w:t>
      </w:r>
      <w:r>
        <w:rPr>
          <w:rStyle w:val="10"/>
          <w:rFonts w:hint="default" w:ascii="Times New Roman Regular" w:hAnsi="Times New Roman Regular" w:cs="Times New Roman Regular"/>
          <w:sz w:val="18"/>
          <w:szCs w:val="18"/>
        </w:rPr>
        <w:footnoteRef/>
      </w:r>
      <w:r>
        <w:rPr>
          <w:rStyle w:val="10"/>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i w:val="0"/>
          <w:iCs w:val="0"/>
          <w:caps w:val="0"/>
          <w:color w:val="222222"/>
          <w:spacing w:val="0"/>
          <w:kern w:val="0"/>
          <w:sz w:val="18"/>
          <w:szCs w:val="18"/>
          <w:highlight w:val="none"/>
          <w:shd w:val="clear" w:fill="FFFFFF"/>
          <w:lang w:val="en-US" w:eastAsia="zh-CN" w:bidi="ar"/>
        </w:rPr>
        <w:t>Lin, J. (2024). ‘Worthy survivors’ of domestic violence in the eyes of the Beijing courts. </w:t>
      </w:r>
      <w:r>
        <w:rPr>
          <w:rFonts w:hint="default" w:ascii="Times New Roman Regular" w:hAnsi="Times New Roman Regular" w:eastAsia="SimSun" w:cs="Times New Roman Regular"/>
          <w:i/>
          <w:iCs/>
          <w:caps w:val="0"/>
          <w:color w:val="222222"/>
          <w:spacing w:val="0"/>
          <w:kern w:val="0"/>
          <w:sz w:val="18"/>
          <w:szCs w:val="18"/>
          <w:highlight w:val="none"/>
          <w:shd w:val="clear" w:fill="FFFFFF"/>
          <w:lang w:val="en-US" w:eastAsia="zh-CN" w:bidi="ar"/>
        </w:rPr>
        <w:t>Journal of Law and Society</w:t>
      </w:r>
      <w:r>
        <w:rPr>
          <w:rFonts w:hint="default" w:ascii="Times New Roman Regular" w:hAnsi="Times New Roman Regular" w:eastAsia="SimSun" w:cs="Times New Roman Regular"/>
          <w:i w:val="0"/>
          <w:iCs w:val="0"/>
          <w:caps w:val="0"/>
          <w:color w:val="222222"/>
          <w:spacing w:val="0"/>
          <w:kern w:val="0"/>
          <w:sz w:val="18"/>
          <w:szCs w:val="18"/>
          <w:highlight w:val="none"/>
          <w:shd w:val="clear" w:fill="FFFFFF"/>
          <w:lang w:val="en-US" w:eastAsia="zh-CN" w:bidi="ar"/>
        </w:rPr>
        <w:t>, </w:t>
      </w:r>
      <w:r>
        <w:rPr>
          <w:rFonts w:hint="default" w:ascii="Times New Roman Regular" w:hAnsi="Times New Roman Regular" w:eastAsia="SimSun" w:cs="Times New Roman Regular"/>
          <w:i/>
          <w:iCs/>
          <w:caps w:val="0"/>
          <w:color w:val="222222"/>
          <w:spacing w:val="0"/>
          <w:kern w:val="0"/>
          <w:sz w:val="18"/>
          <w:szCs w:val="18"/>
          <w:highlight w:val="none"/>
          <w:shd w:val="clear" w:fill="FFFFFF"/>
          <w:lang w:val="en-US" w:eastAsia="zh-CN" w:bidi="ar"/>
        </w:rPr>
        <w:t>51</w:t>
      </w:r>
      <w:r>
        <w:rPr>
          <w:rFonts w:hint="default" w:ascii="Times New Roman Regular" w:hAnsi="Times New Roman Regular" w:eastAsia="SimSun" w:cs="Times New Roman Regular"/>
          <w:i w:val="0"/>
          <w:iCs w:val="0"/>
          <w:caps w:val="0"/>
          <w:color w:val="222222"/>
          <w:spacing w:val="0"/>
          <w:kern w:val="0"/>
          <w:sz w:val="18"/>
          <w:szCs w:val="18"/>
          <w:highlight w:val="none"/>
          <w:shd w:val="clear" w:fill="FFFFFF"/>
          <w:lang w:val="en-US" w:eastAsia="zh-CN" w:bidi="ar"/>
        </w:rPr>
        <w:t>(4), 539-561.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DA2A5D"/>
    <w:multiLevelType w:val="singleLevel"/>
    <w:tmpl w:val="BDDA2A5D"/>
    <w:lvl w:ilvl="0" w:tentative="0">
      <w:start w:val="1"/>
      <w:numFmt w:val="decimal"/>
      <w:pStyle w:val="16"/>
      <w:lvlText w:val="%1."/>
      <w:lvlJc w:val="left"/>
      <w:pPr>
        <w:tabs>
          <w:tab w:val="left" w:pos="360"/>
        </w:tabs>
        <w:ind w:left="360" w:hanging="360"/>
      </w:pPr>
    </w:lvl>
  </w:abstractNum>
  <w:abstractNum w:abstractNumId="1">
    <w:nsid w:val="F75E4644"/>
    <w:multiLevelType w:val="singleLevel"/>
    <w:tmpl w:val="F75E4644"/>
    <w:lvl w:ilvl="0" w:tentative="0">
      <w:start w:val="1"/>
      <w:numFmt w:val="bullet"/>
      <w:pStyle w:val="15"/>
      <w:lvlText w:val=""/>
      <w:lvlJc w:val="left"/>
      <w:pPr>
        <w:tabs>
          <w:tab w:val="left" w:pos="780"/>
        </w:tabs>
        <w:ind w:left="780" w:hanging="360"/>
      </w:pPr>
      <w:rPr>
        <w:rFonts w:hint="default" w:ascii="Wingdings" w:hAnsi="Wingdings"/>
      </w:rPr>
    </w:lvl>
  </w:abstractNum>
  <w:abstractNum w:abstractNumId="2">
    <w:nsid w:val="FB7A9F8D"/>
    <w:multiLevelType w:val="singleLevel"/>
    <w:tmpl w:val="FB7A9F8D"/>
    <w:lvl w:ilvl="0" w:tentative="0">
      <w:start w:val="1"/>
      <w:numFmt w:val="decimal"/>
      <w:suff w:val="space"/>
      <w:lvlText w:val="%1)"/>
      <w:lvlJc w:val="left"/>
      <w:rPr>
        <w:rFonts w:hint="default"/>
        <w:b/>
        <w:bCs/>
      </w:rPr>
    </w:lvl>
  </w:abstractNum>
  <w:abstractNum w:abstractNumId="3">
    <w:nsid w:val="5DE4CF4D"/>
    <w:multiLevelType w:val="singleLevel"/>
    <w:tmpl w:val="5DE4CF4D"/>
    <w:lvl w:ilvl="0" w:tentative="0">
      <w:start w:val="5"/>
      <w:numFmt w:val="decimal"/>
      <w:suff w:val="space"/>
      <w:lvlText w:val="%1."/>
      <w:lvlJc w:val="left"/>
    </w:lvl>
  </w:abstractNum>
  <w:abstractNum w:abstractNumId="4">
    <w:nsid w:val="75FE6B64"/>
    <w:multiLevelType w:val="singleLevel"/>
    <w:tmpl w:val="75FE6B64"/>
    <w:lvl w:ilvl="0" w:tentative="0">
      <w:start w:val="1"/>
      <w:numFmt w:val="bullet"/>
      <w:pStyle w:val="14"/>
      <w:lvlText w:val=""/>
      <w:lvlJc w:val="left"/>
      <w:pPr>
        <w:tabs>
          <w:tab w:val="left" w:pos="360"/>
        </w:tabs>
        <w:ind w:left="360" w:hanging="360"/>
      </w:pPr>
      <w:rPr>
        <w:rFonts w:hint="default" w:ascii="Wingdings" w:hAnsi="Wingdings"/>
      </w:rPr>
    </w:lvl>
  </w:abstractNum>
  <w:num w:numId="1">
    <w:abstractNumId w:val="4"/>
  </w:num>
  <w:num w:numId="2">
    <w:abstractNumId w:val="1"/>
  </w:num>
  <w:num w:numId="3">
    <w:abstractNumId w:val="0"/>
  </w:num>
  <w:num w:numId="4">
    <w:abstractNumId w:val="2"/>
  </w:num>
  <w:num w:numId="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龙">
    <w15:presenceInfo w15:providerId="WPS Office" w15:userId="471346388"/>
  </w15:person>
  <w15:person w15:author="Olivia Huang">
    <w15:presenceInfo w15:providerId="None" w15:userId="Olivia Hu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86"/>
    <w:footnote w:id="187"/>
  </w:foot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3EB91C3"/>
    <w:rsid w:val="06E549B1"/>
    <w:rsid w:val="0B6D699A"/>
    <w:rsid w:val="0BDFD72A"/>
    <w:rsid w:val="0DBD1FED"/>
    <w:rsid w:val="0DDEB3BC"/>
    <w:rsid w:val="1772F8B8"/>
    <w:rsid w:val="17F72DBE"/>
    <w:rsid w:val="1AB4642A"/>
    <w:rsid w:val="1B9C0473"/>
    <w:rsid w:val="1BF705F5"/>
    <w:rsid w:val="1D2E2A41"/>
    <w:rsid w:val="1D5C277F"/>
    <w:rsid w:val="1DBEA397"/>
    <w:rsid w:val="1DFE9EE6"/>
    <w:rsid w:val="1E398AF2"/>
    <w:rsid w:val="1FEDA14E"/>
    <w:rsid w:val="1FFBF31D"/>
    <w:rsid w:val="26EF1E25"/>
    <w:rsid w:val="27CF5C10"/>
    <w:rsid w:val="27FF55FC"/>
    <w:rsid w:val="2BF386C2"/>
    <w:rsid w:val="2BFE20CF"/>
    <w:rsid w:val="2E7F593A"/>
    <w:rsid w:val="2F3DE09C"/>
    <w:rsid w:val="2FBFC068"/>
    <w:rsid w:val="329F1B5F"/>
    <w:rsid w:val="33E0C12C"/>
    <w:rsid w:val="359B02F9"/>
    <w:rsid w:val="35D2D0B9"/>
    <w:rsid w:val="37BF66FC"/>
    <w:rsid w:val="37D6A46E"/>
    <w:rsid w:val="37DF9EDE"/>
    <w:rsid w:val="37E73BAE"/>
    <w:rsid w:val="37FB1ACB"/>
    <w:rsid w:val="37FED90E"/>
    <w:rsid w:val="39E938A2"/>
    <w:rsid w:val="3AEE66D1"/>
    <w:rsid w:val="3AF9D7AF"/>
    <w:rsid w:val="3B2F174E"/>
    <w:rsid w:val="3B597FDB"/>
    <w:rsid w:val="3BB2E558"/>
    <w:rsid w:val="3BD5B412"/>
    <w:rsid w:val="3C4F94D1"/>
    <w:rsid w:val="3CCFAB54"/>
    <w:rsid w:val="3D5BA0B2"/>
    <w:rsid w:val="3D5FA9E1"/>
    <w:rsid w:val="3DC403B4"/>
    <w:rsid w:val="3DFDDA98"/>
    <w:rsid w:val="3E1D5AE4"/>
    <w:rsid w:val="3E8CFF80"/>
    <w:rsid w:val="3EEEA13F"/>
    <w:rsid w:val="3EF7D90E"/>
    <w:rsid w:val="3EFB3433"/>
    <w:rsid w:val="3EFF6DDE"/>
    <w:rsid w:val="3F3A6EA5"/>
    <w:rsid w:val="3F4F2372"/>
    <w:rsid w:val="3F5F2E6D"/>
    <w:rsid w:val="3F7D4F7F"/>
    <w:rsid w:val="3F7E3A8D"/>
    <w:rsid w:val="3F7F7C28"/>
    <w:rsid w:val="3F8B6A71"/>
    <w:rsid w:val="3F9ED65F"/>
    <w:rsid w:val="3FAF3B8E"/>
    <w:rsid w:val="3FBB6C06"/>
    <w:rsid w:val="3FD7066E"/>
    <w:rsid w:val="3FDFBAF1"/>
    <w:rsid w:val="3FEA6572"/>
    <w:rsid w:val="3FEE99A5"/>
    <w:rsid w:val="3FEF24E9"/>
    <w:rsid w:val="3FF356B3"/>
    <w:rsid w:val="3FF6338F"/>
    <w:rsid w:val="3FF6EF76"/>
    <w:rsid w:val="3FFB377E"/>
    <w:rsid w:val="3FFF4324"/>
    <w:rsid w:val="4BBF51C4"/>
    <w:rsid w:val="4CFF8D76"/>
    <w:rsid w:val="4DDFC2BA"/>
    <w:rsid w:val="4DF75F90"/>
    <w:rsid w:val="4DFE15F0"/>
    <w:rsid w:val="4DFF32C8"/>
    <w:rsid w:val="4ED91677"/>
    <w:rsid w:val="4EE67555"/>
    <w:rsid w:val="4F395B50"/>
    <w:rsid w:val="51FE805C"/>
    <w:rsid w:val="5367EAC9"/>
    <w:rsid w:val="53BDFAEA"/>
    <w:rsid w:val="552BEDF4"/>
    <w:rsid w:val="55F533BB"/>
    <w:rsid w:val="56FA1844"/>
    <w:rsid w:val="57778DF3"/>
    <w:rsid w:val="57DADF32"/>
    <w:rsid w:val="57EB2E84"/>
    <w:rsid w:val="57FEB619"/>
    <w:rsid w:val="598E6AA3"/>
    <w:rsid w:val="5B7FF70C"/>
    <w:rsid w:val="5BCFF475"/>
    <w:rsid w:val="5BEF141C"/>
    <w:rsid w:val="5BEF95EA"/>
    <w:rsid w:val="5CF42788"/>
    <w:rsid w:val="5DB69571"/>
    <w:rsid w:val="5DE76456"/>
    <w:rsid w:val="5EEF75E8"/>
    <w:rsid w:val="5EFEB8B4"/>
    <w:rsid w:val="5F3BC8AB"/>
    <w:rsid w:val="5F3F2C53"/>
    <w:rsid w:val="5F5DB226"/>
    <w:rsid w:val="5FBCC662"/>
    <w:rsid w:val="5FEB3D7B"/>
    <w:rsid w:val="5FFF4085"/>
    <w:rsid w:val="5FFFA501"/>
    <w:rsid w:val="5FFFA94E"/>
    <w:rsid w:val="5FFFB3A2"/>
    <w:rsid w:val="5FFFD964"/>
    <w:rsid w:val="64FE736A"/>
    <w:rsid w:val="65B5A2EC"/>
    <w:rsid w:val="669FF296"/>
    <w:rsid w:val="66F7ED58"/>
    <w:rsid w:val="673B892B"/>
    <w:rsid w:val="6777B6BD"/>
    <w:rsid w:val="67A713C9"/>
    <w:rsid w:val="67FF1E4B"/>
    <w:rsid w:val="68E9AE03"/>
    <w:rsid w:val="69F7495F"/>
    <w:rsid w:val="6BAC6BBD"/>
    <w:rsid w:val="6BBF1CED"/>
    <w:rsid w:val="6BDF6E8D"/>
    <w:rsid w:val="6BFBCC75"/>
    <w:rsid w:val="6DBC582E"/>
    <w:rsid w:val="6DEF206B"/>
    <w:rsid w:val="6DFD6C70"/>
    <w:rsid w:val="6E7F516A"/>
    <w:rsid w:val="6EB6D856"/>
    <w:rsid w:val="6ED758CA"/>
    <w:rsid w:val="6EEF8069"/>
    <w:rsid w:val="6EFF8F85"/>
    <w:rsid w:val="6F35504E"/>
    <w:rsid w:val="6F5D0111"/>
    <w:rsid w:val="6F7BEADD"/>
    <w:rsid w:val="6F7CFF8F"/>
    <w:rsid w:val="6F7D5D8D"/>
    <w:rsid w:val="6F7D8EA2"/>
    <w:rsid w:val="6F974B3C"/>
    <w:rsid w:val="6FD697E5"/>
    <w:rsid w:val="6FDE1B1E"/>
    <w:rsid w:val="6FDF386F"/>
    <w:rsid w:val="6FDF84B8"/>
    <w:rsid w:val="6FF71E8B"/>
    <w:rsid w:val="716DB9F8"/>
    <w:rsid w:val="71EF3DF0"/>
    <w:rsid w:val="71F6313A"/>
    <w:rsid w:val="72CFE37A"/>
    <w:rsid w:val="737D248A"/>
    <w:rsid w:val="73BC164E"/>
    <w:rsid w:val="73FFBB92"/>
    <w:rsid w:val="747D6F1B"/>
    <w:rsid w:val="74DB1981"/>
    <w:rsid w:val="74FA7320"/>
    <w:rsid w:val="759F2A3E"/>
    <w:rsid w:val="75DFB75D"/>
    <w:rsid w:val="75EB4BA9"/>
    <w:rsid w:val="75EB8AA5"/>
    <w:rsid w:val="76FE4755"/>
    <w:rsid w:val="774FC5E0"/>
    <w:rsid w:val="7771FB87"/>
    <w:rsid w:val="77752DB3"/>
    <w:rsid w:val="77B531DC"/>
    <w:rsid w:val="77BFA0B7"/>
    <w:rsid w:val="77BFB1E9"/>
    <w:rsid w:val="77DF5BEE"/>
    <w:rsid w:val="77F5FBDC"/>
    <w:rsid w:val="7A7CE3DE"/>
    <w:rsid w:val="7AFA8AFA"/>
    <w:rsid w:val="7AFDD8F6"/>
    <w:rsid w:val="7B319935"/>
    <w:rsid w:val="7B58591C"/>
    <w:rsid w:val="7B5E1C12"/>
    <w:rsid w:val="7B5F2D6D"/>
    <w:rsid w:val="7B76B38D"/>
    <w:rsid w:val="7B7D0290"/>
    <w:rsid w:val="7BB5ECE2"/>
    <w:rsid w:val="7BBD6573"/>
    <w:rsid w:val="7BBDC03B"/>
    <w:rsid w:val="7BCB8360"/>
    <w:rsid w:val="7BD4A794"/>
    <w:rsid w:val="7BE3FF35"/>
    <w:rsid w:val="7BEE165A"/>
    <w:rsid w:val="7BF74F16"/>
    <w:rsid w:val="7BFADE5E"/>
    <w:rsid w:val="7BFB8B63"/>
    <w:rsid w:val="7BFF3D50"/>
    <w:rsid w:val="7BFF4C74"/>
    <w:rsid w:val="7BFF7885"/>
    <w:rsid w:val="7BFFD8AB"/>
    <w:rsid w:val="7BFFF68C"/>
    <w:rsid w:val="7C7FCC01"/>
    <w:rsid w:val="7CBE0597"/>
    <w:rsid w:val="7CDE1199"/>
    <w:rsid w:val="7CDF7EA4"/>
    <w:rsid w:val="7CE52E6E"/>
    <w:rsid w:val="7D474E76"/>
    <w:rsid w:val="7D6F398D"/>
    <w:rsid w:val="7D6FB28D"/>
    <w:rsid w:val="7D730FE1"/>
    <w:rsid w:val="7D7EE183"/>
    <w:rsid w:val="7DAFC248"/>
    <w:rsid w:val="7DEDFD2C"/>
    <w:rsid w:val="7DF9C150"/>
    <w:rsid w:val="7DFDF051"/>
    <w:rsid w:val="7DFE4655"/>
    <w:rsid w:val="7DFF05A3"/>
    <w:rsid w:val="7E37291E"/>
    <w:rsid w:val="7E7EFE5C"/>
    <w:rsid w:val="7EAB1CE5"/>
    <w:rsid w:val="7EB32063"/>
    <w:rsid w:val="7EBBE154"/>
    <w:rsid w:val="7EDF632A"/>
    <w:rsid w:val="7EE3591F"/>
    <w:rsid w:val="7EE54E4B"/>
    <w:rsid w:val="7EE743CC"/>
    <w:rsid w:val="7EF2E77B"/>
    <w:rsid w:val="7EF59E88"/>
    <w:rsid w:val="7EFD4AE2"/>
    <w:rsid w:val="7EFE0B89"/>
    <w:rsid w:val="7EFF1816"/>
    <w:rsid w:val="7F0F1D62"/>
    <w:rsid w:val="7F1E16BE"/>
    <w:rsid w:val="7F27D096"/>
    <w:rsid w:val="7F3DA3F9"/>
    <w:rsid w:val="7F3E2D4E"/>
    <w:rsid w:val="7F6EB7C7"/>
    <w:rsid w:val="7F7E009F"/>
    <w:rsid w:val="7F7F7EDE"/>
    <w:rsid w:val="7F7FDA94"/>
    <w:rsid w:val="7FA572FD"/>
    <w:rsid w:val="7FA79764"/>
    <w:rsid w:val="7FADD184"/>
    <w:rsid w:val="7FB2E24E"/>
    <w:rsid w:val="7FB70915"/>
    <w:rsid w:val="7FBB0AF9"/>
    <w:rsid w:val="7FBDE3E6"/>
    <w:rsid w:val="7FBF888B"/>
    <w:rsid w:val="7FCF4B11"/>
    <w:rsid w:val="7FD38453"/>
    <w:rsid w:val="7FDB57AE"/>
    <w:rsid w:val="7FE7B30C"/>
    <w:rsid w:val="7FE7E34F"/>
    <w:rsid w:val="7FEB8E48"/>
    <w:rsid w:val="7FEC4267"/>
    <w:rsid w:val="7FEFE1D9"/>
    <w:rsid w:val="7FEFF1DA"/>
    <w:rsid w:val="7FF1BD77"/>
    <w:rsid w:val="7FF44DB6"/>
    <w:rsid w:val="7FF567CB"/>
    <w:rsid w:val="7FF70EAC"/>
    <w:rsid w:val="7FF72BC0"/>
    <w:rsid w:val="7FFB7000"/>
    <w:rsid w:val="7FFDBC4F"/>
    <w:rsid w:val="7FFE1690"/>
    <w:rsid w:val="7FFF393A"/>
    <w:rsid w:val="7FFFC3E2"/>
    <w:rsid w:val="7FFFC526"/>
    <w:rsid w:val="8DEF4550"/>
    <w:rsid w:val="8F2ED8FC"/>
    <w:rsid w:val="8FDA5552"/>
    <w:rsid w:val="93DE159F"/>
    <w:rsid w:val="94CB1A0A"/>
    <w:rsid w:val="95C3E69E"/>
    <w:rsid w:val="9FFD9E02"/>
    <w:rsid w:val="A37F69FE"/>
    <w:rsid w:val="ABBFF6BF"/>
    <w:rsid w:val="ABDD2CAB"/>
    <w:rsid w:val="ADB705AD"/>
    <w:rsid w:val="AEF7D0C6"/>
    <w:rsid w:val="AEF7E33C"/>
    <w:rsid w:val="AEFB99DD"/>
    <w:rsid w:val="AF8F8FDF"/>
    <w:rsid w:val="AFF749C7"/>
    <w:rsid w:val="B03FF8AE"/>
    <w:rsid w:val="B37F843C"/>
    <w:rsid w:val="B3B55DF1"/>
    <w:rsid w:val="B3EB91C3"/>
    <w:rsid w:val="B3F5E43E"/>
    <w:rsid w:val="B3FED45E"/>
    <w:rsid w:val="B4E7E451"/>
    <w:rsid w:val="B76B5977"/>
    <w:rsid w:val="B7E3D8B2"/>
    <w:rsid w:val="B7FFBFDE"/>
    <w:rsid w:val="BA3BBF1B"/>
    <w:rsid w:val="BAE53EC0"/>
    <w:rsid w:val="BB7502E3"/>
    <w:rsid w:val="BBB9C459"/>
    <w:rsid w:val="BBD70C83"/>
    <w:rsid w:val="BBDDAEA0"/>
    <w:rsid w:val="BBDF1D51"/>
    <w:rsid w:val="BE4B7815"/>
    <w:rsid w:val="BE7DF796"/>
    <w:rsid w:val="BEBFECED"/>
    <w:rsid w:val="BF2DBAB8"/>
    <w:rsid w:val="BF9B788A"/>
    <w:rsid w:val="BFBF3183"/>
    <w:rsid w:val="BFD3FE1F"/>
    <w:rsid w:val="BFD78E08"/>
    <w:rsid w:val="BFF6B63E"/>
    <w:rsid w:val="BFF9FAFB"/>
    <w:rsid w:val="BFFB71BE"/>
    <w:rsid w:val="BFFDC49B"/>
    <w:rsid w:val="BFFDC828"/>
    <w:rsid w:val="C39D5B8A"/>
    <w:rsid w:val="C6F607DF"/>
    <w:rsid w:val="C77C75F3"/>
    <w:rsid w:val="C7AB8A5F"/>
    <w:rsid w:val="CAD4A0C3"/>
    <w:rsid w:val="CB1DF860"/>
    <w:rsid w:val="CB7C06C1"/>
    <w:rsid w:val="CBBB975E"/>
    <w:rsid w:val="CBDB5ABA"/>
    <w:rsid w:val="CBFF68CA"/>
    <w:rsid w:val="CD1D6AFC"/>
    <w:rsid w:val="CD6B71BA"/>
    <w:rsid w:val="CDB38139"/>
    <w:rsid w:val="CDDBC0FF"/>
    <w:rsid w:val="CEDD80C0"/>
    <w:rsid w:val="CEFA64E8"/>
    <w:rsid w:val="CFDDBCC6"/>
    <w:rsid w:val="D1C76B4A"/>
    <w:rsid w:val="D2F9A5A3"/>
    <w:rsid w:val="D637A484"/>
    <w:rsid w:val="D6BF27DB"/>
    <w:rsid w:val="D725C85E"/>
    <w:rsid w:val="D73C9A38"/>
    <w:rsid w:val="D779D31C"/>
    <w:rsid w:val="D7ECA520"/>
    <w:rsid w:val="D7F990D9"/>
    <w:rsid w:val="D7FFE4EA"/>
    <w:rsid w:val="D8F70E92"/>
    <w:rsid w:val="D95EC184"/>
    <w:rsid w:val="D9956181"/>
    <w:rsid w:val="DAB4D597"/>
    <w:rsid w:val="DABF963A"/>
    <w:rsid w:val="DB2F81C5"/>
    <w:rsid w:val="DB6B1CA2"/>
    <w:rsid w:val="DBF5B27E"/>
    <w:rsid w:val="DD2FB604"/>
    <w:rsid w:val="DD416783"/>
    <w:rsid w:val="DD6B9C98"/>
    <w:rsid w:val="DD746822"/>
    <w:rsid w:val="DD7FCEF2"/>
    <w:rsid w:val="DDFF1ACE"/>
    <w:rsid w:val="DE5FC00E"/>
    <w:rsid w:val="DEBB7638"/>
    <w:rsid w:val="DEF37EDF"/>
    <w:rsid w:val="DFCAECB2"/>
    <w:rsid w:val="DFD1CF16"/>
    <w:rsid w:val="DFDFC557"/>
    <w:rsid w:val="DFEFF271"/>
    <w:rsid w:val="DFF8E40C"/>
    <w:rsid w:val="DFFBF8E1"/>
    <w:rsid w:val="DFFF0521"/>
    <w:rsid w:val="DFFF1F95"/>
    <w:rsid w:val="DFFF24A8"/>
    <w:rsid w:val="DFFF6CC0"/>
    <w:rsid w:val="DFFF7359"/>
    <w:rsid w:val="DFFF9417"/>
    <w:rsid w:val="E6E3507F"/>
    <w:rsid w:val="E6FBD5FD"/>
    <w:rsid w:val="E777F7F4"/>
    <w:rsid w:val="E7D3305E"/>
    <w:rsid w:val="E7FFCF9F"/>
    <w:rsid w:val="EADF6A8A"/>
    <w:rsid w:val="EAFFD186"/>
    <w:rsid w:val="EBFFFEF5"/>
    <w:rsid w:val="EE644471"/>
    <w:rsid w:val="EEBEC71F"/>
    <w:rsid w:val="EEF78D07"/>
    <w:rsid w:val="EEFA7896"/>
    <w:rsid w:val="EF2AC09A"/>
    <w:rsid w:val="EF3C6A43"/>
    <w:rsid w:val="EFBFC200"/>
    <w:rsid w:val="EFC92229"/>
    <w:rsid w:val="EFDFE59E"/>
    <w:rsid w:val="EFEBE49C"/>
    <w:rsid w:val="EFF35D43"/>
    <w:rsid w:val="EFFA12F1"/>
    <w:rsid w:val="EFFADE9C"/>
    <w:rsid w:val="EFFD55EB"/>
    <w:rsid w:val="EFFF9C7C"/>
    <w:rsid w:val="EFFFE0E4"/>
    <w:rsid w:val="F15F273E"/>
    <w:rsid w:val="F2BDF81E"/>
    <w:rsid w:val="F2F4BEF1"/>
    <w:rsid w:val="F2FB970D"/>
    <w:rsid w:val="F2FD2368"/>
    <w:rsid w:val="F2FDC00E"/>
    <w:rsid w:val="F33F5E20"/>
    <w:rsid w:val="F3DAF5B2"/>
    <w:rsid w:val="F3FFBF79"/>
    <w:rsid w:val="F51B3D85"/>
    <w:rsid w:val="F5722F28"/>
    <w:rsid w:val="F5DA5B19"/>
    <w:rsid w:val="F5FFA3BB"/>
    <w:rsid w:val="F6B77BC8"/>
    <w:rsid w:val="F6FB2D66"/>
    <w:rsid w:val="F74D59BA"/>
    <w:rsid w:val="F74F6911"/>
    <w:rsid w:val="F77F0A56"/>
    <w:rsid w:val="F7BF9C75"/>
    <w:rsid w:val="F7DD83BC"/>
    <w:rsid w:val="F7E84FAC"/>
    <w:rsid w:val="F7F3CF06"/>
    <w:rsid w:val="F7F72AE8"/>
    <w:rsid w:val="F7F74548"/>
    <w:rsid w:val="F7FB7660"/>
    <w:rsid w:val="F7FF5BC0"/>
    <w:rsid w:val="F7FF61EC"/>
    <w:rsid w:val="F7FFEE6E"/>
    <w:rsid w:val="F7FFFA8B"/>
    <w:rsid w:val="F8AF5AEE"/>
    <w:rsid w:val="F94B23D9"/>
    <w:rsid w:val="F95740BF"/>
    <w:rsid w:val="FA7F1E1C"/>
    <w:rsid w:val="FAEDAC53"/>
    <w:rsid w:val="FAF600B7"/>
    <w:rsid w:val="FAFEAB8A"/>
    <w:rsid w:val="FB2F15EE"/>
    <w:rsid w:val="FB3F2E13"/>
    <w:rsid w:val="FB6FA582"/>
    <w:rsid w:val="FB8B844D"/>
    <w:rsid w:val="FB9A67A6"/>
    <w:rsid w:val="FBAF8A87"/>
    <w:rsid w:val="FBAFF2B7"/>
    <w:rsid w:val="FBD7FFEE"/>
    <w:rsid w:val="FBDF179D"/>
    <w:rsid w:val="FBE71ABE"/>
    <w:rsid w:val="FBF123A3"/>
    <w:rsid w:val="FBF1974E"/>
    <w:rsid w:val="FBF7253C"/>
    <w:rsid w:val="FBFB48C6"/>
    <w:rsid w:val="FBFE3B33"/>
    <w:rsid w:val="FBFF2B16"/>
    <w:rsid w:val="FC7EA36B"/>
    <w:rsid w:val="FC9E4D81"/>
    <w:rsid w:val="FCDEC1D5"/>
    <w:rsid w:val="FCEB3008"/>
    <w:rsid w:val="FCFBE058"/>
    <w:rsid w:val="FCFD0A0B"/>
    <w:rsid w:val="FCFE685D"/>
    <w:rsid w:val="FCFF50AA"/>
    <w:rsid w:val="FD5C3894"/>
    <w:rsid w:val="FD5D5BF3"/>
    <w:rsid w:val="FD6A277E"/>
    <w:rsid w:val="FD6A27BB"/>
    <w:rsid w:val="FD7F1589"/>
    <w:rsid w:val="FDBFB3DE"/>
    <w:rsid w:val="FDCFBC28"/>
    <w:rsid w:val="FDED881E"/>
    <w:rsid w:val="FDEF7665"/>
    <w:rsid w:val="FDFBD153"/>
    <w:rsid w:val="FE37A071"/>
    <w:rsid w:val="FE56AE85"/>
    <w:rsid w:val="FE672B17"/>
    <w:rsid w:val="FE6D42B1"/>
    <w:rsid w:val="FE77903A"/>
    <w:rsid w:val="FE8ECA75"/>
    <w:rsid w:val="FEAFA417"/>
    <w:rsid w:val="FEBF8371"/>
    <w:rsid w:val="FEF521A4"/>
    <w:rsid w:val="FEFB99B3"/>
    <w:rsid w:val="FEFE180C"/>
    <w:rsid w:val="FEFE4398"/>
    <w:rsid w:val="FEFEE915"/>
    <w:rsid w:val="FEFF74CE"/>
    <w:rsid w:val="FF2F39C1"/>
    <w:rsid w:val="FF5715AB"/>
    <w:rsid w:val="FF6F8E3B"/>
    <w:rsid w:val="FF780631"/>
    <w:rsid w:val="FF7DE4F2"/>
    <w:rsid w:val="FF7F61A0"/>
    <w:rsid w:val="FFBD0868"/>
    <w:rsid w:val="FFBD1D22"/>
    <w:rsid w:val="FFBF17CE"/>
    <w:rsid w:val="FFC75EB8"/>
    <w:rsid w:val="FFCD3532"/>
    <w:rsid w:val="FFCDA096"/>
    <w:rsid w:val="FFD5D5A3"/>
    <w:rsid w:val="FFDBB463"/>
    <w:rsid w:val="FFDD130D"/>
    <w:rsid w:val="FFE5409C"/>
    <w:rsid w:val="FFEDC609"/>
    <w:rsid w:val="FFEEB0C9"/>
    <w:rsid w:val="FFEF5203"/>
    <w:rsid w:val="FFEF97C3"/>
    <w:rsid w:val="FFEFF86C"/>
    <w:rsid w:val="FFF13CBD"/>
    <w:rsid w:val="FFF57B87"/>
    <w:rsid w:val="FFF5D92C"/>
    <w:rsid w:val="FFF9E60B"/>
    <w:rsid w:val="FFFBD883"/>
    <w:rsid w:val="FFFCE99B"/>
    <w:rsid w:val="FFFD5C22"/>
    <w:rsid w:val="FFFD7C1E"/>
    <w:rsid w:val="FFFE0DAB"/>
    <w:rsid w:val="FFFF11ED"/>
    <w:rsid w:val="FFFF18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54A1" w:themeColor="accent1" w:themeShade="BF"/>
      <w:sz w:val="32"/>
      <w:szCs w:val="32"/>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annotation text"/>
    <w:basedOn w:val="1"/>
    <w:uiPriority w:val="0"/>
    <w:pPr>
      <w:jc w:val="left"/>
    </w:pPr>
  </w:style>
  <w:style w:type="character" w:styleId="9">
    <w:name w:val="Emphasis"/>
    <w:basedOn w:val="6"/>
    <w:qFormat/>
    <w:uiPriority w:val="0"/>
    <w:rPr>
      <w:i/>
    </w:rPr>
  </w:style>
  <w:style w:type="character" w:styleId="10">
    <w:name w:val="footnote reference"/>
    <w:basedOn w:val="6"/>
    <w:uiPriority w:val="0"/>
    <w:rPr>
      <w:vertAlign w:val="superscript"/>
    </w:rPr>
  </w:style>
  <w:style w:type="paragraph" w:styleId="11">
    <w:name w:val="footnote text"/>
    <w:basedOn w:val="1"/>
    <w:uiPriority w:val="0"/>
    <w:pPr>
      <w:snapToGrid w:val="0"/>
      <w:jc w:val="left"/>
    </w:pPr>
    <w:rPr>
      <w:sz w:val="18"/>
    </w:rPr>
  </w:style>
  <w:style w:type="character" w:styleId="12">
    <w:name w:val="HTML Code"/>
    <w:basedOn w:val="6"/>
    <w:uiPriority w:val="0"/>
    <w:rPr>
      <w:rFonts w:ascii="Courier New" w:hAnsi="Courier New"/>
      <w:sz w:val="20"/>
    </w:rPr>
  </w:style>
  <w:style w:type="character" w:styleId="13">
    <w:name w:val="Hyperlink"/>
    <w:basedOn w:val="6"/>
    <w:uiPriority w:val="0"/>
    <w:rPr>
      <w:rFonts w:ascii="Times New Roman" w:hAnsi="Times New Roman" w:eastAsia="SimSun"/>
      <w:color w:val="0000FF"/>
      <w:u w:val="none"/>
    </w:rPr>
  </w:style>
  <w:style w:type="paragraph" w:styleId="14">
    <w:name w:val="List Bullet"/>
    <w:basedOn w:val="1"/>
    <w:uiPriority w:val="0"/>
    <w:pPr>
      <w:numPr>
        <w:ilvl w:val="0"/>
        <w:numId w:val="1"/>
      </w:numPr>
    </w:pPr>
  </w:style>
  <w:style w:type="paragraph" w:styleId="15">
    <w:name w:val="List Bullet 2"/>
    <w:basedOn w:val="1"/>
    <w:uiPriority w:val="0"/>
    <w:pPr>
      <w:numPr>
        <w:ilvl w:val="0"/>
        <w:numId w:val="2"/>
      </w:numPr>
    </w:pPr>
  </w:style>
  <w:style w:type="paragraph" w:styleId="16">
    <w:name w:val="List Number"/>
    <w:basedOn w:val="1"/>
    <w:uiPriority w:val="0"/>
    <w:pPr>
      <w:numPr>
        <w:ilvl w:val="0"/>
        <w:numId w:val="3"/>
      </w:numPr>
    </w:pPr>
  </w:style>
  <w:style w:type="paragraph" w:styleId="17">
    <w:name w:val="Normal (Web)"/>
    <w:basedOn w:val="1"/>
    <w:uiPriority w:val="0"/>
    <w:pPr>
      <w:spacing w:before="0" w:beforeAutospacing="1" w:after="0" w:afterAutospacing="1"/>
      <w:ind w:left="0" w:right="0"/>
      <w:jc w:val="left"/>
    </w:pPr>
    <w:rPr>
      <w:kern w:val="0"/>
      <w:sz w:val="24"/>
      <w:lang w:val="en-US" w:eastAsia="zh-CN" w:bidi="ar"/>
    </w:rPr>
  </w:style>
  <w:style w:type="character" w:styleId="18">
    <w:name w:val="Strong"/>
    <w:basedOn w:val="6"/>
    <w:qFormat/>
    <w:uiPriority w:val="0"/>
    <w:rPr>
      <w:b/>
    </w:rPr>
  </w:style>
  <w:style w:type="paragraph" w:styleId="19">
    <w:name w:val="Intense Quote"/>
    <w:basedOn w:val="1"/>
    <w:next w:val="1"/>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paragraph" w:customStyle="1" w:styleId="20">
    <w:name w:val="_Style 19"/>
    <w:basedOn w:val="1"/>
    <w:next w:val="1"/>
    <w:uiPriority w:val="0"/>
    <w:pPr>
      <w:pBdr>
        <w:bottom w:val="single" w:color="auto" w:sz="6" w:space="1"/>
      </w:pBdr>
      <w:jc w:val="center"/>
    </w:pPr>
    <w:rPr>
      <w:rFonts w:ascii="Arial" w:eastAsia="SimSun"/>
      <w:vanish/>
      <w:sz w:val="16"/>
    </w:rPr>
  </w:style>
  <w:style w:type="paragraph" w:customStyle="1" w:styleId="21">
    <w:name w:val="_Style 20"/>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90</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2026-01-07T22:02:00Z</dcterms:created>
  <dc:creator>Olivia Huang</dc:creator>
  <cp:lastModifiedBy>陈龙</cp:lastModifiedBy>
  <dcterms:modified xsi:type="dcterms:W3CDTF">2026-01-19T13:06:11Z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1033-12.1.21861.21861</vt:lpwstr>
  </property>
  <property fmtid="{D5CDD505-2E9C-101B-9397-08002B2CF9AE}" pid="3" name="ICV">
    <vt:lpwstr>1BE78C57875658DD31EB6C691110B910_43</vt:lpwstr>
  </property>
</Properties>
</file>