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428AF49">
      <w:pPr>
        <w:keepNext w:val="0"/>
        <w:keepLines w:val="0"/>
        <w:widowControl/>
        <w:suppressLineNumbers w:val="0"/>
        <w:spacing w:before="0" w:beforeAutospacing="0" w:after="0" w:afterAutospacing="0" w:line="500" w:lineRule="atLeast"/>
        <w:ind w:left="0" w:right="0"/>
        <w:jc w:val="center"/>
      </w:pPr>
      <w:r>
        <w:rPr>
          <w:rFonts w:hint="eastAsia" w:ascii="SimSun" w:hAnsi="SimSun" w:eastAsia="SimSun" w:cs="SimSun"/>
          <w:sz w:val="36"/>
          <w:szCs w:val="36"/>
        </w:rPr>
        <w:t>海南省海口市中级人民法院</w:t>
      </w:r>
    </w:p>
    <w:p w14:paraId="39A560D0">
      <w:pPr>
        <w:keepNext w:val="0"/>
        <w:keepLines w:val="0"/>
        <w:widowControl/>
        <w:suppressLineNumbers w:val="0"/>
        <w:spacing w:before="0" w:beforeAutospacing="0" w:after="0" w:afterAutospacing="0" w:line="500" w:lineRule="atLeast"/>
        <w:ind w:left="0" w:right="0"/>
        <w:jc w:val="center"/>
      </w:pPr>
      <w:r>
        <w:rPr>
          <w:rFonts w:hint="eastAsia" w:ascii="SimSun" w:hAnsi="SimSun" w:eastAsia="SimSun" w:cs="SimSun"/>
          <w:sz w:val="36"/>
          <w:szCs w:val="36"/>
        </w:rPr>
        <w:t>民事判决书</w:t>
      </w:r>
    </w:p>
    <w:p w14:paraId="346D02C4">
      <w:pPr>
        <w:keepNext w:val="0"/>
        <w:keepLines w:val="0"/>
        <w:widowControl/>
        <w:suppressLineNumbers w:val="0"/>
        <w:spacing w:before="0" w:beforeAutospacing="0" w:after="0" w:afterAutospacing="0" w:line="500" w:lineRule="atLeast"/>
        <w:ind w:left="0" w:right="0"/>
        <w:jc w:val="right"/>
      </w:pPr>
      <w:r>
        <w:rPr>
          <w:rFonts w:hint="eastAsia" w:ascii="SimSun" w:hAnsi="SimSun" w:eastAsia="SimSun" w:cs="SimSun"/>
          <w:sz w:val="32"/>
          <w:szCs w:val="32"/>
        </w:rPr>
        <w:t>（2024）琼01民终1784号</w:t>
      </w:r>
    </w:p>
    <w:p w14:paraId="70ED7290">
      <w:pPr>
        <w:pStyle w:val="9"/>
        <w:keepNext w:val="0"/>
        <w:keepLines w:val="0"/>
        <w:widowControl/>
        <w:suppressLineNumbers w:val="0"/>
        <w:spacing w:before="0" w:beforeAutospacing="0" w:after="0" w:afterAutospacing="0" w:line="500" w:lineRule="atLeast"/>
        <w:ind w:left="0" w:firstLine="600"/>
        <w:jc w:val="both"/>
      </w:pPr>
      <w:r>
        <w:rPr>
          <w:rFonts w:ascii="FangSong" w:hAnsi="FangSong" w:eastAsia="FangSong" w:cs="FangSong"/>
          <w:sz w:val="32"/>
          <w:szCs w:val="32"/>
        </w:rPr>
        <w:t xml:space="preserve">上诉人（原审被告）：周某某，男，1989年4月16日出生，汉族，住海南省海口市美兰区，公民身份号码XXX。 </w:t>
      </w:r>
    </w:p>
    <w:p w14:paraId="5FF4CD08">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上诉人（原审原告）：吴某某，女，1991年9月18日出生，汉族，住海南省海口市美兰区，公民身份号码XXX。 </w:t>
      </w:r>
    </w:p>
    <w:p w14:paraId="70B0035E">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委托诉讼代理人：何丹霞，海南颖川律师事务所律师。 </w:t>
      </w:r>
    </w:p>
    <w:p w14:paraId="3946DF5F">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上诉人周某某、吴某某因生命权、身体权、健康权纠纷一案，不服海口市美兰区人民法院（2023）琼0108民初18437号民事判决，向本院提起上诉。本院于2024年4月1日立案后，依法组成合议庭，公开开庭进行了审理。上诉人吴某某的委托诉讼代理人何丹霞到庭参加诉讼。被上诉人经本院依法传唤，未到庭参加诉讼，本院依法进行缺席审理。本案现已审理终结。 </w:t>
      </w:r>
    </w:p>
    <w:p w14:paraId="13374CC7">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周某某上诉请求：依法改判驳回吴某某关于医疗费、误工费、伙食费的诉讼请求。事实和理由：一、从双方谈事的起因及结果上讲，一审法院认定有误。法院作出判决应当依据的是事实与证据，一审认定吴某某为无辜的受害者有误，事实并非如此，其乃恶人先告状。首先，是吴某某先发信息挑衅、威胁及勒索周某某，影响了周某某的正常生活。吴某某于2023年6月25日故意逼迫周某某，以商量事情为由约周某某出来见面。在约谈过程中，吴某某恶意挑衅，用手指指着周某某的脸进行辱骂，故意刺激周某某动手。周某某一下子没控制住情绪就扇了吴某某，但是打的并不严重。当时有证人在场，报警后周某某、吴某某一起去了派出所进行协商，吴某某当时并未说明自己耳朵疼，也并未要求去医院检查，而是自己去医院办了住院，并于2023年7月3日再次通过报警告知周某某住院检查的结果。当时在警局，吴某某郑重告知周某某需要50000元才肯协商私了，但周某某当时并不同意，觉得吴某某是在恶意勒索。其次，周某某未给吴某某的健康造成任何损害，不存在法律上的赔偿义务。一审法院对吴某某的行为予以支持有违法律规定，认定周某某“打吴某某左脸两巴掌造成其右耳受伤”是毫无根据的。吴某某当时被打之后脸上没有任何的红肿，但是吴某某有被家暴的倾向，吴某某虽提供了其在医院住院的信息，但并不是被打之后当即于2023年6月25日前往医院做检查，其伤情也许并非周某某造成，即便住院检查了，回家之后受伤也是有可能的。因为吴某某的伤情经鉴定没有构成伤残，所以不认可吴某某的医疗费、助听器购置费及住院伙食补助费均由周某某单方赔偿。 </w:t>
      </w:r>
    </w:p>
    <w:p w14:paraId="070CB96E">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一、一审法院对吴某某提出的误工费、伙食费、住院费予以支持是错误的。吴某某于2023年6月25日事发时并没有要求检查，当时并不需要住院，周某某于2023年7月3日才知道吴某某住院，对这期间发生的事并不知情，也不知道是否为吴某某之后的受伤导致。吴某某主张周某某支付住院费不合理，周某某无需承担住院费，故亦不存在误工费和伙食费。 </w:t>
      </w:r>
    </w:p>
    <w:p w14:paraId="33312D60">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二、吴某某被打的是左脸，伤的却是右脸和头部，因此产生的治疗费用不应由周某某承担，周某某只需承担吴某某因左脸被打而产生的检查费用，而不是承担其他与事实不符的费用。 </w:t>
      </w:r>
    </w:p>
    <w:p w14:paraId="3AF00C45">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综上，民事案件证据规则遵循的是“谁主张谁举证”的基本原则，法院进行审判依据的是已查明的案件事实及证据，但一审法院仅凭吴某某的一面之词及先入为主的主观臆断来判案，难以令人信服，望二审法院支持周某某的上诉请求。 </w:t>
      </w:r>
    </w:p>
    <w:p w14:paraId="2803412C">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吴某某辩称，一、一审法院认定吴某某无过错、系周某某的过错导致吴某某耳鸣符合事实，应予以维持。吴某某在感情上是受害者，是因周某某的妻子与吴某某的丈夫存在不正当男女关系，所以周某某、吴某某双方才约着出来商谈如何解决问题。在商谈的过程中，周某某因自觉面子上挂不住就突然暴打吴某某，最终发生本案的侵权事件。吴某某只是一个弱女子，周某某作为一个男人，再怎么样也不能动手打女人，况且吴某某并没有任何的恶意勒索行为，如果吴某某想要为难周某某，当时就会同意做鉴定，因为只要是构成轻伤以上，周某某都会涉嫌故意伤害罪。 </w:t>
      </w:r>
    </w:p>
    <w:p w14:paraId="32447F27">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一、吴某某被打的当天即2023年6月25日，就已于21点前往海南省中医院会诊，经初步诊断为头部软组织挫伤及耳鸣，如持续性耳鸣不缓解则随诊（见一审证据第1页）。2023年6月27日15时，吴某某右耳持续性耳鸣、头晕头痛，所以再次前往海南省中医院住院治疗。众所周知医院床位紧张，如果达不到住院条件则医院不会建议住院治疗，但吴某某已住院15天。周某某辩称系吴某某自己造成的，完全是为了推卸责任，不管是第一次会诊的时间还是住院日期，均系是被打后的三日内，但周某某在确凿的事实及证据面前还要狡辩，不讲道理。 </w:t>
      </w:r>
    </w:p>
    <w:p w14:paraId="56BD8995">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综上，周某某的上诉请求没有事实依据，不应获得支持。 </w:t>
      </w:r>
    </w:p>
    <w:p w14:paraId="65466D9D">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吴某某上诉请求：1．撤销一审判决第一项，变更增加支持周某某承担吴某某的助听器支出费用3800元；2．撤销一审判决第二项，改判支持吴某某关于周某某赔礼道歉的主张；3．本案一审、二审的案件受理费均由周某某承担。事实与理由：吴某某被打后经常头痛并且持续性耳鸣，听力也受到严重损害，为缓解耳鸣的痛苦，就医期间一直使用助听器进行治疗。出院后，吴某某根据医生建议购买了助听器进行缓解治疗，助听器的费用为3800元。虽然助听器属于残疾辅助器具，但是有治疗耳鸣的作用，这是属于后期治疗的一种方式，吴某某也是根据医生的建议才购买助听器用于缓解治疗的，否则吴某某也没有购买助听器的必要性。一审法院不能以未构成伤残就推断助听器没有购买及治疗的必要，二审法院对此应予以纠正。吴某某一审提交的证据第15页第二行显示“助听器选配试验”，其中数量是7次，单价38元，该助听器治疗总支出为266元，证实吴某某在住院期间经医嘱建议进行助听器治疗。由于吴某某出院后耳鸣情况依然存在，因此才根据医生的建议购买助听器进行后续治疗，一审法院对助听器的作用及事实认识不正确，应予修正。由于周某某肆意殴打吴某某的暴力行为极其恶劣，应当受到道德及法律的谴责，其不仅给吴某某带来了身体上的伤害，还否认吴某某所受伤害与其暴力行为之间的因果关系，周某某作为过错方理应对吴某某进行赔礼道歉，这在法律及道德上也是应当倡导的，故恳请二审法院支持吴某某的上诉请求。 </w:t>
      </w:r>
    </w:p>
    <w:p w14:paraId="48A75921">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周某某书面答辩称，一、吴某某在本次事件中有相当大的过错，应承担相应的民事责任。吴某某在诉状中捏造事实称周某某“打吴某某左边脸伤右边脸”，但事实是吴某某先发了几天的短信恐吓、勒索周某某，为了不影响孩子和家庭，吴某某于2023年6月25日发信息约周某某出去谈事，对周某某进行谩骂、指指点点，之后周某某才失手打了吴某某的左边脸。周某某当天就向新埠派出所报了警，但吴某某的脸当天并未红肿，亦未要求做检查，且吴某某在派出所时承认有被家暴的情形。正是由于吴某某的挑衅行为激化了双方的矛盾才使场面失控，吴某某对此负有相当大的责任。 </w:t>
      </w:r>
    </w:p>
    <w:p w14:paraId="18A0DF5A">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一、吴某某请求的人身损害赔偿金额不合理。1．对于医疗费12849.92元，吴某某提供的医疗费收款凭证，应有病历和诊断证明、用药、助听器等，且周某某打的是吴某某的左边脸，对于右边脸的所有检查费用不合理；2．对于误工费1845元，吴某某无固定收入，收入状况不明；3．对于住院伙食补助费1500元，参照《海南省直机关和事业管理差旅费管理办法》的规定应为30元／天。 </w:t>
      </w:r>
    </w:p>
    <w:p w14:paraId="504DB647">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综上所述，周某某认为吴某某应当老实交代问题，是吴某某先发信息辱骂威胁勒索周某某，约周某某出来商量事情，并对周某某指指点点的辱骂。周某某打的是吴某某的左边脸，吴某某的右边脸或耳朵受伤与周某某无关，不是周某某造成的。且吴某某先前一直都有被家暴的情况，案涉伤情不一定是周某某造成的。吴某某受伤住院，周某某针对其左边脸的治疗应承担相应的责任，而周某某已被拘留五天。为此，请求二审法院查明案件事实，找准案发原因，维护周某某的合法权益。 </w:t>
      </w:r>
    </w:p>
    <w:p w14:paraId="4FE77A53">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吴某某向一审法院起诉请求：1．依法判令周某某向吴某某支付医疗费12849.92元、助听器支出费用3800元、住院伙食补助费1500元（住院15天×100元）、营养费750元（住院15天×50元）、误工费1845元（住院15天×123元）、后续治费30000元、精神抚慰金20000元，以上共计70744.92元；2．依法判令周某某向吴某某赔礼道歉；3．本案的案件受理费由周某某承担。 </w:t>
      </w:r>
    </w:p>
    <w:p w14:paraId="540E92BE">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一审法院认定事实：2023年6月25日23时30分许，吴某某到海口市某某美兰分局海甸派出所报案，称2023年6月25日16时00分许，其在海南省海口市美兰区碧海大道海新桥底下被他人殴打。2023年7月3日10时30分，该派出所民警根据工作线索，将涉嫌打他人的人员即周某某传唤到所调查。经审查，周某某对自己殴打吴某某的事实供认不讳，海口市某某美兰分局于2023年7月3日作出行政处罚决定书【美公（海甸）行罚决字（2023）1472号】，对周某某行政拘留五日。 </w:t>
      </w:r>
    </w:p>
    <w:p w14:paraId="21403EF6">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吴某某被殴打当日即2023年6月25日即至海南省中医院急诊外科进行诊疗，经该院诊断为：1．头部软组织挫伤；2．耳鸣查因，并建议吴某某1周内复查，当日支出门诊费400.07元。2023年6月27日，吴某某到该院门诊进行诊疗，支出门诊费15.80元，当日住院治疗，入院诊断为中医诊断：1．暴聋、气滞血瘀证；西医诊断：1．特发性突聋（右）。2023年7月12日，吴某某出院，出院诊断与入院诊断相同，住院15天期间共支出医药费12365.25元。出院后又于2023年7月19日到该院耳鼻喉科门诊进行诊疗，初步诊断为耳鸣，吴某某当日支出门诊费68.80元。吴某某还购买了助听器花费3800元。根据吴某某提供的其微信支付转账电子凭证显示，自2022年11月起，其每月15日收到金额3700元（除了2023年1月15日为3900元，2023年2月的3700元系2023年2月16日收到），2023年6月起至7月20日未收到该笔款项，吴某某主张其系私营雇主的服务员，双方未签订劳动合同，每个月收入为3700元。 </w:t>
      </w:r>
    </w:p>
    <w:p w14:paraId="72D116C0">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庭审中，周某某确认打了吴某某左脸部两巴掌。 </w:t>
      </w:r>
    </w:p>
    <w:p w14:paraId="2FD0A385">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一审法院认为，公民的生命健康权依法受到法律的保护，被侵权人有权请求侵权人承担侵权的责任。依据上述调查的事实可知，周某某对打伤吴某某这一事实无异议，且海口市某某美兰分局作出美公（海甸）行罚决字（2023）1472号行政处罚决定书中已查明吴某某被周某某殴打，该行政处罚决定书周某某已履行完毕，周某某自认殴打吴某某脸部两巴掌、吴某某的损伤及就医时间与案发时间一致，可以认定该损伤系周某某造成，周某某亦未有证据证实吴某某的损伤系其他因素造成，故周某某应当承担上述吴某某的损害赔偿责任。 </w:t>
      </w:r>
    </w:p>
    <w:p w14:paraId="2EFEA2BC">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根据《最高人民法院关于审理人身损害赔偿案件适用法律若干问题的解释》的规定及吴某某的请求，对吴某某各项经济损失确定如下：1．医疗费：经据票核算，400.07元＋15.80元＋12365.25元＋68.80元，合计12849.92元；2．住院伙食补助费：可以参照当地国家机关一般工作人员的出差伙食补助标准确定，吴某某主张每天按100元计算，不超出标准，予以支持，住院天数为15天，合计1500元；3．营养费：根据受害人伤残情况，参照医疗机构的意见确定，因本案吴某某并未进行鉴定且无医疗机构意见，不予支持；4．误工费：误工时间根据受害人接受治疗的医疗机构出具的证明确定，住院15天，参照2022年海南省城镇私营单位居民服务业年平均收入工资66293元的情况，吴某某按月收入3700元主张其误工损失，属于合理范围，一审法院对其主张的误工费1845元予以支持；5．后续治疗费未实际支出尚无法确定，不予支持；6．精神抚慰金，本案吴某某并未构成伤残，根据其受伤情况，不予支持；7．助听器支出，因助听器属于残疾辅助器具，吴某某并未经鉴定构成伤残，其购买该器具并未提供医嘱证明，故对该诉讼请求一审法院不予支持；8．吴某某主张周某某赔礼道歉，无事实和法律依据，一审法院不予支持。 </w:t>
      </w:r>
    </w:p>
    <w:p w14:paraId="012E34A9">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综上所述，吴某某的诉讼请求，符合上述说理部分，一审法院予以支持；超出部分，一审法院不予支持。周某某的答辩意见，符合上述说理部分，一审法院予以采纳；其余部分，一审法院不予采纳。根据《中华人民共和国民法典》第一千一百六十五条、第一千一百七十九条和《中华人民共和国民事诉讼法》第六十七条第一款之规定，判决：一、周某某应于判决生效之日起十日内向吴某某支付医疗费12849.92元、住院伙食补助费1500元、误工费1845元，以上合计16194.92元；二、驳回吴某某的其他诉讼请求。本案案件受理费507.45元，由吴某某负担390.45元，由周某某负担117元。 </w:t>
      </w:r>
    </w:p>
    <w:p w14:paraId="03207960">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二审期间，吴某某提交了证据：1.2024年4月3日门诊记录、海南省医疗门诊收费票据、诊断报告（三份），拟证明吴某某于2024年4月3日再次进行复诊，经诊断右耳仍然存在耳鸣，至今还未康复；2．百度结果，拟证明通过百度查询“助听器有治疗耳鸣的效果吗”可得知，助听器具有耳鸣管理功能，可以补偿患者听力损失，而且耳鸣至少可部分缓解，正是因为助听器具有这些功能，吴某某才在医生的建议下购买助听器进行治疗耳鸣，一审法院片面地认为助听器只有构成伤残等级才需要，完全是与现在的医疗技术不符；吴某某一审提交的证据第15页第二行“助听器选配试验”显示，其中数量是7次，单价38元，该助听器治疗总支出为266元，该证据也证实了吴某某在住院期间，经医嘱建议进行助听器治疗，由于吴某某出院后耳鸣依然存在，因此才根据医生的建议购买助听器进行后续治疗，一审法院对助听器的作用及事实认定不正确，应予以修正。 </w:t>
      </w:r>
    </w:p>
    <w:p w14:paraId="32EED7B8">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周某某质证称，对证据1、2的三性及证明内容均有异议。 </w:t>
      </w:r>
    </w:p>
    <w:p w14:paraId="1D0E1630">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周某某未提交新证据。 </w:t>
      </w:r>
    </w:p>
    <w:p w14:paraId="0CB2CACD">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本院经审查认为，吴某某提交的证据1有原件予以核对，对真实性予以确认；证据2为通过微软必应搜索引擎搜索出的相关答复结果，无法证明其待证事实，故不予认可。 </w:t>
      </w:r>
    </w:p>
    <w:p w14:paraId="5D732270">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二审查明的事实与一审认定的事实一致。 </w:t>
      </w:r>
    </w:p>
    <w:p w14:paraId="025388F8">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本院认为，本案双方的争议焦点为：一、吴某某所受损伤与周某某的殴打行为是否存在因果关系，周某某是否应对吴某某所受损伤承担赔偿责任；二、吴某某主张的医疗费、住院伙食补助费、误工费、助听器购置费及由周某某向其赔礼道歉是否有事实根据及法律依据。 </w:t>
      </w:r>
    </w:p>
    <w:p w14:paraId="418B7ED8">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一、关于吴某某所受损伤与周某某的殴打行为是否存在因果关系，周某某是否应对吴某某所受损伤承担赔偿责任的问题。海南省中医院于2023年6月25日21时56分35秒出具门诊初诊记录，载明：“吴某某主诉于5小时前被人打伤致头部肿痛，活动受限，头晕耳鸣，……初步诊断为1．头部软组织挫伤；2．耳鸣查因……。”海口市某某美兰分局于2023年7月3日作出美公（海甸）行罚决字（2023）1472号行政处罚决定书，载明：“现查明，2023年6月25日23时30分许，吴某某来所报案称，2023年6月25日16时许，其在海南省海口市美兰区碧海大道海新桥底下被他人殴打。……经审查，周某某对自己殴打他人的事实供认不讳，……现决定对周某某行政拘留五日。”结合上述事实以及周某某于一审庭审中的自认，可以认定本案吴某某所受损伤与周某某的殴打行为存在因果关系，周某某的殴打行为导致吴某某的人身受到损害，依法应当向吴某某承担民事赔偿责任。周某某虽上诉称“吴某某不是当即于2023年6月25日前往医院做检查，其伤情也许并非周某某造成，即便住院检查了，回家之后受伤也是有可能的”，但在吴某某已经提交海南省中医院的门诊初诊记录及支付凭证等证据予以佐证的情况下，其未提供相反证据佐证其主张，应当承担举证不能的诉讼不利后果。故，周某某该上诉主张没有事实根据，一审认定吴某某所受损伤系周某某造成，周某某应当对吴某某的损害承担赔偿责任有事实及法律依据，应予维持。 </w:t>
      </w:r>
    </w:p>
    <w:p w14:paraId="6187BE06">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二、关于吴某某主张的医疗费、住院伙食补助费、误工费、助听器购置费及由周某某向其赔礼道歉是否有事实根据及法律依据的问题。 </w:t>
      </w:r>
    </w:p>
    <w:p w14:paraId="12CC695F">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3．医疗费12849.92元。根据在案证据显示，吴某某于2023年6月25日21时58分29秒向海南省中医院支付160元，于同日23时05分51秒向海南省中医院支付240.07元，两项总计400.07元，该费用支出有海南省中医院门诊初诊记录、海南省中医院疾病证明（NO．0006482）予以佐证；吴某某于2023年6月27日10时22分26秒向海南省中医院支付15.80元，此后，根据海南省中医院作出的《中医住院病案》（病案流水号：20230119261）可知，吴某某于2023年6月27日15时25分26秒入院，于2023年7月12日12时整出院，实际住院15天，住院费用12365.25元，该费用支出有海南省中医院于2023年7月14日开具的海南省医疗住院收费票据（票据号码0000003930）以及于同日打印的住院病人费用汇总单（分类）予以佐证；吴某某于2023年7月19日向海南省中医院支付挂号费、一般诊疗费计68.80元，有海南省中医院于当日开具的海南省医疗住院收费票据（票据号码0002868980）、于17时21分01秒作出的门诊初诊记录予以佐证；以上医疗费用合计12849.92元。周某某上诉称吴某某提供的医疗费收款凭证无病历和诊断证明等予以佐证无理，一审法院认定吴某某支出医疗费12849.92元有事实及法律依据，应予维持。 </w:t>
      </w:r>
    </w:p>
    <w:p w14:paraId="35CA7503">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4．住院伙食补助费1500元。根据《最高人民法院关于审理人身损害赔偿案件适用法律若干问题的解释》第十条规定：“住院伙食补助费可以参照当地国家机关一般工作人员的出差伙食补助标准予以确定。”依照海南省财政厅于2014年4月25日发布的《海南省省直机关差旅费管理办法》（琼财行（2014）493号）第十六条规定：“伙食补助费按出差自然（日历）天数计算，按规定标准包干使用。”第十七条规定：“伙食补助费依照财政部统一发布的全国分地区伙食补助费标准（见附表），按出差目的地的伙食补助费标准（省内出差的按附表所列海南省的伙食补助费标准）执行。”第三十九条规定：“本办法自发布之日起施行。《海南省财政厅关于印发〈海南省省级机关和事业单位差旅费管理办法〉的通知》（琼财行（2008）2011号）和《海南省财政税务厅〈关于省级国家机关、事业单位工作人员差旅费、会议费以及其他开支的规定〉的通知》（琼财税（1996）行字第640号）同时废止。其他有关省直机关差旅费管理规定与本办法不一致的，按照本办法执行。”根据该附表即《全国分地区差旅住宿费和伙食补助费标准表》显示，海南省的伙食补助费标准为100元／天。周某某上诉主张参照《海南省直机关和事业管理差旅费管理办法》规定的伙食补助费30元／天计算无法律依据，一审认定吴某某的住院伙食补助费按100元／天计算，住院天数为15天，合计1500元，有事实根据及法律依据，应予维持。 </w:t>
      </w:r>
    </w:p>
    <w:p w14:paraId="2ED5E94E">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5．误工费1845元。吴某某提供的微信支付转账电子凭证显示，其自2022年11月起于每月15日左右收到的3700元、3900元不等，为其于豪城乔氏台球俱乐部台球厅当服务员的工资，其于2023年6月至7月20日期间未收到该笔款项，以此主张吴某某月收入为3700元（每日工资123元）。依照《最高人民法院关于审理人身损害赔偿案件适用法律若干问题的解释》第七条的规定：“误工费根据受害人的误工时间和收入状况确定。误工时间根据受害人接受治疗的医疗机构出具的证明确定。受害人因伤致残持续误工的，误工时间可以计算至定残日前一天。受害人有固定收入的，误工费按照实际减少的收入计算。受害人无固定收入的，按照其最近三年的平均收入计算；受害人不能举证证明其最近三年的平均收入状况的，可以参照受诉法院所在地相同或者相近行业上一年度职工的平均工资计算。”经查，2022年海南省城镇私营单位居民服务业就业人员年平均工资为66293元，按日计算为181.62元（66293元÷365天），按照住院天数15日计算为2724.30元，吴某某主张按月收入3700元（每日工资123元）计算误工费属于其对自身权利的处分，一审认定吴某某的误工费为1845元有事实根据及法律依据，应予维持；周某某上诉称吴某某无固定收入，收入状况不明故不应支持其误工费的主张无理，不予支持。 </w:t>
      </w:r>
    </w:p>
    <w:p w14:paraId="59CD4826">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6．助听器购置费3800元。吴某某上诉称其系根据医生的建议才购买了助听器，属于后续治疗的一种方式，但未提供医嘱等相关证据予以佐证；其虽提供了与“耳鸣医生”的微信聊天记录，但无法确认该微信用户的身份，应当承担举证不能的诉讼不利后果。故，吴某某主张周某某向其支付助听器购置费3800元没有事实根据及法律依据；一审对其该项诉求未予支持并无不当，应予维持。 </w:t>
      </w:r>
    </w:p>
    <w:p w14:paraId="2F99ED77">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7．赔礼道歉。对于吴某某因本案纠纷所受损伤，周某某已经接受海口市某某美兰分局对其作出的行政拘留五日的行政处罚并已履行完毕，亦将通过本案对吴某某的各项损失进行赔偿，已足以弥补吴某某的各方面损失，一审对其该项诉讼请求不予支持并无不当，应予维持。 </w:t>
      </w:r>
    </w:p>
    <w:p w14:paraId="62B14712">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综上所述，周某某、吴某某的上诉请求均不能成立，应予驳回；一审判决认定事实清楚，适用法律正确，应予维持。依照《中华人民共和国民事诉讼法》第一百七十七条第一款第一项、《最高人民法院关于适用〈中华人民共和国民事诉讼法〉的解释》第二百三十八条、第二百四十一条规定，缺席判决如下： </w:t>
      </w:r>
    </w:p>
    <w:p w14:paraId="747A452E">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驳回上诉，维持原判。 </w:t>
      </w:r>
    </w:p>
    <w:p w14:paraId="791C3855">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二审案件受理费557.45元，由吴某某负担50元，由周某某负担507.45元。 </w:t>
      </w:r>
    </w:p>
    <w:p w14:paraId="09117798">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本判决为终审判决。 </w:t>
      </w:r>
    </w:p>
    <w:p w14:paraId="5F7455E0">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210"/>
          <w:sz w:val="32"/>
          <w:szCs w:val="32"/>
        </w:rPr>
        <w:t>审判长</w:t>
      </w:r>
      <w:r>
        <w:rPr>
          <w:rFonts w:hint="eastAsia" w:ascii="FangSong" w:hAnsi="FangSong" w:eastAsia="FangSong" w:cs="FangSong"/>
          <w:sz w:val="32"/>
          <w:szCs w:val="32"/>
        </w:rPr>
        <w:t>    </w:t>
      </w:r>
      <w:r>
        <w:rPr>
          <w:rFonts w:hint="eastAsia" w:ascii="FangSong" w:hAnsi="FangSong" w:eastAsia="FangSong" w:cs="FangSong"/>
          <w:spacing w:val="210"/>
          <w:sz w:val="32"/>
          <w:szCs w:val="32"/>
        </w:rPr>
        <w:t>蒋小</w:t>
      </w:r>
      <w:r>
        <w:rPr>
          <w:rFonts w:hint="eastAsia" w:ascii="FangSong" w:hAnsi="FangSong" w:eastAsia="FangSong" w:cs="FangSong"/>
          <w:sz w:val="32"/>
          <w:szCs w:val="32"/>
        </w:rPr>
        <w:t>马</w:t>
      </w:r>
    </w:p>
    <w:p w14:paraId="273BF3A1">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210"/>
          <w:sz w:val="32"/>
          <w:szCs w:val="32"/>
        </w:rPr>
        <w:t>审判员</w:t>
      </w:r>
      <w:r>
        <w:rPr>
          <w:rFonts w:hint="eastAsia" w:ascii="FangSong" w:hAnsi="FangSong" w:eastAsia="FangSong" w:cs="FangSong"/>
          <w:sz w:val="32"/>
          <w:szCs w:val="32"/>
        </w:rPr>
        <w:t>    </w:t>
      </w:r>
      <w:r>
        <w:rPr>
          <w:rFonts w:hint="eastAsia" w:ascii="FangSong" w:hAnsi="FangSong" w:eastAsia="FangSong" w:cs="FangSong"/>
          <w:spacing w:val="630"/>
          <w:sz w:val="32"/>
          <w:szCs w:val="32"/>
        </w:rPr>
        <w:t>段</w:t>
      </w:r>
      <w:r>
        <w:rPr>
          <w:rFonts w:hint="eastAsia" w:ascii="FangSong" w:hAnsi="FangSong" w:eastAsia="FangSong" w:cs="FangSong"/>
          <w:sz w:val="32"/>
          <w:szCs w:val="32"/>
        </w:rPr>
        <w:t>欣</w:t>
      </w:r>
    </w:p>
    <w:p w14:paraId="28AF2B02">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210"/>
          <w:sz w:val="32"/>
          <w:szCs w:val="32"/>
        </w:rPr>
        <w:t>审判员</w:t>
      </w:r>
      <w:r>
        <w:rPr>
          <w:rFonts w:hint="eastAsia" w:ascii="FangSong" w:hAnsi="FangSong" w:eastAsia="FangSong" w:cs="FangSong"/>
          <w:sz w:val="32"/>
          <w:szCs w:val="32"/>
        </w:rPr>
        <w:t>    </w:t>
      </w:r>
      <w:r>
        <w:rPr>
          <w:rFonts w:hint="eastAsia" w:ascii="FangSong" w:hAnsi="FangSong" w:eastAsia="FangSong" w:cs="FangSong"/>
          <w:spacing w:val="210"/>
          <w:sz w:val="32"/>
          <w:szCs w:val="32"/>
        </w:rPr>
        <w:t>谢焕</w:t>
      </w:r>
      <w:r>
        <w:rPr>
          <w:rFonts w:hint="eastAsia" w:ascii="FangSong" w:hAnsi="FangSong" w:eastAsia="FangSong" w:cs="FangSong"/>
          <w:sz w:val="32"/>
          <w:szCs w:val="32"/>
        </w:rPr>
        <w:t>怡</w:t>
      </w:r>
    </w:p>
    <w:p w14:paraId="32A9E9FA">
      <w:pPr>
        <w:pStyle w:val="9"/>
        <w:keepNext w:val="0"/>
        <w:keepLines w:val="0"/>
        <w:widowControl/>
        <w:suppressLineNumbers w:val="0"/>
        <w:spacing w:before="0" w:beforeAutospacing="0" w:after="0" w:afterAutospacing="0" w:line="500" w:lineRule="atLeast"/>
        <w:ind w:left="0" w:right="607" w:firstLine="919"/>
        <w:jc w:val="right"/>
      </w:pPr>
      <w:r>
        <w:rPr>
          <w:rFonts w:hint="eastAsia" w:ascii="FangSong" w:hAnsi="FangSong" w:eastAsia="FangSong" w:cs="FangSong"/>
          <w:sz w:val="32"/>
          <w:szCs w:val="32"/>
        </w:rPr>
        <w:t>二〇二四年十二月十三日</w:t>
      </w:r>
    </w:p>
    <w:p w14:paraId="0B739EEC">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69"/>
          <w:sz w:val="32"/>
          <w:szCs w:val="32"/>
        </w:rPr>
        <w:t>法官助理</w:t>
      </w:r>
      <w:r>
        <w:rPr>
          <w:rFonts w:hint="eastAsia" w:ascii="FangSong" w:hAnsi="FangSong" w:eastAsia="FangSong" w:cs="FangSong"/>
          <w:sz w:val="32"/>
          <w:szCs w:val="32"/>
        </w:rPr>
        <w:t>    </w:t>
      </w:r>
      <w:r>
        <w:rPr>
          <w:rFonts w:hint="eastAsia" w:ascii="FangSong" w:hAnsi="FangSong" w:eastAsia="FangSong" w:cs="FangSong"/>
          <w:spacing w:val="210"/>
          <w:sz w:val="32"/>
          <w:szCs w:val="32"/>
        </w:rPr>
        <w:t>黎晓</w:t>
      </w:r>
      <w:r>
        <w:rPr>
          <w:rFonts w:hint="eastAsia" w:ascii="FangSong" w:hAnsi="FangSong" w:eastAsia="FangSong" w:cs="FangSong"/>
          <w:sz w:val="32"/>
          <w:szCs w:val="32"/>
        </w:rPr>
        <w:t>晴</w:t>
      </w:r>
    </w:p>
    <w:p w14:paraId="58EA4F53">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210"/>
          <w:sz w:val="32"/>
          <w:szCs w:val="32"/>
        </w:rPr>
        <w:t>书记员</w:t>
      </w:r>
      <w:r>
        <w:rPr>
          <w:rFonts w:hint="eastAsia" w:ascii="FangSong" w:hAnsi="FangSong" w:eastAsia="FangSong" w:cs="FangSong"/>
          <w:sz w:val="32"/>
          <w:szCs w:val="32"/>
        </w:rPr>
        <w:t>    </w:t>
      </w:r>
      <w:r>
        <w:rPr>
          <w:rFonts w:hint="eastAsia" w:ascii="FangSong" w:hAnsi="FangSong" w:eastAsia="FangSong" w:cs="FangSong"/>
          <w:spacing w:val="210"/>
          <w:sz w:val="32"/>
          <w:szCs w:val="32"/>
        </w:rPr>
        <w:t>郑茗</w:t>
      </w:r>
      <w:r>
        <w:rPr>
          <w:rFonts w:hint="eastAsia" w:ascii="FangSong" w:hAnsi="FangSong" w:eastAsia="FangSong" w:cs="FangSong"/>
          <w:sz w:val="32"/>
          <w:szCs w:val="32"/>
        </w:rPr>
        <w:t>洋</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gSong">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3E4233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163</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2025-12-30T01:52:13Z</dcterms:created>
  <cp:lastModifiedBy>T490s</cp:lastModifiedBy>
  <dcterms:modified xsi:type="dcterms:W3CDTF">2025-12-30T01:52:14Z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852613130E064BEFA5AEFD61D8CB0B7B_13</vt:lpwstr>
  </property>
</Properties>
</file>