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5DAF30A">
      <w:pPr>
        <w:keepNext w:val="0"/>
        <w:keepLines w:val="0"/>
        <w:widowControl/>
        <w:suppressLineNumbers w:val="0"/>
        <w:spacing w:before="0" w:beforeAutospacing="0" w:after="0" w:afterAutospacing="0" w:line="500" w:lineRule="atLeast"/>
        <w:ind w:left="0" w:right="0"/>
        <w:jc w:val="center"/>
      </w:pPr>
      <w:r>
        <w:rPr>
          <w:rFonts w:hint="eastAsia" w:ascii="SimSun" w:hAnsi="SimSun" w:eastAsia="SimSun" w:cs="SimSun"/>
          <w:sz w:val="36"/>
          <w:szCs w:val="36"/>
        </w:rPr>
        <w:t>海南省三亚市中级人民法院</w:t>
      </w:r>
    </w:p>
    <w:p w14:paraId="03D138F0">
      <w:pPr>
        <w:keepNext w:val="0"/>
        <w:keepLines w:val="0"/>
        <w:widowControl/>
        <w:suppressLineNumbers w:val="0"/>
        <w:spacing w:before="0" w:beforeAutospacing="0" w:after="0" w:afterAutospacing="0" w:line="500" w:lineRule="atLeast"/>
        <w:ind w:left="0" w:right="0"/>
        <w:jc w:val="center"/>
      </w:pPr>
      <w:r>
        <w:rPr>
          <w:rFonts w:hint="eastAsia" w:ascii="SimSun" w:hAnsi="SimSun" w:eastAsia="SimSun" w:cs="SimSun"/>
          <w:sz w:val="36"/>
          <w:szCs w:val="36"/>
        </w:rPr>
        <w:t>民事判决书</w:t>
      </w:r>
    </w:p>
    <w:p w14:paraId="44D6495E">
      <w:pPr>
        <w:keepNext w:val="0"/>
        <w:keepLines w:val="0"/>
        <w:widowControl/>
        <w:suppressLineNumbers w:val="0"/>
        <w:spacing w:before="0" w:beforeAutospacing="0" w:after="0" w:afterAutospacing="0" w:line="500" w:lineRule="atLeast"/>
        <w:ind w:left="0" w:right="0"/>
        <w:jc w:val="right"/>
      </w:pPr>
      <w:r>
        <w:rPr>
          <w:rFonts w:hint="eastAsia" w:ascii="SimSun" w:hAnsi="SimSun" w:eastAsia="SimSun" w:cs="SimSun"/>
          <w:sz w:val="32"/>
          <w:szCs w:val="32"/>
        </w:rPr>
        <w:t>（2023）琼02民终3122号</w:t>
      </w:r>
    </w:p>
    <w:p w14:paraId="49810263">
      <w:pPr>
        <w:pStyle w:val="9"/>
        <w:keepNext w:val="0"/>
        <w:keepLines w:val="0"/>
        <w:widowControl/>
        <w:suppressLineNumbers w:val="0"/>
        <w:spacing w:before="0" w:beforeAutospacing="0" w:after="0" w:afterAutospacing="0" w:line="500" w:lineRule="atLeast"/>
        <w:ind w:left="0" w:firstLine="600"/>
        <w:jc w:val="both"/>
      </w:pPr>
      <w:r>
        <w:rPr>
          <w:rFonts w:ascii="FangSong" w:hAnsi="FangSong" w:eastAsia="FangSong" w:cs="FangSong"/>
          <w:sz w:val="32"/>
          <w:szCs w:val="32"/>
        </w:rPr>
        <w:t xml:space="preserve">上诉人（原审原告）：朱某，女，1985年2月20日出生，汉族，公民身份号码XXX，住海南省三亚市吉阳镇荔枝沟社区。 </w:t>
      </w:r>
    </w:p>
    <w:p w14:paraId="35E8A2E4">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委托诉讼代理人：罗某，海南行一律师事务所律师。 </w:t>
      </w:r>
    </w:p>
    <w:p w14:paraId="42B27AE3">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委托诉讼代理人：肖某，海南行一律师事务所实习律师。 </w:t>
      </w:r>
    </w:p>
    <w:p w14:paraId="323C2903">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被上诉人（原审被告）：邱某，男，1982年6月12日出生，仫佬族，公民身份号码XXX，住海南省三亚市丹州社区。 </w:t>
      </w:r>
    </w:p>
    <w:p w14:paraId="571569AE">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委托诉讼代理人：范某，海南鑫恒律师事务所律师。 </w:t>
      </w:r>
    </w:p>
    <w:p w14:paraId="32871990">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上诉人朱某因与被上诉人邱某离婚纠纷一案，不服海南省三亚市城郊人民法院（2022）琼0271民初14047号民事判决，向本院提起上诉。本院立案受理后，依法组成合议庭对本案进行了审理。本案现已审理终结。 </w:t>
      </w:r>
    </w:p>
    <w:p w14:paraId="1B82DC70">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朱某上诉请求：1．撤销一审判决第二项，改判婚生子邱宇涛由朱某抚养，邱某按月支付抚养费2500元，直至婚生子邱宇涛年满18周岁之日止；2．撤销一审判决第三项，改判三亚高级知识分子住宅园区西区第一期第6栋A单元4层402号房屋归朱某所有，朱某无需向邱某支付补偿款；3．撤销一审判决第五项；4．判决分割婚姻存续期间产生积累的养老金1366742.5元、公积金230821.28元，即邱某向朱某支付其养老金账户中54669.7元，公积金账户中57705.32元，以上共计112375.02元。5．本案诉讼费由邱某承担。事实与理由：一、一审法院认定事实错误，所确认邱宇涛的被扶养情况与事实严重不符。虽然邱宇涛短暂存在与男方父母共同居住、男方父母有过帮助照顾邱宇涛的情况，但邱宇涛两岁时，男方父母便返回老家，不存在接送上学的情况。婚生子邱宇涛并非单独随男方父母长期生活。朱某系大学教师，工作日有更多自主安排的时间，周末、寒假、暑假有更多的时间陪伴照顾邱宇涛，反而邱某存在工作黑白颠倒、长时间出差繁忙到无法照顾家庭、一直缺席邱宇涛成长的事实，更无承担多少养育邱宇涛的经济开支，邱宇涛与父亲关系疏离。作为与邱宇涛长期共同生活的母亲，从邱宇涛出生之日一直是直接的承担抚养邱宇涛的责任和义务。从一审所提交证据可以看出，邱宇涛的幼儿园是在朱某工作单位的附属幼儿园就读的，至今上小学后，亦是由朱某与老师对接邱宇涛学校事宜。邱宇涛出生至今的生活、教育、开支等诸多事项，均由朱某直接、持续负责照顾、安排和监管，而男方父母所提供的仅仅是在短暂的共同居住期间“帮助看护”，与抚养邱宇涛所要承担全方位、全方面的责任和义务相去甚远。另外，一审法院所认定的“至本案第三次开庭时朱某擅自带邱宇涛离家自行外出居住生活至今。”亦与事实不符。朱某之所以带邱宇涛离家居住是由于邱某母亲在一审第三次开庭前，在未经告知的情况下突然住进朱某的家中，加之之前邱某及其母亲使用暴力行为对朱某大打出手，法院对朱某出具了人身安全保护令。如此恶劣的家庭环境、祖父母现状，对于邱宇涛的成长明显不利，因此不应维持邱宇涛在这样的现状中继续生活。在此情况下，为避免冲突、尽量避免给邱宇涛造成身心损害，朱某无奈才带邱宇涛在外租房居住生活。在此期间，邱宇涛亦一直由朱某直接抚养、照顾（包括接送上学），由于邱宇涛从小就是由朱某一直亲身抚养，租房居住期间生活学习等方面并无任何的不适，足以证明邱宇涛对于朱某的抚养和照顾从来以来都是习惯和认可的，更是离不开的。依照有关法律规定，对于邱宇涛抚养权的判决，应当从有利于子女身心健康，保障自子女合法权益出发，结合父母双方的抚养能力和抚养条件等具体情况予以处理。本案中虽然邱某在经济收入方面稍有优势，朱某的经济收入也足够保障邱宇涛的生活教育。对于邱宇涛而言，情感需求大于物质需求，朱某与邱宇涛感情基础深厚。相反，邱某及其母亲不仅存在严重家庭暴力，邱某父亲角色缺失，邱某的父亲亦身患重病、母亲年逾七十。在此情况下，对于邱宇涛抚养应当打破一审认定的所谓的“现状”，着眼于邱宇涛日后的健康成长，判决由朱某与邱宇涛继续共同生活、行使直接抚养权。同时，根据法律规定以及一审所查明的邱某收入情况，亦应由邱某支付抚养费。二、一审法院未查明涉案房产性质，并认为涉案房产首付款343532元系邱某的婚前财产，事实认定不清，适用法律错误。三亚高级知识分子住宅园区西区第一期第6栋A单元4层402号房（以下简称“涉案房屋”），系政策性住房中的限价商品房。根据《三亚限价商品住房管理暂行办法》可见，限价商品房属于保障性住房的范围，购房主体特定，购买价格亦具有福利性质。本案涉案房屋系由朱某一方婚前申请的，房产的供应对象仅为朱某一方，与邱某无关。具体而言，朱某为取得该房屋，承担了相应的附加条件。即朱某需向三亚学院提供不少于22年的服务年限，否则将承担严重的违约责任，且房子作为员工福利房，房屋买卖合同中的买受人即产权登记人仅为作为三亚学院员工的朱某，跟邱某无关。也正是在这种情况下，朱某婚前申请的限价房经过资格审查符合条件后，才确定了具体的房屋，朱某婚前签订了楼宇认购书并缴纳了定金，房屋确定后不可更改。而此后履行的购房手续即签订房屋买卖合同、支付房款等行为均系申请行为的延续。在此期间，朱某婚姻状态的变动或实际付款主体、数额的不同等情况对已确定的涉案房屋没有任何影响。因此，涉案房屋应认定为朱某的个人财产，不应按共同财产分割。对于邱某就涉案房屋所支付的首付款和贷款，应当认定为系为夫妻共同生活的必要支出不予补偿。同时，一审法院所认定的涉案房产首付款343532元系邱某的婚前财产，没有任何事实依据。根据朱某所提供的《海南省农村信用社“一小通”一般担保贷款合同》（以下简称“一小通”贷款合同）以及邱某提供的银行账户明细可以看出，343532元虽然是于2015年3月30日通过邱某名下的三亚农商银行卡支付，但其中200000元系双方共同向三亚农村商业银行股份有限公司河东支行（以下简称三亚农商行河东支行）申请的贷款。该笔贷款于2015年3月27日发放到邱某名下的三亚农商银行卡，随后刷卡用于支付涉案房屋的首付款。此后，该笔200000元贷款已被还清。因此，一审法院认定涉案房产首付款343532元系邱某的婚前财产明显错误，而且邱某亦未提供相应的证据证明此首付款为邱某的婚前财产，据此计算朱某应向邱某支付房屋补偿款452425元没有事实依据和法律依据。三、一审法院将养老金、住房公积金认定为双方各自拥有、认定不宜分割，属于事实认定不清，适用法律错误。根据《最高人民法院关于适用〈中华人民共和国民法典〉婚姻家庭编的解释（一）》第二十五条规定，婚姻关系存续期间，养老金、住房公积金属于“其他应当归共同所有的财产”，离婚时予以分割。朱某与邱某并未实行明确的夫妻财产分别制，只是朱某作为母亲和妻子相较于邱某承担了更多的家庭支出和责任。因此，双方婚姻存续期间，实际取得的收入，包括养老金、住房公积金应当属于共同财产，离婚时应当予以分割。除此以外，本案邱某曾经进行多次家暴行为，属于婚姻中的过错方，依照法律规定对于有过错的一方，离婚时应当不分或者少分财产。综上，一审判决事实认定错误、事实认定不清，适用法律错误。相关判决内容依法应予以撤销并改判支持朱某的上诉请求。 </w:t>
      </w:r>
    </w:p>
    <w:p w14:paraId="03314C57">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邱某辩称，一、关于朱某提出“一审法院认定事实错误，所确认邱宇涛的被扶养情况与事实严重不符，对邱宇涛抚养权判决明显不利于邱宇涛成长”的上诉主张不能成立。第一，婚生子邱宇涛自出生时起，就跟随男女双方及邱某父母一起生活。由于男女双方均有工作在身，所以邱宇涛在三岁之前，一直是由邱某父母在照顾抚养。根据《最高人民法院关于适用〈中华人民共和国民法典〉婚姻家庭编的解释（一）》第四十七条之规定，应当由邱某直接抚养邱宇涛为宜。第二，邱某具备照顾抚养邱宇涛的感情基础、时间条件、经济条件和性别优势，且不存在不适宜抚养邱宇涛的情况。首先，邱宇涛自幼和邱某一起生活，从邱宇涛牙牙学语时起至现在上小学，邱某陪伴了邱宇涛的整个成长过程，从邱某提交的证据可以看出，邱某经常带邱宇涛进行户外活动，接送邱宇涛上下学，带邱宇涛去菜市场买菜，送邱宇涛去辅导班等等，为了给邱宇涛提供更加优越的学习环境，邱某更是费尽心血、倾其所有，只为邱宇涛能够接受到更好的教育，邱某与邱宇涛之间具有深厚、无法取代的父子感情基础。其次，邱某的工作岗位已经由原来的执法岗转为文职，单位也出具了相关的工作情况说明，证明邱某上下班时间正常，具备照顾抚养邱宇涛的时间条件，邱某完全有充分且稳定的时间接送邱宇涛上学、放学、送邱宇涛去辅导班等。相反，朱某虽然是大学教师，但其工作单位对老师的工作要求极其严格，即使不上课，也要时刻在单位，不允许外出，加班更是家常便饭。并且，朱某工作单位距离邱宇涛就读学校较远，在兼顾工作与照顾邱宇涛之间朱某势必会影响到邱宇涛的学习生活状态，而邱某工作单位距离邱宇涛学校较近且都在同一条路线上，邱宇涛在校期间如有任何的情况，邱某都可以在第一时间赶到学校处理，照顾起来更为方便，所以朱某不具备充分且稳定的时间与精力照顾邱宇涛的条件。第三，从一审提交的证据能够明显看出，邱某工作稳定，收入较高，而朱某每月收入仅为五千余元，在经济上亦不如邱某，无法给邱宇涛提供相对优越的成长环境。第四，性别优势。通常来说，同性别的子女与父母间的沟通更加便利和自然，也符合性别发展的规律，在邱宇涛身体发育及心理塑造过程中，必然会遇到性别方面的问题，邱某能够给予邱宇涛更多的引导。第五、受原生家庭的影响，朱某性格存在明显缺陷、心理严重失衡、控制欲强，如果邱宇涛交由其直接抚养，明显不利于邱宇涛身心健康的发展。二、涉案房产的性质不影响对夫妻共同财产的认定和分割，且应当予以分割。涉案房产首付款系邱某的婚前个人财产，一审判决判令朱某向邱某补偿452425元正确。1．虽然涉案房产是限价商品房，但根据《三亚限价商品房住房管理暂定办法》第二条规定，其性质仍然属于普通商品住房性质，能够进行分割。2．虽然涉案房产是朱某婚前申请，但《商品房买卖合同》的签订时间、首付款的支付时间以及公积金贷款的申请时间和偿还均发生在婚后，系一方婚后取得的财产，当然属于法定的夫妻共同财产。3．双方登记结婚的时间是2015年3月23日，涉案房产《商品房买卖合同》的签订时间和首付款的支付时间均为2015年3月30日。可以看出，购房合同的签订时间以及首付款的支付时间距离结婚登记仅有几天，显然涉案房产的首付款并非以夫妻共同财产支付，而是双方各自的婚前财产，其中首付款中有50000元系朱某的婚前财产，剩余343532元系邱某的婚前财产。4．关于首付款的来源问题，首付款均来自于邱某的婚前个人财产。当时在购置涉案房产时，由于朱某毫无经济能力，所以首付款的筹措全是邱某在准备。当时邱某手上大概有15万的个人存款，距离首付款还差20万左右，于是邱某父母于婚前2015年2月12日、2月13日分三笔向邱某转款88000元，剩余12万邱某准备以提取自己住房公积金的方式补上。但由于提取住房公积金必须以签订商品房买卖合同为前提，当时尚不满足提取住房公积金的条件，所以采用一种折衷的方式，即暂时先以装修贷款200000元过渡，待签订商品房买卖合同后，再把提取的住房公积金补上。虽然支付首付款时用到了200000元的装修贷款，但那只是尚不满足提取住房公积金条件下的权宜之计，已经被邱某父母婚前资助的88000元和后面提取的邱某个人住房公积金120600元所取代。况且邱某个人住房公积金的提取时间是2015年5月8日，距离结婚尚不足两个月，显然也不属于夫妻共同财产。5．涉案房产已具备分割条件，且本案中的离婚分割并不违反政府规定以及朱某与三亚学院的约定，也未侵害其它第三方的合法权益。首先，本案涉及的是离婚夫妻共同财产的分割，而非涉案房产的上市流转，所以既不违反政府的相关规定，也不违反朱某与三亚学院之间的约定。此外，依据朱某、三亚学院以及涉房案屋开发商签订的《关于教职工优惠购买高知园区住宅有关事项的合同书》的约定，在朱某完成相应的服务年限前，未经三亚学院书面同意，朱某对所购高知园住宅在转让、抵押、置换、赠与、出租等方面不具有完全独立的处分权，据此可知，三亚学院并未阻止购房人办理房产证，仅享有对涉案房屋转让、置换、赠与等方面的债权和回购权。邱某在本案中也并未主张涉案房产的所有权，仅是主张将自己支付的首付款和偿还的贷款拿回来，为了尽快解决本次纠纷，尽快脱离这名副其实的婚姻，邱某已经作出巨大的牺牲和让步，对于涉案房产的高增值部分邱某也同意放弃。换言之，分割涉案房产，不涉及到房产的上市流转过户转让问题，也没有改变朱某对涉案房产享有权利的现状。朱某故意以所谓的三方协议为由，不去办理房产证，企图获取独自占有涉案房屋的不法利益，不应得到支持。三、一审法院将双方的养老金、公积金以及各自保存的银行存款判令不宜分割，正是基于邱某多年的辛苦付出、养老金、住房公积金所具备的人身属性以及各自银行存款的数额等综合考量下作出的公平之举，判决结果并无不当。1．养老金与公积金具有一定的人身属性，与双方各自的工作年限、岗位、职称、待遇等密切相关，不能将其完全等同于财产权益。2．男女双方尚未退休，不满足领取养老金的条件，朱某主张分割养老金没有事实根据和法律依据。退一步讲，即便法院认为养老金可以分割，依法也只能分割养老保险个人账户的部分。邱某婚姻期间个人养老账户部分为1357021.5元×8％=108561.72元。朱某婚姻期间个人养老账户部分为30594.72元［（389334元﹣6900元）×8％］。按照平均分割的原则，邱某应当向朱某支付54280.86元，朱某应当向邱某支付15297.36元。经抵扣，邱某仅需向朱某支付38983.5元。3．朱某主张分割公积金同样没有法律依据和事实根据。依据《住房公积金管理条例》第二十四条的规定，离婚并非提取住房公积金的法定事由，且涉案房产的贷款绝大部分是由邱某的住房公积金在偿还，邱某的住房公积金缴纳基数明显高于朱某，再行分割对邱某极不公平。4．根据一审提交的证据，朱某尚有银行存款十余万元，如果按照平均分割的原则，朱某还需向邱某支付几万元，折算下来，与养老保险和公积金的分割数额基本持平，且操作起来相当复杂，一审法院酌情确定为各自财产亦无不当。5．邱某已经放弃涉案房产至少150万元的增值利益，且在婚姻关系存续期间，基本上所有的家庭开销和银行贷款都由邱某承担，一审法院正是考虑到邱某在婚姻关系中的经济付出远高于朱某，再考虑到双方养老金、住房公积金以及银行存款之间可相互抵扣，如再行分割，一是操作难度大，二是显然对邱某也不公平。故对于双方各自的养老金、住房公积金、银行存款应当判归各自所有，不宜再进行分割。综上，恳请二审法院依法驳回朱某的上诉，维持原判。 </w:t>
      </w:r>
    </w:p>
    <w:p w14:paraId="01D23256">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朱某向一审法院提出诉讼请求：1．判令准予朱某与邱某离婚；2．判令朱某与邱某婚生子邱宇涛由朱某抚养，邱某每个月向朱某支付5482.08元抚养费，直至婚生子邱宇涛年满18周岁之日止；3．判令分割婚姻存续期间产生积累的养老金1366742.5元、公积金230821.28元，即邱某向朱某支付其养老金账户中54669.7元，公积金账户中57705.32元，以上共计112375.02元；（具体金额以实际调查为准）；4．判令三亚高级知识分子住宅园区西区第一期第6栋A单元4层402号房屋使用权归朱某所有；5、判令对婚姻存续期间购买的18K金镶钻石戒指2件、足金耳饰一对、千足金项链一件中的18K金镶钻石戒指（女戒）、足金耳饰一对、千足金项链分割给朱某”；6．本案诉讼费由邱某承担。 </w:t>
      </w:r>
    </w:p>
    <w:p w14:paraId="3DE22689">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一审法院认定事实：2015年3月23日，朱某与邱某登记结婚，于2015年10月30日生育儿子邱宇涛。儿子邱宇涛从出生至本案第三次开庭2023年8月15日前，一直长期跟随朱某、邱某及邱某父母共同居住生活，由于朱某、邱某为工薪人员，邱宇涛自小均由邱某的父母帮助看护、接送上学。近几年来由于朱某、邱某双方性格存在较大差异，夫妻矛盾加深。朱某曾于2021年12月1日起诉离婚，一审法院于2022年2月18日判决不准许双方离婚。双方虽同住一屋檐下，但实际上双方长期分居生活，特别系在第一次法院判决不准许双方离婚后双方矛盾日益尖锐，至本案第三次开庭时朱某擅自带孩子离家自行外出居住生活至今。朱某目前在三亚学院从事教师工作，月收入5000多元，邱某目前为三亚市烟草专卖局工作人员，月收入9000多元。 </w:t>
      </w:r>
    </w:p>
    <w:p w14:paraId="5AF8D866">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涉案有如下财产：1．位于三亚高级知识分子住宅园区西区第一期第6栋A单元4层402号房屋，系朱某于2015年1月30日与三亚高知园房地产有限公司签订《商品房买卖合同》，总面积119.52平方米，套内面积101.91平方米，按套内面积计单价每平方米8767.85元，总金额893532元。首付款为393532元，其中定金5万元系朱某于2015年1月26日通过其名下中国银行卡号支付，343532元系邱某于2015年3月30日通过其名下三亚农商银行卡支付。余款50万元通过公积金按揭支付。借款期限30年，自2015年8月3日至2045年8月3日止，每月偿还贷款本息2245.22元，共分360期，至第三次开庭时已偿还8年1个月97期217786元；2．关于银行存款及养老金、住房公积金。双方虽同住一屋檐下，但实际上双方长期分居生活的特殊情况，以及双方均为工薪人员，各自保存的银行存款难以查清，各自拥有的养老金、住房公积金亦不宜分割；3．金银首饰。庭审中，双方均认可婚姻关系存续期间购买金耳环一对、金项链一条、金戒指一对，前述首饰目前由邱某保管；4．邱某认为2016年5月，因装修涉案房屋双方共同向邱某父母借款7.8万元，属于夫妻共同债务，朱某应承担3.9万元。朱某在庭审中予以否认。 </w:t>
      </w:r>
    </w:p>
    <w:p w14:paraId="46A60E6D">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在诉讼中，朱某申请对三亚高级知识分子住宅园区西区第一期第6栋A单元4层402号房屋的现值进行鉴定，但鉴定过程中又主动撤回鉴定申请，邱某亦未申请鉴定。 </w:t>
      </w:r>
    </w:p>
    <w:p w14:paraId="67331AD1">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朱某在本案诉讼、庭审、以及开庭后不断地以其受到家庭暴力为由向一审法院申请人身安全保护令。一审法院根据《最高人民法院关于办理人身安全保护令案件适用法律若干问题的规定》第六条关于“人身安全保护令案件中，人民法院根据相关证据，认为申请人遭受家庭暴力或者面临家庭暴力现实危险的事实存在较大可能性的，可以依法作出人身安全保护令。前款所称‘相关证据’包括：（一）当事人的陈述；……”的规定，于2023年8月17日作出（2022）琼0271民初14047号之一民事裁定：禁止被申请人邱某对申请人朱某实施家庭暴力。 </w:t>
      </w:r>
    </w:p>
    <w:p w14:paraId="70E12C3C">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一审法院认为，在本案审理过程和庭审中，双方均确认感情确以已破裂，均表示同意离婚。故一审法院予以准许。 </w:t>
      </w:r>
    </w:p>
    <w:p w14:paraId="4B0F1FAC">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本案的争议焦点是：一、关于婚生儿子邱宇涛的抚养权的问题。邱宇涛一直长期跟随朱某、邱某及邱某父母共同居住生活，由于朱某、邱某为工薪人员，邱宇涛自小均由邱某的父母帮助看护、接送上学。从有利于孩子的健康成长和维持孩子的生活学习现状考虑，一审法院确定婚生儿子邱宇涛由邱某抚养为宜。一审法院考虑到朱某的经济情况，酌情确定朱某每月应向邱某支付邱宇涛的抚养费1000元，直到邱宇涛年满18周岁止。 </w:t>
      </w:r>
    </w:p>
    <w:p w14:paraId="3FEAFDF5">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二、关于涉案财产的分割问题。1．位于三亚高级知识分子住宅园区西区第一期第6栋A单元4层402号房屋，与朱某的工作单位有关联，故一审法院确认该房屋归朱某所有。该房首付款中有5万元系朱某婚前财产，343532元系邱某的婚前财产，且考虑到至第三次开庭时双方共同偿还贷款217786元的事实，朱某向邱某补偿452425元（217786元÷2＋343532元）。2．关于银行存款及养老金、住房公积金，根据双方虽同住一屋檐下，但实际上双方长期分居生活的特殊情况，以及双方均为工薪人员，故对各自保存的银行存款、拥有的养老金、住房公积金，一审法院酌情确定为各自财产，不宜进行分割。3．金银首饰的分割，一审法院按照社会通常的生活习惯，确定金耳环（一对）、金项链（一条）及应当由女方佩戴的金戒指（一只）归朱某所有，邱某应向朱某交付上述物品；应当由男方佩戴的金戒指（一只）归邱某所有。4．邱某认为因装修涉案房屋双方共同向邱某父母借款7.8万元，朱某应承担3.9万元。因该项涉及案外人邱某父母，本案不予审理。 </w:t>
      </w:r>
    </w:p>
    <w:p w14:paraId="61B5F341">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综上，一审法院依照《中华人民共和国民法典》第一千零七十九条、第一千零八十七条，《最高人民法院关于适用〈中华人民共和国民法典〉婚姻家庭编的解释（一）》第四十九条，《最高人民法院关于适用〈中华人民共和国民事诉讼法〉的解释》第九十条的规定，判决：一、准予朱某与邱某离婚；二、朱某与邱某的婚生儿子邱宇涛归邱某抚养，朱某于判决生效之日起每月10日前向邱某支付邱宇涛的抚养费1000元，直到邱宇涛年满18周岁时止；三、确认位于三亚高级知识分子住宅园区西区第一期第6栋A单元4层402号房屋，归朱某所有，作为补偿，朱某于判决生效之日起30日内向邱某支付452425元；四、邱某于判决生效之日起10日内向朱某交付金耳环一对、金项链一条，及应当由女方佩戴的金戒指一只；五、驳回朱某的其他诉讼请求。如果未按判决指定的期间履行给付金钱义务，应当依照《中华人民共和国民事诉讼法》第二百六十条规定，加倍支付迟延履行期间的债务利息。案件受理费4468.07元（朱某已预缴），由朱某负担2234.03元，邱某负担2234.04元。 </w:t>
      </w:r>
    </w:p>
    <w:p w14:paraId="472AAE7A">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二审中，朱某提交21份证据：1．朱某和邱某关于首付款支付的对话录音、银行贷款结清证明、邱某银行流水，拟证明一审法院认定邱某支付的首付款有误，200000元婚后贷款已结清。2．邻居抚养权证明；3．朱某父母带邱宇涛生活照片及往返三亚的计票订单、朱某带邱宇涛的生活和游玩照片、朱某参加邱宇涛学校活动的照片、朱某微信记录邱宇涛从小至今的成长过程截图；4．朱某上课时间表和学历等照片，证据2至证据4拟证明邱宇涛一直由朱某抚养和陪伴，朱某应获得邱宇涛的抚养权。5．朱某与邱某及邱某母亲的通话录音和聊天记录等、邱某母亲2023年8月份的机票、邱某专科成人自考教育合同、《海南省三亚市城郊人民法院民事裁定书》，拟证明邱某对朱某存在家庭暴力，且对邱宇涛未尽到抚养责任，邱某不适合抚养邱宇涛。 </w:t>
      </w:r>
    </w:p>
    <w:p w14:paraId="388F4CB5">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邱某提交15份证据：1．生活照及视频，拟证明从邱宇涛出生至今都是由邱某及其父母照顾及陪伴。2．邱某与朱某的《微信聊天记录》，拟证明邱某在朱某工作繁忙及身体不适时主动承担接送邱宇涛上学的事实。3．《关于邱某同志相关情况说明》、《无犯罪记录证明》等证明材料，拟证明邱某不存在家暴行为。4．《关于邱某同志工作情况的证明》，拟证明邱某具备照顾抚养邱宇涛的时间条件。5．《武警海口支队执勤一大队出具的证明》、《学历证书》、《微信聊天记录》，拟证明邱某不存在学历造假的问题。6．微信转账记录和电子凭证、《微信聊天记录》，拟证明邱某婚后承担起家庭主要经济来源和支出。7．邱某同事、朋友等支持其抚养邱宇涛的证词，拟证明邱某积极参与邱宇涛的成长过程。8．国内支付业务收据回单、中国银行进账单、中国农业银行业务凭证，拟证明涉案房屋首付款系邱某以婚前个人财产支付。 </w:t>
      </w:r>
    </w:p>
    <w:p w14:paraId="7D388374">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邱某对朱某提交的证据质证意见如下，对上述证据的证据1三性无异议，证明内容不认可；对上述证据的证据2三性及证明内容均不予认可，对上述证据的证据3证明内容不认可，双方在照顾陪伴邱宇涛方面均有付出；对上述证据的证据4真实性认可，关联性及证明目的不认可，课表恰恰能证明朱某没有充分且稳定的时间照顾和抚养邱宇涛；对上述证据的证据5真实性认可，关联性及证明内容不认可。 </w:t>
      </w:r>
    </w:p>
    <w:p w14:paraId="790A9364">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朱某对邱某提交的证据质证意见如下，对上述证据的证据1-3的三性均没有异议，但对证明内容不予认可；对上述证据的证据4三性予以认可，对证明内容不予认可，邱某在调岗前不具备照顾邱宇涛的条件；对上述证据的证据5真实性、关联性和合法性不予认可；对上述证据的证据6真实性、合法性和关联性予以认可，但对证明内容不予认可；对上述证据的证据7真实性、合法性和关联性不予认可，证人的证词不能证明与邱宇涛有直接关系，是不客观的单方陈述；对证据8的真实性、合法性和关联性予以认可，证明内容不予认可，朱某提供的证据能够证明200000元是婚后贷款。 </w:t>
      </w:r>
    </w:p>
    <w:p w14:paraId="51824DB1">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本院认证意见，本院对朱某提交的关于银行贷款结清证明、邱某银行流水的证据三性及证明目的予以确认，对其提交的其他证据真实性、合法性予以确认，对证明目的不予确认。对邱某提交的证据真实性、合法性予以确认，对证明目的均不予确认。 </w:t>
      </w:r>
    </w:p>
    <w:p w14:paraId="70848E54">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经审理查明，一审法院查明的事实属实，本院予以确认。 </w:t>
      </w:r>
    </w:p>
    <w:p w14:paraId="0D641051">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另查明，2015年3月27日，邱某与三亚农商行河东支行签订《“一小通”贷款合同》，贷款200000元用于房屋装修，朱某担任邱某的保证人。该笔贷款金额于2015年3月27日到账。 </w:t>
      </w:r>
    </w:p>
    <w:p w14:paraId="3088A804">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2023年10月10日，三亚农商行河东支行出具《结清说明》，载明200000元的贷款已于2020年3月27日还清。 </w:t>
      </w:r>
    </w:p>
    <w:p w14:paraId="2BAAD115">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本院认为，本案争议焦点为：1．婚生子邱宇涛应由谁抚养，抚养费应如何支付；2．涉案房屋补偿款应如何确定；3．朱某主张分割养老金、住房公积金应否支持。围绕焦点问题，分析评判如下： </w:t>
      </w:r>
    </w:p>
    <w:p w14:paraId="421EE4FA">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一）关于邱宇涛应由谁抚养及抚养费应如何支付。首先，对邱宇涛抚养权的归属问题。《中华人民共和国民法典》第一千零八十四条第三款规定，离婚后，不满两周岁的子女，以由母亲直接抚养为原则。已满两周岁的子女，父母双方对抚养问题协议不成的，由人民法院根据双方的具体情况，按照最有利于未成年子女的原则判决。子女已满八周岁的，应当尊重其真实意愿。邱宇涛已满八周岁，经本院询问，其明确表示愿意与母亲朱某共同生活，故本院应当尊重其真实意思表示，同意朱某关于抚养邱宇涛的主张。其次，关于抚养费负担的问题。朱某和邱某都有负担邱宇涛生活费和教育费的法定义务，结合邱宇涛的实际需要、双方给付的实际能力以及当地生活水平，本院酌情确定邱某每月应向朱某支付邱宇涛的抚养费2000元，直到邱宇涛年满18周岁止。 </w:t>
      </w:r>
    </w:p>
    <w:p w14:paraId="63D4F0A0">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二）关于涉案房屋补偿款应如何确定。依据《最高人民法院关于适用〈中华人民共和国民事诉讼法〉的解释》第九十条的规定，当事人对自己提出的诉讼请求所依据的事实或者反驳对方诉讼请求所依据的事实，应当提供证据加以证明，但法律另有规定的除外。在作出判决前，当事人未能提供证据或者证据不足以证明其事实主张的，由负有举证证明责任的当事人承担不利的后果。首先，对于涉案房屋的权属问题。三亚学院与朱某签订《教职工优惠购买高知园区住宅有关事项的合同书》第一条约定，三亚学院出售涉案房屋的初衷是出于对愿意长期为其服务的相关教职工提供长期生活住房，涉案房屋不属于朱某独立享有的投资性住房。因涉案房屋属朱某附条件享有的住房，故一审法院确认涉案房屋归朱某所有并无不当，本院应予维持。邱某主张对房产价值进行评估鉴定，本院不予准许。其次，依据一审已查明事实可知，涉案房屋的首付款为393532元，其中50000元定金系朱某婚前支付，剩余343532元系邱某于2015年3月30日向三亚高知园房地产有限公司支付。庭审中双方对一审查明的事实没有异议，朱某主张一审法院遗漏涉案房屋首付款343532元中有200000元是双方共同贷款的事实。故本院对200000元贷款的性质及涉案房屋的装修款进行认定。 </w:t>
      </w:r>
    </w:p>
    <w:p w14:paraId="3689579D">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第一，关于200000元贷款的性质。经审查，三亚高知园房地产有限公司于2015年4月22日向朱某出具涉案房屋首付款的发票。2015年3月27日，邱某与三亚农商行河东支行签订《“一小通”贷款合同》，合同约定邱某贷款200000元；同日，200000元的贷款金额到账至邱某账户。2015年3月30日，邱某转出343532元。邱某转出343532元的时间与三亚农商行河东支行拨款时间相近，故朱某关于首付款343532元中的200000元系其与邱某共同贷款，于法有据，本院予以支持。涉案房屋归朱某所有后，200000元贷款应由朱某补偿邱某100000元，邱某基于涉案房屋支付的首付款143532元应属于其个人财产，朱某亦应返还给邱某。邱某主张其支付的首付款中二十多万元系其通过提取个人住房公积金120600元及父母转账88000元，但庭审中又称这两笔款项用于涉案房屋的装修，邱某的论述前后矛盾，且其提取个人住房公积金的时间为2015年5月8日，提取时间晚于支付涉案房屋首付款的时间，故邱某的主张于法无据，本院不予采纳。 </w:t>
      </w:r>
    </w:p>
    <w:p w14:paraId="71E83A42">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第二，关于涉案房屋的装修款。朱某于庭审中自称涉案房屋的装修款为220000元，其中50000元为邱某支付。邱某主张涉案房屋的装修款为280000元，但其提供的证据仅为120600元的收款回单及其父母转账88000元银行卡交易明细，且该证据与其用于支付涉案房屋首付款的主张相矛盾，因此应承担举证不能的不利后果。故朱某的主张于法有据，本院予以支持，涉案房屋归朱某，因装修款系双方共同出资，朱某应按装修款220000元补偿邱某一半即110000元。 </w:t>
      </w:r>
    </w:p>
    <w:p w14:paraId="30297CEE">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三）关于朱某主张分割养老金、住房公积金应否支持。根据《最高人民法院关于适用〈中华人民共和国民法典〉婚姻家庭编的解释（一）》第二十五条之规定，婚姻关系存续期间取得的养老金和住房公积金属于夫妻共同财产。具体到本案，朱某与邱某在婚姻关系存续期间取得的养老金和住房公积金属于夫妻共同财产，应予分割，但朱某的住房公积金需每月用于偿还涉案房屋的剩余购房款，邱某亦主张其已提取住房公积金另作他用，故双方的住房公积金已实际使用，不宜继续分割。另，涉案房屋的余款系通过朱某的住房公积金按揭支付，故截止至一审第三次开庭时朱某已还贷的217786元应由其自行负担。对于养老金分割问题。养老金是为了退休后生活有所保障，因双方均有养老金，各自养老金归各自所有，本院不予分割。综上，朱某应向邱某补偿353532元［200000元÷2＋（343532元-200000元）＋220000元÷2］。 </w:t>
      </w:r>
    </w:p>
    <w:p w14:paraId="6CF43A74">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综上所述，朱某的上诉请求部分成立。依照《中华人民共和国民事诉讼法》第一百七十七条第一款第二项规定，判决如下： </w:t>
      </w:r>
    </w:p>
    <w:p w14:paraId="64ED3C4D">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一、维持三亚市城郊人民法院（2022）琼0271民初14047号民事判决第一、四项； </w:t>
      </w:r>
    </w:p>
    <w:p w14:paraId="295FACAF">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二、撤销三亚市城郊人民法院（2022）琼0271民初14047号民事判决二、三、五项； </w:t>
      </w:r>
    </w:p>
    <w:p w14:paraId="2FFE0703">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三、朱某与邱某的婚生儿子邱宇涛归朱某抚养，邱某于本判决生效之日起每月10日前向朱某支付邱宇涛的抚养费2000元，直到邱宇涛年满18周岁时止； </w:t>
      </w:r>
    </w:p>
    <w:p w14:paraId="751683DF">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四、确认位于三亚高级知识分子住宅园区西区第一期第6栋A单元4层402号房屋，归朱某所有，作为补偿，朱某于本判决生效之日起30日内向邱某支付353532元； </w:t>
      </w:r>
    </w:p>
    <w:p w14:paraId="2A12D65F">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五、驳回朱某一审的其他诉讼请求。 </w:t>
      </w:r>
    </w:p>
    <w:p w14:paraId="18D03130">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如果未按本判决指定的期间履行给付金钱义务，应依照《中华人民共和国民事诉讼法》第二百六十四条规定，加倍支付迟延履行期间的债务利息。 </w:t>
      </w:r>
    </w:p>
    <w:p w14:paraId="37B3793C">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一审案件受理费4468.07元（朱某已预交），由朱某负担2234.03元，邱某负担2234.04元。二审案件受理费2824元（朱某已预交），由朱某负担1412，邱某负担1412元。 </w:t>
      </w:r>
    </w:p>
    <w:p w14:paraId="0D28169A">
      <w:pPr>
        <w:pStyle w:val="9"/>
        <w:keepNext w:val="0"/>
        <w:keepLines w:val="0"/>
        <w:widowControl/>
        <w:suppressLineNumbers w:val="0"/>
        <w:spacing w:before="0" w:beforeAutospacing="0" w:after="0" w:afterAutospacing="0" w:line="500" w:lineRule="atLeast"/>
        <w:ind w:left="0" w:firstLine="600"/>
        <w:jc w:val="both"/>
      </w:pPr>
      <w:r>
        <w:rPr>
          <w:rFonts w:hint="eastAsia" w:ascii="FangSong" w:hAnsi="FangSong" w:eastAsia="FangSong" w:cs="FangSong"/>
          <w:sz w:val="32"/>
          <w:szCs w:val="32"/>
        </w:rPr>
        <w:t xml:space="preserve">本判决为终审判决。 </w:t>
      </w:r>
    </w:p>
    <w:p w14:paraId="6F663CBB">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210"/>
          <w:sz w:val="32"/>
          <w:szCs w:val="32"/>
        </w:rPr>
        <w:t>审判长</w:t>
      </w:r>
      <w:r>
        <w:rPr>
          <w:rFonts w:hint="eastAsia" w:ascii="FangSong" w:hAnsi="FangSong" w:eastAsia="FangSong" w:cs="FangSong"/>
          <w:sz w:val="32"/>
          <w:szCs w:val="32"/>
        </w:rPr>
        <w:t>    </w:t>
      </w:r>
      <w:r>
        <w:rPr>
          <w:rFonts w:hint="eastAsia" w:ascii="FangSong" w:hAnsi="FangSong" w:eastAsia="FangSong" w:cs="FangSong"/>
          <w:spacing w:val="630"/>
          <w:sz w:val="32"/>
          <w:szCs w:val="32"/>
        </w:rPr>
        <w:t>王</w:t>
      </w:r>
      <w:r>
        <w:rPr>
          <w:rFonts w:hint="eastAsia" w:ascii="FangSong" w:hAnsi="FangSong" w:eastAsia="FangSong" w:cs="FangSong"/>
          <w:sz w:val="32"/>
          <w:szCs w:val="32"/>
        </w:rPr>
        <w:t>立</w:t>
      </w:r>
    </w:p>
    <w:p w14:paraId="3CBA1561">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210"/>
          <w:sz w:val="32"/>
          <w:szCs w:val="32"/>
        </w:rPr>
        <w:t>审判员</w:t>
      </w:r>
      <w:r>
        <w:rPr>
          <w:rFonts w:hint="eastAsia" w:ascii="FangSong" w:hAnsi="FangSong" w:eastAsia="FangSong" w:cs="FangSong"/>
          <w:sz w:val="32"/>
          <w:szCs w:val="32"/>
        </w:rPr>
        <w:t>    </w:t>
      </w:r>
      <w:r>
        <w:rPr>
          <w:rFonts w:hint="eastAsia" w:ascii="FangSong" w:hAnsi="FangSong" w:eastAsia="FangSong" w:cs="FangSong"/>
          <w:spacing w:val="210"/>
          <w:sz w:val="32"/>
          <w:szCs w:val="32"/>
        </w:rPr>
        <w:t>李新</w:t>
      </w:r>
      <w:r>
        <w:rPr>
          <w:rFonts w:hint="eastAsia" w:ascii="FangSong" w:hAnsi="FangSong" w:eastAsia="FangSong" w:cs="FangSong"/>
          <w:sz w:val="32"/>
          <w:szCs w:val="32"/>
        </w:rPr>
        <w:t>建</w:t>
      </w:r>
    </w:p>
    <w:p w14:paraId="4856C28E">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210"/>
          <w:sz w:val="32"/>
          <w:szCs w:val="32"/>
        </w:rPr>
        <w:t>审判员</w:t>
      </w:r>
      <w:r>
        <w:rPr>
          <w:rFonts w:hint="eastAsia" w:ascii="FangSong" w:hAnsi="FangSong" w:eastAsia="FangSong" w:cs="FangSong"/>
          <w:sz w:val="32"/>
          <w:szCs w:val="32"/>
        </w:rPr>
        <w:t>    </w:t>
      </w:r>
      <w:r>
        <w:rPr>
          <w:rFonts w:hint="eastAsia" w:ascii="FangSong" w:hAnsi="FangSong" w:eastAsia="FangSong" w:cs="FangSong"/>
          <w:spacing w:val="630"/>
          <w:sz w:val="32"/>
          <w:szCs w:val="32"/>
        </w:rPr>
        <w:t>黎</w:t>
      </w:r>
      <w:r>
        <w:rPr>
          <w:rFonts w:hint="eastAsia" w:ascii="FangSong" w:hAnsi="FangSong" w:eastAsia="FangSong" w:cs="FangSong"/>
          <w:sz w:val="32"/>
          <w:szCs w:val="32"/>
        </w:rPr>
        <w:t>金</w:t>
      </w:r>
    </w:p>
    <w:p w14:paraId="68FAFC1E">
      <w:pPr>
        <w:pStyle w:val="9"/>
        <w:keepNext w:val="0"/>
        <w:keepLines w:val="0"/>
        <w:widowControl/>
        <w:suppressLineNumbers w:val="0"/>
        <w:spacing w:before="0" w:beforeAutospacing="0" w:after="0" w:afterAutospacing="0" w:line="500" w:lineRule="atLeast"/>
        <w:ind w:left="0" w:right="607" w:firstLine="919"/>
        <w:jc w:val="right"/>
      </w:pPr>
      <w:r>
        <w:rPr>
          <w:rFonts w:hint="eastAsia" w:ascii="FangSong" w:hAnsi="FangSong" w:eastAsia="FangSong" w:cs="FangSong"/>
          <w:sz w:val="32"/>
          <w:szCs w:val="32"/>
        </w:rPr>
        <w:t>二〇二四年一月二十五日</w:t>
      </w:r>
    </w:p>
    <w:p w14:paraId="7B38D777">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69"/>
          <w:sz w:val="32"/>
          <w:szCs w:val="32"/>
        </w:rPr>
        <w:t>法官助理</w:t>
      </w:r>
      <w:r>
        <w:rPr>
          <w:rFonts w:hint="eastAsia" w:ascii="FangSong" w:hAnsi="FangSong" w:eastAsia="FangSong" w:cs="FangSong"/>
          <w:sz w:val="32"/>
          <w:szCs w:val="32"/>
        </w:rPr>
        <w:t>    </w:t>
      </w:r>
      <w:r>
        <w:rPr>
          <w:rFonts w:hint="eastAsia" w:ascii="FangSong" w:hAnsi="FangSong" w:eastAsia="FangSong" w:cs="FangSong"/>
          <w:spacing w:val="630"/>
          <w:sz w:val="32"/>
          <w:szCs w:val="32"/>
        </w:rPr>
        <w:t>陈</w:t>
      </w:r>
      <w:r>
        <w:rPr>
          <w:rFonts w:hint="eastAsia" w:ascii="FangSong" w:hAnsi="FangSong" w:eastAsia="FangSong" w:cs="FangSong"/>
          <w:sz w:val="32"/>
          <w:szCs w:val="32"/>
        </w:rPr>
        <w:t>子</w:t>
      </w:r>
    </w:p>
    <w:p w14:paraId="0FE35FDE">
      <w:pPr>
        <w:pStyle w:val="9"/>
        <w:keepNext w:val="0"/>
        <w:keepLines w:val="0"/>
        <w:widowControl/>
        <w:suppressLineNumbers w:val="0"/>
        <w:spacing w:before="0" w:beforeAutospacing="0" w:after="0" w:afterAutospacing="0" w:line="500" w:lineRule="atLeast"/>
        <w:ind w:right="607"/>
        <w:jc w:val="right"/>
      </w:pPr>
      <w:r>
        <w:rPr>
          <w:rFonts w:hint="eastAsia" w:ascii="FangSong" w:hAnsi="FangSong" w:eastAsia="FangSong" w:cs="FangSong"/>
          <w:spacing w:val="210"/>
          <w:sz w:val="32"/>
          <w:szCs w:val="32"/>
        </w:rPr>
        <w:t>书记员</w:t>
      </w:r>
      <w:r>
        <w:rPr>
          <w:rFonts w:hint="eastAsia" w:ascii="FangSong" w:hAnsi="FangSong" w:eastAsia="FangSong" w:cs="FangSong"/>
          <w:sz w:val="32"/>
          <w:szCs w:val="32"/>
        </w:rPr>
        <w:t>    </w:t>
      </w:r>
      <w:r>
        <w:rPr>
          <w:rFonts w:hint="eastAsia" w:ascii="FangSong" w:hAnsi="FangSong" w:eastAsia="FangSong" w:cs="FangSong"/>
          <w:spacing w:val="210"/>
          <w:sz w:val="32"/>
          <w:szCs w:val="32"/>
        </w:rPr>
        <w:t>陈一</w:t>
      </w:r>
      <w:r>
        <w:rPr>
          <w:rFonts w:hint="eastAsia" w:ascii="FangSong" w:hAnsi="FangSong" w:eastAsia="FangSong" w:cs="FangSong"/>
          <w:sz w:val="32"/>
          <w:szCs w:val="32"/>
        </w:rPr>
        <w:t>美</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gSong">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7CC71B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241</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2025-12-30T01:53:18Z</dcterms:created>
  <cp:lastModifiedBy>T490s</cp:lastModifiedBy>
  <dcterms:modified xsi:type="dcterms:W3CDTF">2025-12-30T01:53:19Z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767B07826D0846F1B1861CC5E0ABD80D_13</vt:lpwstr>
  </property>
</Properties>
</file>