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A381B">
      <w:pPr>
        <w:pStyle w:val="2"/>
      </w:pPr>
      <w:bookmarkStart w:id="0" w:name="uist-实验与访谈计划18人数据导向版"/>
      <w:r>
        <w:t>UIST 实验与访谈计划（18人，数据导向版）</w:t>
      </w:r>
    </w:p>
    <w:p w14:paraId="3E4FFE5A">
      <w:pPr>
        <w:pStyle w:val="4"/>
      </w:pPr>
      <w:bookmarkStart w:id="1" w:name="研究目标与问题"/>
      <w:r>
        <w:t>1. 研究目标与问题</w:t>
      </w:r>
    </w:p>
    <w:p w14:paraId="2C2093CF">
      <w:pPr>
        <w:pStyle w:val="23"/>
      </w:pPr>
      <w:r>
        <w:t>本计划用于评估「合同星座（Contract Constellation）」是否在合同审查任务中，相比基线工具显著提升效率、质量与可解释信任，并形成可在 UIST 论文中呈现的高质量定量与定性证据。</w:t>
      </w:r>
    </w:p>
    <w:p w14:paraId="1CEBB905">
      <w:pPr>
        <w:pStyle w:val="3"/>
      </w:pPr>
      <w:r>
        <w:t>研究问题（RQs）： - RQ1（效率）：系统是否显著降低完成任务时间与交互成本？ - RQ2（质量）：系统是否显著提升风险识别与修订建议质量？ - RQ3（认知与信任）：系统是否降低认知负担，并提升可校准信任？ - RQ4（机制）：哪些交互机制（图谱、证据锚定、建议应用）驱动收益？</w:t>
      </w:r>
    </w:p>
    <w:p w14:paraId="7571EE8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3086623">
      <w:pPr>
        <w:pStyle w:val="4"/>
      </w:pPr>
      <w:bookmarkStart w:id="2" w:name="实验设计"/>
      <w:r>
        <w:t>2. 实验设计</w:t>
      </w:r>
    </w:p>
    <w:p w14:paraId="26D97703">
      <w:pPr>
        <w:pStyle w:val="5"/>
      </w:pPr>
      <w:bookmarkStart w:id="3" w:name="总体设计"/>
      <w:r>
        <w:t>2.1 总体设计</w:t>
      </w:r>
    </w:p>
    <w:p w14:paraId="269655D5">
      <w:pPr>
        <w:pStyle w:val="24"/>
        <w:numPr>
          <w:ilvl w:val="0"/>
          <w:numId w:val="1"/>
        </w:numPr>
      </w:pPr>
      <w:r>
        <w:t>设计类型：within-subject（被试内）</w:t>
      </w:r>
    </w:p>
    <w:p w14:paraId="6041C20E">
      <w:pPr>
        <w:pStyle w:val="24"/>
        <w:numPr>
          <w:ilvl w:val="0"/>
          <w:numId w:val="1"/>
        </w:numPr>
      </w:pPr>
      <w:r>
        <w:t>条件：</w:t>
      </w:r>
    </w:p>
    <w:p w14:paraId="01AA07FE">
      <w:pPr>
        <w:pStyle w:val="24"/>
        <w:numPr>
          <w:ilvl w:val="1"/>
          <w:numId w:val="1"/>
        </w:numPr>
      </w:pPr>
      <w:r>
        <w:t>Baseline：常规工作流（PDF/Word + 关键词检索 + 通用问答工具）</w:t>
      </w:r>
    </w:p>
    <w:p w14:paraId="4B38BE1D">
      <w:pPr>
        <w:pStyle w:val="24"/>
        <w:numPr>
          <w:ilvl w:val="1"/>
          <w:numId w:val="1"/>
        </w:numPr>
      </w:pPr>
      <w:r>
        <w:t>System：合同星座系统（结构化节点、风险、建议与证据）</w:t>
      </w:r>
    </w:p>
    <w:p w14:paraId="1995E56D">
      <w:pPr>
        <w:pStyle w:val="24"/>
        <w:numPr>
          <w:ilvl w:val="0"/>
          <w:numId w:val="1"/>
        </w:numPr>
      </w:pPr>
      <w:r>
        <w:t>参与者：18 人</w:t>
      </w:r>
    </w:p>
    <w:p w14:paraId="39181C08">
      <w:pPr>
        <w:pStyle w:val="24"/>
        <w:numPr>
          <w:ilvl w:val="0"/>
          <w:numId w:val="1"/>
        </w:numPr>
      </w:pPr>
      <w:r>
        <w:t>激励预算：100 RMB/人，总计 1800 RMB</w:t>
      </w:r>
    </w:p>
    <w:p w14:paraId="2ED811D7">
      <w:pPr>
        <w:pStyle w:val="23"/>
      </w:pPr>
      <w:r>
        <w:t>采用 within-subject 的原因：在样本量受限时统计效率更高，更容易在 18 人规模下观察到显著差异。</w:t>
      </w:r>
    </w:p>
    <w:bookmarkEnd w:id="3"/>
    <w:p w14:paraId="0EF05429">
      <w:pPr>
        <w:pStyle w:val="5"/>
      </w:pPr>
      <w:bookmarkStart w:id="4" w:name="样本构成建议"/>
      <w:r>
        <w:t>2.2 样本构成建议</w:t>
      </w:r>
    </w:p>
    <w:p w14:paraId="383D5867">
      <w:pPr>
        <w:pStyle w:val="24"/>
        <w:numPr>
          <w:ilvl w:val="0"/>
          <w:numId w:val="1"/>
        </w:numPr>
      </w:pPr>
      <w:r>
        <w:t>人员组成有一丹来定</w:t>
      </w:r>
    </w:p>
    <w:p w14:paraId="4FE67C87">
      <w:pPr>
        <w:pStyle w:val="24"/>
        <w:numPr>
          <w:ilvl w:val="0"/>
          <w:numId w:val="1"/>
        </w:numPr>
      </w:pPr>
      <w:r>
        <w:t>记录协变量：年限、合同阅读频次、LLM 使用频次、合同类型熟悉度</w:t>
      </w:r>
    </w:p>
    <w:bookmarkEnd w:id="4"/>
    <w:p w14:paraId="7115D82C">
      <w:pPr>
        <w:pStyle w:val="5"/>
      </w:pPr>
      <w:bookmarkStart w:id="5" w:name="素材设置不再使用-abc-任务"/>
      <w:r>
        <w:t>2.3 素材设置（不再使用 A/B/C 任务）</w:t>
      </w:r>
    </w:p>
    <w:p w14:paraId="1ACD02A3">
      <w:pPr>
        <w:pStyle w:val="24"/>
        <w:numPr>
          <w:ilvl w:val="0"/>
          <w:numId w:val="1"/>
        </w:numPr>
      </w:pPr>
      <w:r>
        <w:t>Simple 合同（简单素材）：</w:t>
      </w:r>
    </w:p>
    <w:p w14:paraId="5371C4EA">
      <w:pPr>
        <w:pStyle w:val="24"/>
        <w:numPr>
          <w:ilvl w:val="1"/>
          <w:numId w:val="1"/>
        </w:numPr>
      </w:pPr>
      <w:r>
        <w:t>条款层级浅、引用关系少、风险点较明确</w:t>
      </w:r>
    </w:p>
    <w:p w14:paraId="17905124">
      <w:pPr>
        <w:pStyle w:val="24"/>
        <w:numPr>
          <w:ilvl w:val="0"/>
          <w:numId w:val="1"/>
        </w:numPr>
      </w:pPr>
      <w:r>
        <w:t>Complex 合同（复杂素材）：</w:t>
      </w:r>
    </w:p>
    <w:p w14:paraId="4546AE91">
      <w:pPr>
        <w:pStyle w:val="24"/>
        <w:numPr>
          <w:ilvl w:val="1"/>
          <w:numId w:val="1"/>
        </w:numPr>
      </w:pPr>
      <w:r>
        <w:t>条款层级深、跨条款引用多、风险点更隐蔽</w:t>
      </w:r>
    </w:p>
    <w:p w14:paraId="3B8CBC91">
      <w:pPr>
        <w:pStyle w:val="23"/>
      </w:pPr>
      <w:r>
        <w:t>每位参与者在两种条件下都处理两份素材，共 4 个单元： - Baseline + Simple - Baseline + Complex - System + Simple - System + Complex</w:t>
      </w:r>
    </w:p>
    <w:bookmarkEnd w:id="5"/>
    <w:p w14:paraId="6E16F885">
      <w:pPr>
        <w:pStyle w:val="5"/>
      </w:pPr>
      <w:bookmarkStart w:id="6" w:name="反平衡与顺序控制-初步确定之后需要改尽量压缩到1个小时以内"/>
      <w:r>
        <w:t>2.4 反平衡与顺序控制 （初步确定，之后需要改，尽量压缩到1个小时以内）</w:t>
      </w:r>
    </w:p>
    <w:p w14:paraId="348A00F0">
      <w:pPr>
        <w:pStyle w:val="24"/>
        <w:numPr>
          <w:ilvl w:val="0"/>
          <w:numId w:val="1"/>
        </w:numPr>
      </w:pPr>
      <w:r>
        <w:t>条件顺序：AB/BA 各 9 人</w:t>
      </w:r>
    </w:p>
    <w:p w14:paraId="649F14D0">
      <w:pPr>
        <w:pStyle w:val="24"/>
        <w:numPr>
          <w:ilvl w:val="0"/>
          <w:numId w:val="1"/>
        </w:numPr>
      </w:pPr>
      <w:r>
        <w:t xml:space="preserve">建议将 18 人分为 </w:t>
      </w:r>
      <w:r>
        <w:rPr>
          <w:rFonts w:hint="eastAsia"/>
          <w:lang w:val="en-US" w:eastAsia="zh-CN"/>
        </w:rPr>
        <w:t>2</w:t>
      </w:r>
      <w:r>
        <w:t xml:space="preserve"> 组，平衡 </w:t>
      </w:r>
      <w:r>
        <w:rPr>
          <w:rFonts w:hint="eastAsia"/>
          <w:lang w:val="en-US" w:eastAsia="zh-CN"/>
        </w:rPr>
        <w:t>2</w:t>
      </w:r>
      <w:r>
        <w:t xml:space="preserve"> 个单元顺序，降低学习效应</w:t>
      </w:r>
    </w:p>
    <w:p w14:paraId="7B55A7A0">
      <w:pPr>
        <w:pStyle w:val="24"/>
        <w:numPr>
          <w:ilvl w:val="0"/>
          <w:numId w:val="1"/>
        </w:numPr>
      </w:pPr>
      <w:r>
        <w:t>预期时长：</w:t>
      </w:r>
    </w:p>
    <w:p w14:paraId="1BC30CCF">
      <w:pPr>
        <w:pStyle w:val="24"/>
        <w:numPr>
          <w:ilvl w:val="1"/>
          <w:numId w:val="1"/>
        </w:numPr>
      </w:pPr>
      <w:r>
        <w:t>引导与培训：10-12 分钟</w:t>
      </w:r>
    </w:p>
    <w:p w14:paraId="4AE7B902">
      <w:pPr>
        <w:pStyle w:val="24"/>
        <w:numPr>
          <w:ilvl w:val="1"/>
          <w:numId w:val="1"/>
        </w:numPr>
      </w:pPr>
      <w:r>
        <w:t>两条件执行：45-55 分钟</w:t>
      </w:r>
    </w:p>
    <w:p w14:paraId="220CAEFD">
      <w:pPr>
        <w:pStyle w:val="24"/>
        <w:numPr>
          <w:ilvl w:val="1"/>
          <w:numId w:val="1"/>
        </w:numPr>
      </w:pPr>
      <w:r>
        <w:t>问卷：8-10 分钟</w:t>
      </w:r>
    </w:p>
    <w:p w14:paraId="5E7F6D89">
      <w:pPr>
        <w:pStyle w:val="24"/>
        <w:numPr>
          <w:ilvl w:val="1"/>
          <w:numId w:val="1"/>
        </w:numPr>
      </w:pPr>
      <w:r>
        <w:t>半结构访谈：18-22 分钟</w:t>
      </w:r>
    </w:p>
    <w:p w14:paraId="2FF3A48D">
      <w:pPr>
        <w:pStyle w:val="24"/>
        <w:numPr>
          <w:ilvl w:val="1"/>
          <w:numId w:val="1"/>
        </w:numPr>
      </w:pPr>
      <w:r>
        <w:t>总计：约 85-95 分钟/人</w:t>
      </w:r>
    </w:p>
    <w:p w14:paraId="0727078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6"/>
    <w:p w14:paraId="1F960D2A">
      <w:pPr>
        <w:pStyle w:val="4"/>
      </w:pPr>
      <w:bookmarkStart w:id="7" w:name="数据采集框架核心"/>
      <w:r>
        <w:t>3. 数据采集框架（核心）</w:t>
      </w:r>
    </w:p>
    <w:p w14:paraId="656AE0D0">
      <w:pPr>
        <w:pStyle w:val="5"/>
      </w:pPr>
      <w:bookmarkStart w:id="8" w:name="客观指标primary"/>
      <w:r>
        <w:t>3.1 客观指标（Primary）</w:t>
      </w:r>
    </w:p>
    <w:p w14:paraId="2C2DE083">
      <w:pPr>
        <w:pStyle w:val="24"/>
        <w:numPr>
          <w:ilvl w:val="0"/>
          <w:numId w:val="1"/>
        </w:numPr>
      </w:pPr>
      <w:r>
        <w:t>完成时长（秒）：Task Completion Time（TCT）</w:t>
      </w:r>
    </w:p>
    <w:p w14:paraId="42C37B76">
      <w:pPr>
        <w:pStyle w:val="24"/>
        <w:numPr>
          <w:ilvl w:val="0"/>
          <w:numId w:val="1"/>
        </w:numPr>
      </w:pPr>
      <w:r>
        <w:t>交互成本：总操作数、无效操作占比、回退次数</w:t>
      </w:r>
    </w:p>
    <w:p w14:paraId="4860B667">
      <w:pPr>
        <w:pStyle w:val="24"/>
        <w:numPr>
          <w:ilvl w:val="0"/>
          <w:numId w:val="1"/>
        </w:numPr>
      </w:pPr>
      <w:r>
        <w:t>首次价值产出时间：</w:t>
      </w:r>
    </w:p>
    <w:p w14:paraId="1F5E8A7B">
      <w:pPr>
        <w:pStyle w:val="24"/>
        <w:numPr>
          <w:ilvl w:val="1"/>
          <w:numId w:val="1"/>
        </w:numPr>
      </w:pPr>
      <w:r>
        <w:t>TFF：Time to First valid Finding（首次有效风险）</w:t>
      </w:r>
    </w:p>
    <w:p w14:paraId="2EB1FA9B">
      <w:pPr>
        <w:pStyle w:val="24"/>
        <w:numPr>
          <w:ilvl w:val="1"/>
          <w:numId w:val="1"/>
        </w:numPr>
      </w:pPr>
      <w:r>
        <w:t>TFA：Time to First Action（首次可执行改写）</w:t>
      </w:r>
    </w:p>
    <w:p w14:paraId="52D1FE58">
      <w:pPr>
        <w:pStyle w:val="24"/>
        <w:numPr>
          <w:ilvl w:val="0"/>
          <w:numId w:val="1"/>
        </w:numPr>
      </w:pPr>
      <w:r>
        <w:t>质量指标：</w:t>
      </w:r>
    </w:p>
    <w:p w14:paraId="72020165">
      <w:pPr>
        <w:pStyle w:val="24"/>
        <w:numPr>
          <w:ilvl w:val="1"/>
          <w:numId w:val="1"/>
        </w:numPr>
      </w:pPr>
      <w:r>
        <w:t>风险识别 Precision / Recall / F1</w:t>
      </w:r>
    </w:p>
    <w:p w14:paraId="3E6761EE">
      <w:pPr>
        <w:pStyle w:val="24"/>
        <w:numPr>
          <w:ilvl w:val="1"/>
          <w:numId w:val="1"/>
        </w:numPr>
      </w:pPr>
      <w:r>
        <w:t>冲突检测命中率（Conflict Hit Rate）</w:t>
      </w:r>
    </w:p>
    <w:p w14:paraId="70850B59">
      <w:pPr>
        <w:pStyle w:val="24"/>
        <w:numPr>
          <w:ilvl w:val="1"/>
          <w:numId w:val="1"/>
        </w:numPr>
      </w:pPr>
      <w:r>
        <w:t>建议可执行性评分（专家双评，1-5）</w:t>
      </w:r>
    </w:p>
    <w:p w14:paraId="32B57548">
      <w:pPr>
        <w:pStyle w:val="24"/>
        <w:numPr>
          <w:ilvl w:val="0"/>
          <w:numId w:val="1"/>
        </w:numPr>
      </w:pPr>
      <w:r>
        <w:t>复杂度敏感性：</w:t>
      </w:r>
    </w:p>
    <w:p w14:paraId="3A63FCD3">
      <w:pPr>
        <w:pStyle w:val="24"/>
        <w:numPr>
          <w:ilvl w:val="1"/>
          <w:numId w:val="1"/>
        </w:numPr>
      </w:pPr>
      <w:r>
        <w:t>复杂素材相对简单素材的性能下降幅度（越小说明系统抗复杂性更强）</w:t>
      </w:r>
    </w:p>
    <w:bookmarkEnd w:id="8"/>
    <w:p w14:paraId="3DB7238C">
      <w:pPr>
        <w:pStyle w:val="5"/>
      </w:pPr>
      <w:bookmarkStart w:id="9" w:name="主观指标secondary"/>
      <w:r>
        <w:t>3.2 主观指标（Secondary）</w:t>
      </w:r>
    </w:p>
    <w:p w14:paraId="22A869CA">
      <w:pPr>
        <w:pStyle w:val="24"/>
        <w:numPr>
          <w:ilvl w:val="0"/>
          <w:numId w:val="1"/>
        </w:numPr>
      </w:pPr>
      <w:r>
        <w:t>NASA-TLX（认知负荷）</w:t>
      </w:r>
    </w:p>
    <w:p w14:paraId="458C0FED">
      <w:pPr>
        <w:pStyle w:val="24"/>
        <w:numPr>
          <w:ilvl w:val="0"/>
          <w:numId w:val="1"/>
        </w:numPr>
      </w:pPr>
      <w:r>
        <w:t>系统质量（7 点量表）</w:t>
      </w:r>
    </w:p>
    <w:p w14:paraId="18F48715">
      <w:pPr>
        <w:pStyle w:val="24"/>
        <w:numPr>
          <w:ilvl w:val="0"/>
          <w:numId w:val="1"/>
        </w:numPr>
      </w:pPr>
      <w:r>
        <w:t>信息质量（7 点量表）</w:t>
      </w:r>
    </w:p>
    <w:p w14:paraId="61C0C696">
      <w:pPr>
        <w:pStyle w:val="24"/>
        <w:numPr>
          <w:ilvl w:val="0"/>
          <w:numId w:val="1"/>
        </w:numPr>
      </w:pPr>
      <w:r>
        <w:t>满意度（7 点量表）</w:t>
      </w:r>
    </w:p>
    <w:p w14:paraId="2FF3E76D">
      <w:pPr>
        <w:pStyle w:val="24"/>
        <w:numPr>
          <w:ilvl w:val="0"/>
          <w:numId w:val="1"/>
        </w:numPr>
      </w:pPr>
      <w:r>
        <w:t>信任与可解释性（7 点量表）</w:t>
      </w:r>
    </w:p>
    <w:p w14:paraId="631D6B7D">
      <w:pPr>
        <w:pStyle w:val="24"/>
        <w:numPr>
          <w:ilvl w:val="0"/>
          <w:numId w:val="1"/>
        </w:numPr>
      </w:pPr>
      <w:r>
        <w:t>未来使用意愿（7 点量表）</w:t>
      </w:r>
    </w:p>
    <w:bookmarkEnd w:id="9"/>
    <w:p w14:paraId="477ED4A8">
      <w:pPr>
        <w:pStyle w:val="5"/>
      </w:pPr>
      <w:bookmarkStart w:id="10" w:name="机制指标mechanism"/>
      <w:r>
        <w:t>3.3 机制指标（Mechanism）</w:t>
      </w:r>
    </w:p>
    <w:p w14:paraId="2776A4AC">
      <w:pPr>
        <w:pStyle w:val="24"/>
        <w:numPr>
          <w:ilvl w:val="0"/>
          <w:numId w:val="1"/>
        </w:numPr>
      </w:pPr>
      <w:r>
        <w:t>证据查看率（Evidence Open Rate）</w:t>
      </w:r>
    </w:p>
    <w:p w14:paraId="01875558">
      <w:pPr>
        <w:pStyle w:val="24"/>
        <w:numPr>
          <w:ilvl w:val="0"/>
          <w:numId w:val="1"/>
        </w:numPr>
      </w:pPr>
      <w:r>
        <w:t>建议采用率（Accept Rate）</w:t>
      </w:r>
    </w:p>
    <w:p w14:paraId="6E7C834C">
      <w:pPr>
        <w:pStyle w:val="24"/>
        <w:numPr>
          <w:ilvl w:val="0"/>
          <w:numId w:val="1"/>
        </w:numPr>
      </w:pPr>
      <w:r>
        <w:t>建议修改率（Edit-before-accept Rate）</w:t>
      </w:r>
    </w:p>
    <w:p w14:paraId="4DC2AA20">
      <w:pPr>
        <w:pStyle w:val="24"/>
        <w:numPr>
          <w:ilvl w:val="0"/>
          <w:numId w:val="1"/>
        </w:numPr>
      </w:pPr>
      <w:r>
        <w:t>查询重写次数（Query Reformulation Count）</w:t>
      </w:r>
    </w:p>
    <w:p w14:paraId="26EB15A4">
      <w:pPr>
        <w:pStyle w:val="24"/>
        <w:numPr>
          <w:ilvl w:val="0"/>
          <w:numId w:val="1"/>
        </w:numPr>
      </w:pPr>
      <w:r>
        <w:t>校验行为比例（Verification Action Ratio）</w:t>
      </w:r>
    </w:p>
    <w:p w14:paraId="1ECFE5B5">
      <w:pPr>
        <w:pStyle w:val="24"/>
        <w:numPr>
          <w:ilvl w:val="0"/>
          <w:numId w:val="1"/>
        </w:numPr>
      </w:pPr>
      <w:r>
        <w:t>切屏次数</w:t>
      </w:r>
    </w:p>
    <w:p w14:paraId="565A96C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5C92C14A">
      <w:pPr>
        <w:pStyle w:val="4"/>
      </w:pPr>
      <w:bookmarkStart w:id="11" w:name="日志埋点规范建议新增后台能力这个一丹暂时不需要看"/>
      <w:r>
        <w:t>4. 日志埋点规范（建议新增后台能力），这个一丹暂时不需要看</w:t>
      </w:r>
    </w:p>
    <w:p w14:paraId="00860DF0">
      <w:pPr>
        <w:pStyle w:val="23"/>
      </w:pPr>
      <w:r>
        <w:t>为保证论文图表质量，建议实现统一事件日志（CSV/JSON 可导出）：</w:t>
      </w:r>
    </w:p>
    <w:p w14:paraId="6AF444C7">
      <w:pPr>
        <w:pStyle w:val="24"/>
        <w:numPr>
          <w:ilvl w:val="0"/>
          <w:numId w:val="1"/>
        </w:numPr>
      </w:pPr>
      <w:r>
        <w:t>session_start / session_end</w:t>
      </w:r>
    </w:p>
    <w:p w14:paraId="6151183A">
      <w:pPr>
        <w:pStyle w:val="24"/>
        <w:numPr>
          <w:ilvl w:val="0"/>
          <w:numId w:val="1"/>
        </w:numPr>
      </w:pPr>
      <w:r>
        <w:t>task_start / task_end</w:t>
      </w:r>
    </w:p>
    <w:p w14:paraId="5DE95F82">
      <w:pPr>
        <w:pStyle w:val="24"/>
        <w:numPr>
          <w:ilvl w:val="0"/>
          <w:numId w:val="1"/>
        </w:numPr>
      </w:pPr>
      <w:r>
        <w:t>query_submit</w:t>
      </w:r>
    </w:p>
    <w:p w14:paraId="79EE5743">
      <w:pPr>
        <w:pStyle w:val="24"/>
        <w:numPr>
          <w:ilvl w:val="0"/>
          <w:numId w:val="1"/>
        </w:numPr>
      </w:pPr>
      <w:r>
        <w:t>node_click</w:t>
      </w:r>
    </w:p>
    <w:p w14:paraId="35F3DD23">
      <w:pPr>
        <w:pStyle w:val="24"/>
        <w:numPr>
          <w:ilvl w:val="0"/>
          <w:numId w:val="1"/>
        </w:numPr>
      </w:pPr>
      <w:r>
        <w:t>risk_expand</w:t>
      </w:r>
    </w:p>
    <w:p w14:paraId="6450C81D">
      <w:pPr>
        <w:pStyle w:val="24"/>
        <w:numPr>
          <w:ilvl w:val="0"/>
          <w:numId w:val="1"/>
        </w:numPr>
      </w:pPr>
      <w:r>
        <w:t>evidence_open</w:t>
      </w:r>
    </w:p>
    <w:p w14:paraId="7BE3EE8A">
      <w:pPr>
        <w:pStyle w:val="24"/>
        <w:numPr>
          <w:ilvl w:val="0"/>
          <w:numId w:val="1"/>
        </w:numPr>
      </w:pPr>
      <w:r>
        <w:t>suggestion_view</w:t>
      </w:r>
    </w:p>
    <w:p w14:paraId="5398E44D">
      <w:pPr>
        <w:pStyle w:val="24"/>
        <w:numPr>
          <w:ilvl w:val="0"/>
          <w:numId w:val="1"/>
        </w:numPr>
      </w:pPr>
      <w:r>
        <w:t>suggestion_apply</w:t>
      </w:r>
    </w:p>
    <w:p w14:paraId="3D763ED4">
      <w:pPr>
        <w:pStyle w:val="24"/>
        <w:numPr>
          <w:ilvl w:val="0"/>
          <w:numId w:val="1"/>
        </w:numPr>
      </w:pPr>
      <w:r>
        <w:t>suggestion_edit</w:t>
      </w:r>
    </w:p>
    <w:p w14:paraId="05D78F50">
      <w:pPr>
        <w:pStyle w:val="24"/>
        <w:numPr>
          <w:ilvl w:val="0"/>
          <w:numId w:val="1"/>
        </w:numPr>
      </w:pPr>
      <w:r>
        <w:t>suggestion_reject</w:t>
      </w:r>
    </w:p>
    <w:p w14:paraId="5F9CDC27">
      <w:pPr>
        <w:pStyle w:val="24"/>
        <w:numPr>
          <w:ilvl w:val="0"/>
          <w:numId w:val="1"/>
        </w:numPr>
      </w:pPr>
      <w:r>
        <w:t>export_contract</w:t>
      </w:r>
    </w:p>
    <w:p w14:paraId="0766F60B">
      <w:pPr>
        <w:pStyle w:val="23"/>
      </w:pPr>
      <w:r>
        <w:t>每条日志字段最小集合： - participant_id - condition（baseline/system） - material_id（simple/complex） - event_name - timestamp_ms - payload（JSON：node_id、risk_level、action_type、query_length 等）</w:t>
      </w:r>
    </w:p>
    <w:p w14:paraId="51DD6926">
      <w:pPr>
        <w:pStyle w:val="3"/>
      </w:pPr>
      <w:r>
        <w:t>派生指标可离线计算，避免前端复杂逻辑污染实验过程。</w:t>
      </w:r>
    </w:p>
    <w:p w14:paraId="1A30426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03184216">
      <w:pPr>
        <w:pStyle w:val="4"/>
      </w:pPr>
      <w:bookmarkStart w:id="12" w:name="数据导向访谈提纲可量化优先"/>
      <w:r>
        <w:t>5. 数据导向访谈提纲（可量化优先）</w:t>
      </w:r>
    </w:p>
    <w:p w14:paraId="2B1A01B3">
      <w:pPr>
        <w:pStyle w:val="23"/>
      </w:pPr>
      <w:r>
        <w:t>原则：先量化（评分/百分比/排序），再追问原因（用于主题编码）。</w:t>
      </w:r>
    </w:p>
    <w:p w14:paraId="31AF3CDF">
      <w:pPr>
        <w:pStyle w:val="5"/>
      </w:pPr>
      <w:bookmarkStart w:id="13" w:name="结束访谈约-20-分钟"/>
      <w:r>
        <w:t>5.2 结束访谈（约 20 分钟）</w:t>
      </w:r>
    </w:p>
    <w:p w14:paraId="4C79CE35">
      <w:pPr>
        <w:pStyle w:val="24"/>
        <w:numPr>
          <w:ilvl w:val="0"/>
          <w:numId w:val="2"/>
        </w:numPr>
      </w:pPr>
      <w:r>
        <w:t>你对系统整体可执行性评分（1-7）</w:t>
      </w:r>
      <w:r>
        <w:br w:type="textWrapping"/>
      </w:r>
      <w:r>
        <w:t>a：对于聚合功能(1-3) b: 一键修改功能(1-3) c:星系图看起来混乱吗（1-7） 你认为节省了多少时间（0-100%）</w:t>
      </w:r>
    </w:p>
    <w:p w14:paraId="3CFC7A4D">
      <w:pPr>
        <w:pStyle w:val="24"/>
        <w:numPr>
          <w:ilvl w:val="0"/>
          <w:numId w:val="2"/>
        </w:numPr>
      </w:pPr>
      <w:r>
        <w:t>你对修改意见评分（1-7）</w:t>
      </w:r>
      <w:r>
        <w:br w:type="textWrapping"/>
      </w:r>
    </w:p>
    <w:p w14:paraId="404E614A">
      <w:pPr>
        <w:pStyle w:val="24"/>
        <w:numPr>
          <w:ilvl w:val="0"/>
          <w:numId w:val="2"/>
        </w:numPr>
      </w:pPr>
      <w:r>
        <w:t>你对“何时应该人工复核”的判断信心（1-7）</w:t>
      </w:r>
      <w:r>
        <w:br w:type="textWrapping"/>
      </w:r>
    </w:p>
    <w:p w14:paraId="281029EE">
      <w:pPr>
        <w:pStyle w:val="24"/>
        <w:numPr>
          <w:ilvl w:val="0"/>
          <w:numId w:val="2"/>
        </w:numPr>
      </w:pPr>
      <w:r>
        <w:t>若显示置信度，你会在多少阈值直接采用（0-100）</w:t>
      </w:r>
      <w:r>
        <w:br w:type="textWrapping"/>
      </w:r>
    </w:p>
    <w:p w14:paraId="5ACDB1D1">
      <w:pPr>
        <w:pStyle w:val="24"/>
        <w:numPr>
          <w:ilvl w:val="0"/>
          <w:numId w:val="2"/>
        </w:numPr>
      </w:pPr>
      <w:r>
        <w:t>简单与复杂素材中，系统收益排序（Simple vs Complex）</w:t>
      </w:r>
      <w:r>
        <w:br w:type="textWrapping"/>
      </w:r>
    </w:p>
    <w:p w14:paraId="2CAE263A">
      <w:pPr>
        <w:pStyle w:val="24"/>
        <w:numPr>
          <w:ilvl w:val="0"/>
          <w:numId w:val="2"/>
        </w:numPr>
      </w:pPr>
      <w:r>
        <w:t>最不信任的步骤是什么（开放题，后续编码/可选）</w:t>
      </w:r>
      <w:bookmarkStart w:id="21" w:name="_GoBack"/>
      <w:bookmarkEnd w:id="21"/>
      <w:r>
        <w:br w:type="textWrapping"/>
      </w:r>
    </w:p>
    <w:p w14:paraId="29A11C7B">
      <w:pPr>
        <w:pStyle w:val="24"/>
        <w:numPr>
          <w:ilvl w:val="0"/>
          <w:numId w:val="2"/>
        </w:numPr>
      </w:pPr>
      <w:r>
        <w:t>你希望新增的一个功能（开放题，后续编码/可选）</w:t>
      </w:r>
    </w:p>
    <w:p w14:paraId="2C9F0BD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25B608">
      <w:pPr>
        <w:pStyle w:val="23"/>
      </w:pPr>
      <w:r>
        <w:t>后面是我的数据方面，你可以先不看，我会选择性的去做，这个是目前的最大范围</w:t>
      </w:r>
    </w:p>
    <w:bookmarkEnd w:id="12"/>
    <w:bookmarkEnd w:id="13"/>
    <w:p w14:paraId="562635DD">
      <w:pPr>
        <w:pStyle w:val="4"/>
      </w:pPr>
      <w:bookmarkStart w:id="14" w:name="统计分析计划"/>
      <w:r>
        <w:t>6. 统计分析计划</w:t>
      </w:r>
    </w:p>
    <w:p w14:paraId="6668EEE2">
      <w:pPr>
        <w:pStyle w:val="5"/>
      </w:pPr>
      <w:bookmarkStart w:id="15" w:name="定量统计"/>
      <w:r>
        <w:t>6.1 定量统计</w:t>
      </w:r>
    </w:p>
    <w:p w14:paraId="2A042BBA">
      <w:pPr>
        <w:pStyle w:val="24"/>
        <w:numPr>
          <w:ilvl w:val="0"/>
          <w:numId w:val="1"/>
        </w:numPr>
      </w:pPr>
      <w:r>
        <w:t>正态性：Shapiro-Wilk</w:t>
      </w:r>
    </w:p>
    <w:p w14:paraId="2326F25A">
      <w:pPr>
        <w:pStyle w:val="24"/>
        <w:numPr>
          <w:ilvl w:val="0"/>
          <w:numId w:val="1"/>
        </w:numPr>
      </w:pPr>
      <w:r>
        <w:t>主要检验：Wilcoxon signed-rank（在 simple 与 complex 内分别比较 Baseline vs System）</w:t>
      </w:r>
    </w:p>
    <w:p w14:paraId="76166226">
      <w:pPr>
        <w:pStyle w:val="24"/>
        <w:numPr>
          <w:ilvl w:val="0"/>
          <w:numId w:val="1"/>
        </w:numPr>
      </w:pPr>
      <w:r>
        <w:t>补充检验：比较复杂度增量（Complex - Simple）在两条件下的差异，用于评估抗复杂性</w:t>
      </w:r>
    </w:p>
    <w:p w14:paraId="5BCB4005">
      <w:pPr>
        <w:pStyle w:val="24"/>
        <w:numPr>
          <w:ilvl w:val="0"/>
          <w:numId w:val="1"/>
        </w:numPr>
      </w:pPr>
      <w:r>
        <w:t>多重比较校正：Holm-Bonferroni</w:t>
      </w:r>
    </w:p>
    <w:p w14:paraId="2CA5E9A9">
      <w:pPr>
        <w:pStyle w:val="24"/>
        <w:numPr>
          <w:ilvl w:val="0"/>
          <w:numId w:val="1"/>
        </w:numPr>
      </w:pPr>
      <w:r>
        <w:t>报告格式：中位数（IQR）、p 值、效应量 r、95% CI</w:t>
      </w:r>
    </w:p>
    <w:bookmarkEnd w:id="15"/>
    <w:p w14:paraId="7DEDB50F">
      <w:pPr>
        <w:pStyle w:val="5"/>
      </w:pPr>
      <w:bookmarkStart w:id="16" w:name="定性分析"/>
      <w:r>
        <w:t>6.2 定性分析</w:t>
      </w:r>
    </w:p>
    <w:p w14:paraId="0E2E39CA">
      <w:pPr>
        <w:pStyle w:val="24"/>
        <w:numPr>
          <w:ilvl w:val="0"/>
          <w:numId w:val="1"/>
        </w:numPr>
      </w:pPr>
      <w:r>
        <w:t>开放题与访谈转录进行主题分析</w:t>
      </w:r>
    </w:p>
    <w:p w14:paraId="313F6D63">
      <w:pPr>
        <w:pStyle w:val="24"/>
        <w:numPr>
          <w:ilvl w:val="0"/>
          <w:numId w:val="1"/>
        </w:numPr>
      </w:pPr>
      <w:r>
        <w:t>至少 2 名编码者独立编码</w:t>
      </w:r>
    </w:p>
    <w:p w14:paraId="5D1EB8B8">
      <w:pPr>
        <w:pStyle w:val="24"/>
        <w:numPr>
          <w:ilvl w:val="0"/>
          <w:numId w:val="1"/>
        </w:numPr>
      </w:pPr>
      <w:r>
        <w:t>计算 Cohen’s kappa，分歧协商后形成最终 codebook</w:t>
      </w:r>
    </w:p>
    <w:p w14:paraId="641D1C5F">
      <w:pPr>
        <w:pStyle w:val="24"/>
        <w:numPr>
          <w:ilvl w:val="0"/>
          <w:numId w:val="1"/>
        </w:numPr>
      </w:pPr>
      <w:r>
        <w:t>将主题映射到 RQ1-RQ4</w:t>
      </w:r>
    </w:p>
    <w:p w14:paraId="1407195B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7A0C65C2">
      <w:pPr>
        <w:pStyle w:val="4"/>
      </w:pPr>
      <w:bookmarkStart w:id="17" w:name="论文图表规划可直接落图"/>
      <w:r>
        <w:t>7. 论文图表规划（可直接落图）</w:t>
      </w:r>
    </w:p>
    <w:p w14:paraId="04852C0C">
      <w:pPr>
        <w:pStyle w:val="24"/>
        <w:numPr>
          <w:ilvl w:val="0"/>
          <w:numId w:val="1"/>
        </w:numPr>
      </w:pPr>
      <w:r>
        <w:t>Figure 1：实验流程图（招募-培训-四单元执行-问卷-访谈）</w:t>
      </w:r>
    </w:p>
    <w:p w14:paraId="68A84C00">
      <w:pPr>
        <w:pStyle w:val="24"/>
        <w:numPr>
          <w:ilvl w:val="0"/>
          <w:numId w:val="1"/>
        </w:numPr>
      </w:pPr>
      <w:r>
        <w:t>Figure 2：配对散点 + 箱线图（Simple 与 Complex 分面展示时间、动作数）</w:t>
      </w:r>
    </w:p>
    <w:p w14:paraId="0619E511">
      <w:pPr>
        <w:pStyle w:val="24"/>
        <w:numPr>
          <w:ilvl w:val="0"/>
          <w:numId w:val="1"/>
        </w:numPr>
      </w:pPr>
      <w:r>
        <w:t>Figure 3：质量指标图（Precision/Recall/F1、建议可执行性）</w:t>
      </w:r>
    </w:p>
    <w:p w14:paraId="59D50B6A">
      <w:pPr>
        <w:pStyle w:val="24"/>
        <w:numPr>
          <w:ilvl w:val="0"/>
          <w:numId w:val="1"/>
        </w:numPr>
      </w:pPr>
      <w:r>
        <w:t>Figure 4：行为漏斗图（按 simple/complex 分组：发现风险→查看证据→采用建议→导出）</w:t>
      </w:r>
    </w:p>
    <w:p w14:paraId="6802F9D2">
      <w:pPr>
        <w:pStyle w:val="24"/>
        <w:numPr>
          <w:ilvl w:val="0"/>
          <w:numId w:val="1"/>
        </w:numPr>
      </w:pPr>
      <w:r>
        <w:t>Figure 5：桑基图（Baseline 手动流程 vs System 查询驱动流程）</w:t>
      </w:r>
    </w:p>
    <w:p w14:paraId="18276393">
      <w:pPr>
        <w:pStyle w:val="24"/>
        <w:numPr>
          <w:ilvl w:val="0"/>
          <w:numId w:val="1"/>
        </w:numPr>
      </w:pPr>
      <w:r>
        <w:t>Figure 6：复杂度敏感性图（simple-&gt;complex 的性能变化斜率，Baseline vs System）</w:t>
      </w:r>
    </w:p>
    <w:p w14:paraId="74B37019">
      <w:pPr>
        <w:pStyle w:val="24"/>
        <w:numPr>
          <w:ilvl w:val="0"/>
          <w:numId w:val="1"/>
        </w:numPr>
      </w:pPr>
      <w:r>
        <w:t>Table 1：参与者信息</w:t>
      </w:r>
    </w:p>
    <w:p w14:paraId="6C9B49C9">
      <w:pPr>
        <w:pStyle w:val="24"/>
        <w:numPr>
          <w:ilvl w:val="0"/>
          <w:numId w:val="1"/>
        </w:numPr>
      </w:pPr>
      <w:r>
        <w:t>Table 2：主结果统计（中位数、IQR、p、效应量）</w:t>
      </w:r>
    </w:p>
    <w:p w14:paraId="6B953A7C">
      <w:pPr>
        <w:pStyle w:val="24"/>
        <w:numPr>
          <w:ilvl w:val="0"/>
          <w:numId w:val="1"/>
        </w:numPr>
      </w:pPr>
      <w:r>
        <w:t>Table 3：访谈主题与代表性引语</w:t>
      </w:r>
    </w:p>
    <w:p w14:paraId="1BE2500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79BF91BA">
      <w:pPr>
        <w:pStyle w:val="4"/>
      </w:pPr>
      <w:bookmarkStart w:id="18" w:name="成功标准建议预注册"/>
      <w:r>
        <w:t>8. 成功标准（建议预注册）</w:t>
      </w:r>
    </w:p>
    <w:p w14:paraId="1C5DE4B7">
      <w:pPr>
        <w:pStyle w:val="23"/>
      </w:pPr>
      <w:r>
        <w:t>若满足以下条件，可支持“系统显著提升”的主张： - 时间指标下降 &gt;= 25% - 操作数下降 &gt;= 35% - 风险识别 F1 提升 &gt;= 0.10 - NASA-TLX 下降 &gt;= 0.8 分 - 在复杂素材上至少 2 项指标显著优于 Baseline - 至少 2 项主指标达到 p &lt; 0.05 且效应量为中等及以上</w:t>
      </w:r>
    </w:p>
    <w:p w14:paraId="75C1734F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79A90244">
      <w:pPr>
        <w:pStyle w:val="4"/>
      </w:pPr>
      <w:bookmarkStart w:id="19" w:name="执行清单落地"/>
      <w:r>
        <w:t>9. 执行清单（落地）</w:t>
      </w:r>
    </w:p>
    <w:p w14:paraId="6BC79F70">
      <w:pPr>
        <w:pStyle w:val="24"/>
        <w:numPr>
          <w:ilvl w:val="0"/>
          <w:numId w:val="1"/>
        </w:numPr>
      </w:pPr>
      <w:r>
        <w:t>☐ 准备两份素材（Simple/Complex），并完成专家难度校准</w:t>
      </w:r>
    </w:p>
    <w:p w14:paraId="5B7421AF">
      <w:pPr>
        <w:pStyle w:val="24"/>
        <w:numPr>
          <w:ilvl w:val="0"/>
          <w:numId w:val="1"/>
        </w:numPr>
      </w:pPr>
      <w:r>
        <w:t>☐ 完成日志埋点与导出接口</w:t>
      </w:r>
    </w:p>
    <w:p w14:paraId="6D3556AF">
      <w:pPr>
        <w:pStyle w:val="24"/>
        <w:numPr>
          <w:ilvl w:val="0"/>
          <w:numId w:val="1"/>
        </w:numPr>
      </w:pPr>
      <w:r>
        <w:t>☐ 完成问卷页面与素材后微访谈页面</w:t>
      </w:r>
    </w:p>
    <w:p w14:paraId="62080D06">
      <w:pPr>
        <w:pStyle w:val="24"/>
        <w:numPr>
          <w:ilvl w:val="0"/>
          <w:numId w:val="1"/>
        </w:numPr>
      </w:pPr>
      <w:r>
        <w:t>☐ 小规模预试验（n=2）验证时长与日志完整性</w:t>
      </w:r>
    </w:p>
    <w:p w14:paraId="353F74F7">
      <w:pPr>
        <w:pStyle w:val="24"/>
        <w:numPr>
          <w:ilvl w:val="0"/>
          <w:numId w:val="1"/>
        </w:numPr>
      </w:pPr>
      <w:r>
        <w:t>☐ 正式招募 18 人并按 4 组顺序方案分配</w:t>
      </w:r>
    </w:p>
    <w:p w14:paraId="40876D05">
      <w:pPr>
        <w:pStyle w:val="24"/>
        <w:numPr>
          <w:ilvl w:val="0"/>
          <w:numId w:val="1"/>
        </w:numPr>
      </w:pPr>
      <w:r>
        <w:t>☐ 按预定统计脚本出图与出表</w:t>
      </w:r>
    </w:p>
    <w:p w14:paraId="6E76162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2B4BAAE1">
      <w:pPr>
        <w:pStyle w:val="4"/>
      </w:pPr>
      <w:bookmarkStart w:id="20" w:name="伦理与合规"/>
      <w:r>
        <w:t>10. 伦理与合规</w:t>
      </w:r>
    </w:p>
    <w:p w14:paraId="548CEABE">
      <w:pPr>
        <w:pStyle w:val="24"/>
        <w:numPr>
          <w:ilvl w:val="0"/>
          <w:numId w:val="1"/>
        </w:numPr>
      </w:pPr>
      <w:r>
        <w:t>明确告知录屏/日志采集范围与用途</w:t>
      </w:r>
    </w:p>
    <w:p w14:paraId="70072317">
      <w:pPr>
        <w:pStyle w:val="24"/>
        <w:numPr>
          <w:ilvl w:val="0"/>
          <w:numId w:val="1"/>
        </w:numPr>
      </w:pPr>
      <w:r>
        <w:t>允许参与者中途退出</w:t>
      </w:r>
    </w:p>
    <w:p w14:paraId="75C23968">
      <w:pPr>
        <w:pStyle w:val="24"/>
        <w:numPr>
          <w:ilvl w:val="0"/>
          <w:numId w:val="1"/>
        </w:numPr>
      </w:pPr>
      <w:r>
        <w:t>数据去标识化（participant_id 替代姓名）</w:t>
      </w:r>
    </w:p>
    <w:p w14:paraId="15C7DA13">
      <w:pPr>
        <w:pStyle w:val="24"/>
        <w:numPr>
          <w:ilvl w:val="0"/>
          <w:numId w:val="1"/>
        </w:numPr>
      </w:pPr>
      <w:r>
        <w:t>数据仅用于研究目的并在论文中聚合呈现</w:t>
      </w:r>
    </w:p>
    <w:p w14:paraId="41FE6E33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746F895">
      <w:pPr>
        <w:pStyle w:val="23"/>
      </w:pPr>
      <w:r>
        <w:t>该方案参考了 UIST 论文中常见的 mixed-methods 评估范式，强调：</w:t>
      </w:r>
      <w:r>
        <w:br w:type="textWrapping"/>
      </w:r>
      <w:r>
        <w:t>（1）可重复的客观行为数据、（2）可统计的主观量表、（3）可解释的访谈主题三线合一。</w:t>
      </w:r>
      <w:r>
        <w:br w:type="textWrapping"/>
      </w:r>
      <w:r>
        <w:t>这样能更稳地支撑论文中的“有效 + 可解释 + 可泛化”叙事。</w:t>
      </w:r>
    </w:p>
    <w:bookmarkEnd w:id="0"/>
    <w:bookmarkEnd w:id="2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71315DCA"/>
    <w:multiLevelType w:val="multilevel"/>
    <w:tmpl w:val="71315DCA"/>
    <w:lvl w:ilvl="0" w:tentative="0">
      <w:start w:val="1"/>
      <w:numFmt w:val="decimal"/>
      <w:lvlText w:val="%1)"/>
      <w:lvlJc w:val="left"/>
      <w:pPr>
        <w:ind w:left="720" w:hanging="480"/>
      </w:pPr>
    </w:lvl>
    <w:lvl w:ilvl="1" w:tentative="0">
      <w:start w:val="1"/>
      <w:numFmt w:val="decimal"/>
      <w:lvlText w:val="%2)"/>
      <w:lvlJc w:val="left"/>
      <w:pPr>
        <w:ind w:left="1440" w:hanging="480"/>
      </w:pPr>
    </w:lvl>
    <w:lvl w:ilvl="2" w:tentative="0">
      <w:start w:val="1"/>
      <w:numFmt w:val="decimal"/>
      <w:lvlText w:val="%3)"/>
      <w:lvlJc w:val="left"/>
      <w:pPr>
        <w:ind w:left="2160" w:hanging="480"/>
      </w:pPr>
    </w:lvl>
    <w:lvl w:ilvl="3" w:tentative="0">
      <w:start w:val="1"/>
      <w:numFmt w:val="decimal"/>
      <w:lvlText w:val="%4)"/>
      <w:lvlJc w:val="left"/>
      <w:pPr>
        <w:ind w:left="2880" w:hanging="480"/>
      </w:pPr>
    </w:lvl>
    <w:lvl w:ilvl="4" w:tentative="0">
      <w:start w:val="1"/>
      <w:numFmt w:val="decimal"/>
      <w:lvlText w:val="%5)"/>
      <w:lvlJc w:val="left"/>
      <w:pPr>
        <w:ind w:left="3600" w:hanging="480"/>
      </w:pPr>
    </w:lvl>
    <w:lvl w:ilvl="5" w:tentative="0">
      <w:start w:val="1"/>
      <w:numFmt w:val="decimal"/>
      <w:lvlText w:val="%6)"/>
      <w:lvlJc w:val="left"/>
      <w:pPr>
        <w:ind w:left="4320" w:hanging="480"/>
      </w:pPr>
    </w:lvl>
    <w:lvl w:ilvl="6" w:tentative="0">
      <w:start w:val="1"/>
      <w:numFmt w:val="decimal"/>
      <w:lvlText w:val="%7)"/>
      <w:lvlJc w:val="left"/>
      <w:pPr>
        <w:ind w:left="5040" w:hanging="480"/>
      </w:pPr>
    </w:lvl>
    <w:lvl w:ilvl="7" w:tentative="0">
      <w:start w:val="1"/>
      <w:numFmt w:val="decimal"/>
      <w:lvlText w:val="%8)"/>
      <w:lvlJc w:val="left"/>
      <w:pPr>
        <w:ind w:left="5760" w:hanging="480"/>
      </w:pPr>
    </w:lvl>
    <w:lvl w:ilvl="8" w:tentative="0">
      <w:start w:val="1"/>
      <w:numFmt w:val="decimal"/>
      <w:lvlText w:val="%9)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BB771E7D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5"/>
    <w:uiPriority w:val="0"/>
    <w:pPr>
      <w:keepNext/>
    </w:pPr>
  </w:style>
  <w:style w:type="paragraph" w:customStyle="1" w:styleId="32">
    <w:name w:val="Image Caption"/>
    <w:basedOn w:val="15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18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18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uiPriority w:val="0"/>
    <w:rPr>
      <w:color w:val="007020"/>
    </w:rPr>
  </w:style>
  <w:style w:type="character" w:customStyle="1" w:styleId="56">
    <w:name w:val="FunctionTok"/>
    <w:basedOn w:val="35"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</Words>
  <Characters>475</Characters>
  <Lines>12</Lines>
  <Paragraphs>8</Paragraphs>
  <TotalTime>357</TotalTime>
  <ScaleCrop>false</ScaleCrop>
  <LinksUpToDate>false</LinksUpToDate>
  <CharactersWithSpaces>583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2026-03-05T13:59:00Z</dcterms:created>
  <dc:creator>陈龙</dc:creator>
  <cp:lastModifiedBy>陈龙</cp:lastModifiedBy>
  <dcterms:modified xsi:type="dcterms:W3CDTF">2026-03-08T14:51:36Z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1033-12.1.21861.21861</vt:lpwstr>
  </property>
  <property fmtid="{D5CDD505-2E9C-101B-9397-08002B2CF9AE}" pid="3" name="ICV">
    <vt:lpwstr>58A9657B21203BEE781CAD693215CF72_42</vt:lpwstr>
  </property>
</Properties>
</file>