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6F2D2">
      <w:r>
        <w:drawing>
          <wp:inline distT="0" distB="0" distL="114300" distR="114300">
            <wp:extent cx="1975485" cy="1943735"/>
            <wp:effectExtent l="0" t="0" r="571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41583" t="22407" r="26435" b="21667"/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1943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注：医保支出指基本医疗保险基金支出 (亿元) ，综合医院指综合医院数 (个)，中医医院指中医医院数 (个)，老年人口指65岁及以上人口 (万人)</w:t>
      </w:r>
      <w:bookmarkStart w:id="0" w:name="_GoBack"/>
      <w:bookmarkEnd w:id="0"/>
    </w:p>
    <w:p w14:paraId="6062CF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86460"/>
            <wp:effectExtent l="0" t="0" r="0" b="5080"/>
            <wp:docPr id="1" name="图片 1" descr="acb3c58f-b126-4260-ae4d-04b94ce0c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b3c58f-b126-4260-ae4d-04b94ce0cb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4615">
      <w:pPr>
        <w:rPr>
          <w:rFonts w:hint="eastAsia"/>
        </w:rPr>
      </w:pPr>
      <w:r>
        <w:rPr>
          <w:rFonts w:hint="eastAsia"/>
        </w:rPr>
        <w:t>1. 变量间的散点图矩阵</w:t>
      </w:r>
    </w:p>
    <w:p w14:paraId="35C73E1B">
      <w:pPr>
        <w:rPr>
          <w:rFonts w:hint="eastAsia"/>
        </w:rPr>
      </w:pPr>
    </w:p>
    <w:p w14:paraId="54A118B7">
      <w:pPr>
        <w:rPr>
          <w:rFonts w:hint="eastAsia"/>
        </w:rPr>
      </w:pPr>
      <w:r>
        <w:rPr>
          <w:rFonts w:hint="eastAsia"/>
        </w:rPr>
        <w:t>图X展示了医保支出、综合医院数、中医医院数及老年人口四个变量之间的散点图矩阵。每个子图呈现两个变量的对应关系，对角线显示变量自身的分布。</w:t>
      </w:r>
    </w:p>
    <w:p w14:paraId="740B5C00">
      <w:pPr>
        <w:rPr>
          <w:rFonts w:hint="eastAsia"/>
        </w:rPr>
      </w:pPr>
    </w:p>
    <w:p w14:paraId="768B3170">
      <w:pPr>
        <w:rPr>
          <w:rFonts w:hint="eastAsia"/>
        </w:rPr>
      </w:pPr>
      <w:r>
        <w:rPr>
          <w:rFonts w:hint="eastAsia"/>
        </w:rPr>
        <w:t>从散点图矩阵可以直观看出：</w:t>
      </w:r>
    </w:p>
    <w:p w14:paraId="3BC8E214">
      <w:pPr>
        <w:rPr>
          <w:rFonts w:hint="eastAsia"/>
        </w:rPr>
      </w:pPr>
    </w:p>
    <w:p w14:paraId="206CB967">
      <w:pPr>
        <w:rPr>
          <w:rFonts w:hint="eastAsia"/>
        </w:rPr>
      </w:pPr>
      <w:r>
        <w:rPr>
          <w:rFonts w:hint="eastAsia"/>
        </w:rPr>
        <w:t>· 所有变量对之间的散点均紧密分布在一条上升的直线附近，无明显离群值，提示存在强烈的正相关关系。</w:t>
      </w:r>
    </w:p>
    <w:p w14:paraId="77E3B565">
      <w:pPr>
        <w:rPr>
          <w:rFonts w:hint="eastAsia"/>
        </w:rPr>
      </w:pPr>
      <w:r>
        <w:rPr>
          <w:rFonts w:hint="eastAsia"/>
        </w:rPr>
        <w:t>· 尤其医保支出与中医医院数、医保支出与老年人口、老年人口与中医医院数这三对变量的点几乎完全共线，表明它们几乎呈现同步的线性增长趋势。</w:t>
      </w:r>
    </w:p>
    <w:p w14:paraId="3589D679">
      <w:pPr>
        <w:rPr>
          <w:rFonts w:hint="eastAsia"/>
        </w:rPr>
      </w:pPr>
    </w:p>
    <w:p w14:paraId="30F1E6B4">
      <w:pPr>
        <w:rPr>
          <w:rFonts w:hint="eastAsia"/>
        </w:rPr>
      </w:pPr>
      <w:r>
        <w:rPr>
          <w:rFonts w:hint="eastAsia"/>
        </w:rPr>
        <w:t>2. 相关系数矩阵</w:t>
      </w:r>
    </w:p>
    <w:p w14:paraId="5F97C4BC">
      <w:pPr>
        <w:rPr>
          <w:rFonts w:hint="eastAsia"/>
        </w:rPr>
      </w:pPr>
    </w:p>
    <w:p w14:paraId="3750F60F">
      <w:pPr>
        <w:rPr>
          <w:rFonts w:hint="eastAsia"/>
        </w:rPr>
      </w:pPr>
      <w:r>
        <w:rPr>
          <w:rFonts w:hint="eastAsia"/>
        </w:rPr>
        <w:t>表X列出了四个变量的 Pearson 相关系数（及显著性水平）。结果显示：</w:t>
      </w:r>
    </w:p>
    <w:p w14:paraId="4AD0B4EF">
      <w:pPr>
        <w:rPr>
          <w:rFonts w:hint="eastAsia"/>
        </w:rPr>
      </w:pPr>
    </w:p>
    <w:p w14:paraId="31F2626C">
      <w:pPr>
        <w:rPr>
          <w:rFonts w:hint="eastAsia"/>
        </w:rPr>
      </w:pPr>
      <w:r>
        <w:rPr>
          <w:rFonts w:hint="eastAsia"/>
        </w:rPr>
        <w:t>变量对 相关系数 (r) p值</w:t>
      </w:r>
    </w:p>
    <w:p w14:paraId="2686B6C9">
      <w:pPr>
        <w:rPr>
          <w:rFonts w:hint="eastAsia"/>
        </w:rPr>
      </w:pPr>
      <w:r>
        <w:rPr>
          <w:rFonts w:hint="eastAsia"/>
        </w:rPr>
        <w:t>医保支出 – 中医医院数 0.997 &lt;0.001</w:t>
      </w:r>
    </w:p>
    <w:p w14:paraId="54C06D44">
      <w:pPr>
        <w:rPr>
          <w:rFonts w:hint="eastAsia"/>
        </w:rPr>
      </w:pPr>
      <w:r>
        <w:rPr>
          <w:rFonts w:hint="eastAsia"/>
        </w:rPr>
        <w:t>医保支出 – 老年人口 0.992 &lt;0.001</w:t>
      </w:r>
    </w:p>
    <w:p w14:paraId="55682B59">
      <w:pPr>
        <w:rPr>
          <w:rFonts w:hint="eastAsia"/>
        </w:rPr>
      </w:pPr>
      <w:r>
        <w:rPr>
          <w:rFonts w:hint="eastAsia"/>
        </w:rPr>
        <w:t>医保支出 – 综合医院数 0.929 &lt;0.001</w:t>
      </w:r>
    </w:p>
    <w:p w14:paraId="57AA303E">
      <w:pPr>
        <w:rPr>
          <w:rFonts w:hint="eastAsia"/>
        </w:rPr>
      </w:pPr>
      <w:r>
        <w:rPr>
          <w:rFonts w:hint="eastAsia"/>
        </w:rPr>
        <w:t>老年人口 – 中医医院数 0.997 &lt;0.001</w:t>
      </w:r>
    </w:p>
    <w:p w14:paraId="7F62CD3D">
      <w:pPr>
        <w:rPr>
          <w:rFonts w:hint="eastAsia"/>
        </w:rPr>
      </w:pPr>
      <w:r>
        <w:rPr>
          <w:rFonts w:hint="eastAsia"/>
        </w:rPr>
        <w:t>老年人口 – 综合医院数 0.912 &lt;0.001</w:t>
      </w:r>
    </w:p>
    <w:p w14:paraId="6E51893A">
      <w:pPr>
        <w:rPr>
          <w:rFonts w:hint="eastAsia"/>
        </w:rPr>
      </w:pPr>
      <w:r>
        <w:rPr>
          <w:rFonts w:hint="eastAsia"/>
        </w:rPr>
        <w:t>中医医院数 – 综合医院数 0.917 &lt;0.001</w:t>
      </w:r>
    </w:p>
    <w:p w14:paraId="4EC7AB6A">
      <w:pPr>
        <w:rPr>
          <w:rFonts w:hint="eastAsia"/>
        </w:rPr>
      </w:pPr>
    </w:p>
    <w:p w14:paraId="61087B43">
      <w:pPr>
        <w:rPr>
          <w:rFonts w:hint="eastAsia"/>
        </w:rPr>
      </w:pPr>
      <w:r>
        <w:rPr>
          <w:rFonts w:hint="eastAsia"/>
        </w:rPr>
        <w:t>所有相关系数均在 0.91 以上，且 p 值均小于 0.001（在散点图矩阵中用 *** 标注），具有极高的统计学显著性。</w:t>
      </w:r>
    </w:p>
    <w:p w14:paraId="1E4E05CE">
      <w:pPr>
        <w:rPr>
          <w:rFonts w:hint="eastAsia"/>
        </w:rPr>
      </w:pPr>
    </w:p>
    <w:p w14:paraId="1A93D611">
      <w:pPr>
        <w:rPr>
          <w:rFonts w:hint="eastAsia"/>
        </w:rPr>
      </w:pPr>
      <w:r>
        <w:rPr>
          <w:rFonts w:hint="eastAsia"/>
        </w:rPr>
        <w:t>3. 结论</w:t>
      </w:r>
    </w:p>
    <w:p w14:paraId="7A9CF657">
      <w:pPr>
        <w:rPr>
          <w:rFonts w:hint="eastAsia"/>
        </w:rPr>
      </w:pPr>
    </w:p>
    <w:p w14:paraId="1A9E2AB7">
      <w:pPr>
        <w:rPr>
          <w:rFonts w:hint="eastAsia"/>
        </w:rPr>
      </w:pPr>
      <w:r>
        <w:rPr>
          <w:rFonts w:hint="eastAsia"/>
        </w:rPr>
        <w:t>上述结果表明：</w:t>
      </w:r>
    </w:p>
    <w:p w14:paraId="1DF7536F">
      <w:pPr>
        <w:rPr>
          <w:rFonts w:hint="eastAsia"/>
        </w:rPr>
      </w:pPr>
    </w:p>
    <w:p w14:paraId="47E78217">
      <w:pPr>
        <w:rPr>
          <w:rFonts w:hint="eastAsia"/>
        </w:rPr>
      </w:pPr>
      <w:r>
        <w:rPr>
          <w:rFonts w:hint="eastAsia"/>
        </w:rPr>
        <w:t>· 老龄化（老年人口）与医保支出高度正相关（r=0.992，p&lt;0.001），验证了“人口老龄化推高医疗费用”的假设。</w:t>
      </w:r>
    </w:p>
    <w:p w14:paraId="6E4B7145">
      <w:pPr>
        <w:rPr>
          <w:rFonts w:hint="eastAsia"/>
        </w:rPr>
      </w:pPr>
      <w:r>
        <w:rPr>
          <w:rFonts w:hint="eastAsia"/>
        </w:rPr>
        <w:t>· 中医医院数同样与医保支出、老年人口呈极强正相关（r=0.997），且相关系数略高于综合医院数，说明中医服务规模的扩张与老龄化、医保支出的增长紧密同步。</w:t>
      </w:r>
    </w:p>
    <w:p w14:paraId="4F4C3932">
      <w:pPr>
        <w:rPr>
          <w:rFonts w:hint="eastAsia"/>
        </w:rPr>
      </w:pPr>
      <w:r>
        <w:rPr>
          <w:rFonts w:hint="eastAsia"/>
        </w:rPr>
        <w:t>· 综合医院数虽也与上述变量正相关，但相关性相对稍低（r≈0.92），提示综合医院的增长速度或关联强度略低于中医医院。</w:t>
      </w:r>
    </w:p>
    <w:p w14:paraId="5FA09A60">
      <w:pPr>
        <w:rPr>
          <w:rFonts w:hint="eastAsia"/>
        </w:rPr>
      </w:pPr>
    </w:p>
    <w:p w14:paraId="40CD0A36">
      <w:pPr>
        <w:rPr>
          <w:rFonts w:hint="eastAsia"/>
        </w:rPr>
      </w:pPr>
      <w:r>
        <w:rPr>
          <w:rFonts w:hint="eastAsia"/>
        </w:rPr>
        <w:t>综上，统计证据支持：在老龄化背景下，中医医院服务能力快速提升，且这种提升与老龄化进程高度吻合。这为后续探讨中医“治未病”在控制医保支出中的潜在价值提供了数据基础。</w:t>
      </w:r>
    </w:p>
    <w:p w14:paraId="3655829D">
      <w:pPr>
        <w:rPr>
          <w:rFonts w:hint="eastAsia"/>
        </w:rPr>
      </w:pPr>
    </w:p>
    <w:p w14:paraId="7CD087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0D3AC6"/>
    <w:rsid w:val="27510F2A"/>
    <w:rsid w:val="52662470"/>
    <w:rsid w:val="5A2E5F69"/>
    <w:rsid w:val="5CAF2C65"/>
    <w:rsid w:val="60CE7B5E"/>
    <w:rsid w:val="66B15F58"/>
    <w:rsid w:val="6F086931"/>
    <w:rsid w:val="76EC08E6"/>
    <w:rsid w:val="7BCF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629</Words>
  <Characters>724</Characters>
  <Lines>0</Lines>
  <Paragraphs>0</Paragraphs>
  <TotalTime>0</TotalTime>
  <ScaleCrop>false</ScaleCrop>
  <LinksUpToDate>false</LinksUpToDate>
  <CharactersWithSpaces>768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2026-04-08T02:17:00Z</dcterms:created>
  <dc:creator>18540</dc:creator>
  <cp:lastModifiedBy>WPS_1647092373</cp:lastModifiedBy>
  <dcterms:modified xsi:type="dcterms:W3CDTF">2026-04-08T05:46:51Z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eyJoZGlkIjoiOTc1MTA2MjU3ODgzMDhkMzE0ZTU0MjU4NGU4NDljNDMiLCJ1c2VySWQiOiIxMzM3MTEwNjg0In0=</vt:lpwstr>
  </property>
  <property fmtid="{D5CDD505-2E9C-101B-9397-08002B2CF9AE}" pid="4" name="ICV">
    <vt:lpwstr>24112224DB1248D7AEF90C56333DAEAE_12</vt:lpwstr>
  </property>
</Properties>
</file>