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Calibri" w:hAnsi="Calibri" w:eastAsia="PingFang SC"/>
          <w:b/>
          <w:color w:val="626D78"/>
          <w:sz w:val="22"/>
        </w:rPr>
        <w:t>AUT KG EXTRACTION PIPELINE</w:t>
      </w:r>
    </w:p>
    <w:p>
      <w:pPr>
        <w:spacing w:after="140" w:line="276" w:lineRule="auto"/>
        <w:jc w:val="center"/>
      </w:pPr>
      <w:r>
        <w:rPr>
          <w:rFonts w:ascii="Calibri" w:hAnsi="Calibri" w:eastAsia="PingFang SC"/>
          <w:b/>
          <w:color w:val="1F4D78"/>
          <w:sz w:val="46"/>
        </w:rPr>
        <w:t>The Effect of Unified Text-Structure Preprocessing</w:t>
        <w:br/>
        <w:t>on the Stability of Knowledge Graph Generation with Small LLMs</w:t>
      </w:r>
    </w:p>
    <w:p>
      <w:pPr>
        <w:spacing w:after="360"/>
        <w:jc w:val="center"/>
      </w:pPr>
      <w:r>
        <w:rPr>
          <w:rFonts w:ascii="Calibri" w:hAnsi="Calibri" w:eastAsia="PingFang SC"/>
          <w:i/>
          <w:color w:val="626D78"/>
          <w:sz w:val="23"/>
        </w:rPr>
        <w:t>Research Exposé Draft  |  Egocentric Expert Video Descriptions</w:t>
      </w:r>
    </w:p>
    <w:p>
      <w:pPr>
        <w:spacing w:after="360"/>
        <w:jc w:val="center"/>
      </w:pPr>
      <w:r>
        <w:rPr>
          <w:rFonts w:ascii="Calibri" w:hAnsi="Calibri" w:eastAsia="PingFang SC"/>
          <w:color w:val="626D78"/>
          <w:sz w:val="20"/>
        </w:rPr>
        <w:t>TU Berlin - Institut fuer Industrielle Automatisierungstechnik  |  May 2026</w:t>
      </w:r>
    </w:p>
    <w:p>
      <w:pPr>
        <w:spacing w:before="100" w:after="200" w:line="300" w:lineRule="auto"/>
        <w:ind w:left="259" w:right="259"/>
        <w:jc w:val="left"/>
        <w:shd w:fill="EAF2F8"/>
        <w:pBdr>
          <w:left w:val="single" w:sz="18" w:space="8" w:color="2E74B5"/>
        </w:pBdr>
      </w:pPr>
      <w:r>
        <w:rPr>
          <w:rFonts w:ascii="Calibri" w:hAnsi="Calibri" w:eastAsia="PingFang SC"/>
          <w:b/>
          <w:color w:val="2E74B5"/>
          <w:sz w:val="21"/>
        </w:rPr>
        <w:t xml:space="preserve">Main Research Question  </w:t>
      </w:r>
      <w:r>
        <w:rPr>
          <w:rFonts w:ascii="Calibri" w:hAnsi="Calibri" w:eastAsia="PingFang SC"/>
          <w:color w:val="222B35"/>
          <w:sz w:val="21"/>
        </w:rPr>
        <w:t>How can preprocessing video-derived descriptions into a unified text structure increase the stability of knowledge graph generation with small LLMs?</w:t>
      </w:r>
    </w:p>
    <w:p>
      <w:pPr>
        <w:spacing w:before="100" w:after="200" w:line="300" w:lineRule="auto"/>
        <w:ind w:left="259" w:right="259"/>
        <w:jc w:val="left"/>
        <w:shd w:fill="EAF2F8"/>
        <w:pBdr>
          <w:left w:val="single" w:sz="18" w:space="8" w:color="2E74B5"/>
        </w:pBdr>
      </w:pPr>
      <w:r>
        <w:rPr>
          <w:rFonts w:ascii="Calibri" w:hAnsi="Calibri" w:eastAsia="PingFang SC"/>
          <w:b/>
          <w:color w:val="2E74B5"/>
          <w:sz w:val="21"/>
        </w:rPr>
        <w:t xml:space="preserve">Operational Definition of Stability  </w:t>
      </w:r>
      <w:r>
        <w:rPr>
          <w:rFonts w:ascii="Calibri" w:hAnsi="Calibri" w:eastAsia="PingFang SC"/>
          <w:color w:val="222B35"/>
          <w:sz w:val="21"/>
        </w:rPr>
        <w:t>In this project, stability means that repeated extractions or semantically equivalent input variants produce more consistent entities, relations, and schema-conformant graph structures, with lower variation in KG quality metrics.</w:t>
      </w:r>
    </w:p>
    <w:p>
      <w:pPr>
        <w:pStyle w:val="Heading1"/>
      </w:pPr>
      <w:r>
        <w:t>Abstract</w:t>
      </w:r>
    </w:p>
    <w:p>
      <w:r>
        <w:rPr>
          <w:rFonts w:ascii="Calibri" w:hAnsi="Calibri" w:eastAsia="PingFang SC"/>
        </w:rPr>
        <w:t>Egocentric expert videos can capture actions, tools, manipulated objects, and inspection steps in industrial manufacturing processes. However, scene descriptions or transcript-like texts derived from such videos often differ in phrasing, information order, and noise level. For small language models, or models with limited domain adaptation, this input variability may destabilize structured extraction and thereby reduce the reliability of the generated knowledge graph (KG). This project investigates whether preprocessing video-derived text into a unified text structure can improve the stability of KG generation. We propose a fixed-field scene representation and compare raw descriptions with unified-structure descriptions while keeping the model and schema-guided extraction setting constant. Stability is evaluated both as agreement of graph structures across equivalent inputs or repeated runs and as stable KG quality in terms of correctness, completeness, and hallucination. A current prototype already supports schema-driven extraction, property graph construction, graph queries, gold-example evaluation, and hallucination validation, providing the basis for the planned preprocessing comparison.</w:t>
      </w:r>
    </w:p>
    <w:p>
      <w:pPr>
        <w:pStyle w:val="Heading1"/>
      </w:pPr>
      <w:r>
        <w:t>1. Introduction</w:t>
      </w:r>
    </w:p>
    <w:p>
      <w:r>
        <w:rPr>
          <w:rFonts w:ascii="Calibri" w:hAnsi="Calibri" w:eastAsia="PingFang SC"/>
        </w:rPr>
        <w:t>Procedural knowledge in industrial manufacturing is frequently embedded in expert practice, for example in workpiece positioning, welding tool selection, welding sequences, measurements, and quality documentation. Egocentric videos can preserve such process details. In the MVP developed in this project, the system receives scene descriptions or transcript-like text that have already been derived from video, and a small language model then extracts a procedural knowledge graph.</w:t>
      </w:r>
    </w:p>
    <w:p>
      <w:pPr>
        <w:spacing w:before="100" w:after="200" w:line="300" w:lineRule="auto"/>
        <w:ind w:left="259" w:right="259"/>
        <w:jc w:val="left"/>
        <w:shd w:fill="EAF2F8"/>
        <w:pBdr>
          <w:left w:val="single" w:sz="18" w:space="8" w:color="2E74B5"/>
        </w:pBdr>
      </w:pPr>
      <w:r>
        <w:rPr>
          <w:rFonts w:ascii="Calibri" w:hAnsi="Calibri" w:eastAsia="PingFang SC"/>
          <w:b/>
          <w:color w:val="2E74B5"/>
          <w:sz w:val="21"/>
        </w:rPr>
        <w:t xml:space="preserve">MVP Scope  </w:t>
      </w:r>
      <w:r>
        <w:rPr>
          <w:rFonts w:ascii="Calibri" w:hAnsi="Calibri" w:eastAsia="PingFang SC"/>
          <w:color w:val="222B35"/>
          <w:sz w:val="21"/>
        </w:rPr>
        <w:t>The scope of this study starts after video-to-text conversion. The project neither trains a video model nor evaluates raw-frame recognition quality; instead, it examines how alternative textual representations of the same video-derived content affect KG extraction.</w:t>
      </w:r>
    </w:p>
    <w:p>
      <w:r>
        <w:rPr>
          <w:rFonts w:ascii="Calibri" w:hAnsi="Calibri" w:eastAsia="PingFang SC"/>
        </w:rPr>
        <w:t>A central risk in this pipeline is inconsistent input. The same operational scene may be phrased in different ways, omit actors or temporal order, or contain erroneous terms introduced by speech recognition or visual description systems. While larger models may sometimes compensate for expressive variation using broader contextual reasoning, small or domain-adapted models may be more sensitive to the shape of the input: format changes can result in missing entities, incorrect relation mappings, or unsupported facts.</w:t>
      </w:r>
    </w:p>
    <w:p>
      <w:r>
        <w:rPr>
          <w:rFonts w:ascii="Calibri" w:hAnsi="Calibri" w:eastAsia="PingFang SC"/>
        </w:rPr>
        <w:t>Accordingly, this study does not aim to build a general translation or text-polishing system. It investigates structured preprocessing for knowledge extraction: while preserving original evidence, video-derived descriptions are organized into stable fields and a consistent order so that actors, actions, tools, objects, outcomes, and uncertainties are explicitly accessible to the model. The usefulness of this intervention must therefore be judged not by linguistic neatness, but by whether it results in KGs that are more consistent, more correct, more complete, and less prone to hallucination.</w:t>
      </w:r>
    </w:p>
    <w:p>
      <w:pPr>
        <w:keepNext/>
        <w:spacing w:before="120" w:after="80"/>
      </w:pPr>
      <w:r>
        <w:rPr>
          <w:rFonts w:ascii="Calibri" w:hAnsi="Calibri" w:eastAsia="PingFang SC"/>
          <w:b/>
          <w:color w:val="626D78"/>
          <w:sz w:val="19"/>
        </w:rPr>
        <w:t>Table 1. Relationship between the research questions</w:t>
      </w:r>
    </w:p>
    <w:tbl>
      <w:tblPr>
        <w:tblStyle w:val="TableGrid"/>
        <w:tblW w:type="dxa" w:w="9360"/>
        <w:jc w:val="left"/>
        <w:tblLayout w:type="fixed"/>
        <w:tblLook w:firstColumn="1" w:firstRow="1" w:lastColumn="0" w:lastRow="0" w:noHBand="0" w:noVBand="1" w:val="04A0"/>
        <w:tblInd w:type="dxa" w:w="120"/>
      </w:tblPr>
      <w:tblGrid>
        <w:gridCol w:w="1944"/>
        <w:gridCol w:w="4320"/>
        <w:gridCol w:w="3096"/>
      </w:tblGrid>
      <w:tr>
        <w:trPr>
          <w:tblHeader/>
        </w:trPr>
        <w:tc>
          <w:tcPr>
            <w:tcW w:type="dxa" w:w="1944"/>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Level</w:t>
            </w:r>
          </w:p>
        </w:tc>
        <w:tc>
          <w:tcPr>
            <w:tcW w:type="dxa" w:w="4320"/>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Research Question</w:t>
            </w:r>
          </w:p>
        </w:tc>
        <w:tc>
          <w:tcPr>
            <w:tcW w:type="dxa" w:w="3096"/>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Role in the Project</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Main question</w:t>
            </w:r>
          </w:p>
        </w:tc>
        <w:tc>
          <w:tcPr>
            <w:tcW w:type="dxa" w:w="432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Does a unified text structure improve KG generation stability with a small LLM?</w:t>
            </w:r>
          </w:p>
        </w:tc>
        <w:tc>
          <w:tcPr>
            <w:tcW w:type="dxa" w:w="309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Defines the preprocessing intervention and effect hypothesis.</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Evaluation sub-question</w:t>
            </w:r>
          </w:p>
        </w:tc>
        <w:tc>
          <w:tcPr>
            <w:tcW w:type="dxa" w:w="432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How can correctness, completeness, and hallucination be used to evaluate the generated KG?</w:t>
            </w:r>
          </w:p>
        </w:tc>
        <w:tc>
          <w:tcPr>
            <w:tcW w:type="dxa" w:w="309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Provides the metric framework for the main question.</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System object</w:t>
            </w:r>
          </w:p>
        </w:tc>
        <w:tc>
          <w:tcPr>
            <w:tcW w:type="dxa" w:w="432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Video-derived text -&gt; structured extraction -&gt; property graph</w:t>
            </w:r>
          </w:p>
        </w:tc>
        <w:tc>
          <w:tcPr>
            <w:tcW w:type="dxa" w:w="309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Defines the experimental scope and implementation path.</w:t>
            </w:r>
          </w:p>
        </w:tc>
      </w:tr>
    </w:tbl>
    <w:p>
      <w:pPr>
        <w:spacing w:after="20"/>
      </w:pPr>
    </w:p>
    <w:p>
      <w:pPr>
        <w:pStyle w:val="Heading1"/>
      </w:pPr>
      <w:r>
        <w:t>2. State of the Art Research</w:t>
      </w:r>
    </w:p>
    <w:p>
      <w:r>
        <w:rPr>
          <w:rFonts w:ascii="Calibri" w:hAnsi="Calibri" w:eastAsia="PingFang SC"/>
        </w:rPr>
        <w:t>Two strands of existing work provide the foundation for this project. First, Text2KGBench introduces a benchmark for ontology-driven knowledge graph generation, evaluating the ability of language models to generate KGs from text under a specified ontology [1]. It considers not only whether generated facts match reference facts, but also whether the output conforms to ontology constraints and contains hallucinated statements.</w:t>
      </w:r>
    </w:p>
    <w:p>
      <w:r>
        <w:rPr>
          <w:rFonts w:ascii="Calibri" w:hAnsi="Calibri" w:eastAsia="PingFang SC"/>
        </w:rPr>
        <w:t>Second, van Cauter and Yakovets apply ontology-guided KG construction to industrial maintenance short texts and evaluate extraction using Precision, Recall, F1, ontology conformance, and hallucination rate [2]. Their study demonstrates that the reliability of KG generation in an industrial context can be quantified through fact-level assessment and constraint-based validation.</w:t>
      </w:r>
    </w:p>
    <w:p>
      <w:r>
        <w:rPr>
          <w:rFonts w:ascii="Calibri" w:hAnsi="Calibri" w:eastAsia="PingFang SC"/>
        </w:rPr>
        <w:t>The present project shares the use of ontology/schema constraints and fact/hallucination evaluation with these approaches. Its setting differs in that it targets procedural knowledge in egocentric expert-video descriptions, requiring the representation of action sequences, tool use, manipulated objects, scene provenance, and source evidence. It additionally examines whether input preprocessing influences the output stability of small models. This yields the primary research gap: previous work evaluates text-to-KG output quality, but it remains unclear whether a unified input representation of video-derived descriptions can stabilize procedural KG generation with small LLMs.</w:t>
      </w:r>
    </w:p>
    <w:p>
      <w:r>
        <w:rPr>
          <w:rFonts w:ascii="Calibri" w:hAnsi="Calibri" w:eastAsia="PingFang SC"/>
        </w:rPr>
        <w:t>Beyond ontology-guided extraction, many LLM-based information extraction systems control output quality primarily through prompt engineering, schema constraints, or post-hoc validation. Less attention has been paid to whether the textual form of the input itself, particularly for noisy and inconsistently phrased video-derived descriptions, systematically affects graph-generation stability in small models. This project addresses that gap by treating input structuring as an experimental variable and evaluating its effects through KG quality metrics.</w:t>
      </w:r>
    </w:p>
    <w:p>
      <w:pPr>
        <w:pStyle w:val="Heading1"/>
      </w:pPr>
      <w:r>
        <w:t>3. Methods</w:t>
      </w:r>
    </w:p>
    <w:p>
      <w:pPr>
        <w:pStyle w:val="Heading2"/>
      </w:pPr>
      <w:r>
        <w:t>3.1 Evaluation Pipeline</w:t>
      </w:r>
    </w:p>
    <w:p>
      <w:pPr>
        <w:spacing w:before="100" w:after="200" w:line="300" w:lineRule="auto"/>
        <w:ind w:left="259" w:right="259"/>
        <w:jc w:val="left"/>
        <w:shd w:fill="EAF2F8"/>
        <w:pBdr>
          <w:left w:val="single" w:sz="18" w:space="8" w:color="2E74B5"/>
        </w:pBdr>
      </w:pPr>
      <w:r>
        <w:rPr>
          <w:rFonts w:ascii="Calibri" w:hAnsi="Calibri" w:eastAsia="PingFang SC"/>
          <w:b/>
          <w:color w:val="2E74B5"/>
          <w:sz w:val="21"/>
        </w:rPr>
        <w:t xml:space="preserve">Research Pipeline  </w:t>
      </w:r>
      <w:r>
        <w:rPr>
          <w:rFonts w:ascii="Calibri" w:hAnsi="Calibri" w:eastAsia="PingFang SC"/>
          <w:color w:val="222B35"/>
          <w:sz w:val="21"/>
        </w:rPr>
        <w:t>Video-derived text -&gt; raw / unified-structure input -&gt; schema-guided extraction with a small LLM -&gt; procedural property graph -&gt; stability and quality evaluation</w:t>
      </w:r>
    </w:p>
    <w:p>
      <w:r>
        <w:rPr>
          <w:rFonts w:ascii="Calibri" w:hAnsi="Calibri" w:eastAsia="PingFang SC"/>
        </w:rPr>
        <w:t>Because the MVP begins after video-to-text conversion, the experiment does not include video-model training or frame-level processing. The model, prompt-level schema constraints, and graph-construction logic remain constant; only the textual representation of the input is changed. Each scene retains a raw-description version and is additionally represented in a unified structure that introduces no new facts. Both versions are passed to the same extraction model. Predicted outputs are converted into a property graph and compared with a manually annotated gold graph as well as with textual source evidence.</w:t>
      </w:r>
    </w:p>
    <w:p>
      <w:pPr>
        <w:pStyle w:val="Heading2"/>
      </w:pPr>
      <w:r>
        <w:t>3.2 Unified Text Structure</w:t>
      </w:r>
    </w:p>
    <w:p>
      <w:r>
        <w:rPr>
          <w:rFonts w:ascii="Calibri" w:hAnsi="Calibri" w:eastAsia="PingFang SC"/>
        </w:rPr>
        <w:t>The role of the unified text structure is not to translate, embellish, or complete the content. Instead, it places observed information into a stable field order and explicitly marks missing or uncertain values. In the MVP, unified text structures will be created manually or with rule assistance from the original descriptions to ensure that no new facts are introduced; automated preprocessing remains a later extension. The preprocessing output must preserve the original source text and segment provenance so that evidence can be traced whenever hallucinated facts occur.</w:t>
      </w:r>
    </w:p>
    <w:p>
      <w:pPr>
        <w:keepNext/>
        <w:spacing w:before="120" w:after="80"/>
      </w:pPr>
      <w:r>
        <w:rPr>
          <w:rFonts w:ascii="Calibri" w:hAnsi="Calibri" w:eastAsia="PingFang SC"/>
          <w:b/>
          <w:color w:val="626D78"/>
          <w:sz w:val="19"/>
        </w:rPr>
        <w:t>Table 2. Proposed unified input fields</w:t>
      </w:r>
    </w:p>
    <w:tbl>
      <w:tblPr>
        <w:tblStyle w:val="TableGrid"/>
        <w:tblW w:type="dxa" w:w="9360"/>
        <w:jc w:val="left"/>
        <w:tblLayout w:type="fixed"/>
        <w:tblLook w:firstColumn="1" w:firstRow="1" w:lastColumn="0" w:lastRow="0" w:noHBand="0" w:noVBand="1" w:val="04A0"/>
        <w:tblInd w:type="dxa" w:w="120"/>
      </w:tblPr>
      <w:tblGrid>
        <w:gridCol w:w="2232"/>
        <w:gridCol w:w="3816"/>
        <w:gridCol w:w="3312"/>
      </w:tblGrid>
      <w:tr>
        <w:trPr>
          <w:tblHeader/>
        </w:trPr>
        <w:tc>
          <w:tcPr>
            <w:tcW w:type="dxa" w:w="2232"/>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Field</w:t>
            </w:r>
          </w:p>
        </w:tc>
        <w:tc>
          <w:tcPr>
            <w:tcW w:type="dxa" w:w="3816"/>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Purpose</w:t>
            </w:r>
          </w:p>
        </w:tc>
        <w:tc>
          <w:tcPr>
            <w:tcW w:type="dxa" w:w="3312"/>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Example</w:t>
            </w:r>
          </w:p>
        </w:tc>
      </w:tr>
      <w:tr>
        <w:trPr/>
        <w:tc>
          <w:tcPr>
            <w:tcW w:type="dxa" w:w="223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Scene / Segment</w:t>
            </w:r>
          </w:p>
        </w:tc>
        <w:tc>
          <w:tcPr>
            <w:tcW w:type="dxa" w:w="38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Video-segment identity and time range</w:t>
            </w:r>
          </w:p>
        </w:tc>
        <w:tc>
          <w:tcPr>
            <w:tcW w:type="dxa" w:w="331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inspect_demo_01, s2, 00:20-00:45</w:t>
            </w:r>
          </w:p>
        </w:tc>
      </w:tr>
      <w:tr>
        <w:trPr/>
        <w:tc>
          <w:tcPr>
            <w:tcW w:type="dxa" w:w="223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Actor</w:t>
            </w:r>
          </w:p>
        </w:tc>
        <w:tc>
          <w:tcPr>
            <w:tcW w:type="dxa" w:w="38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Person or role executing an action</w:t>
            </w:r>
          </w:p>
        </w:tc>
        <w:tc>
          <w:tcPr>
            <w:tcW w:type="dxa" w:w="331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quality inspector Maria</w:t>
            </w:r>
          </w:p>
        </w:tc>
      </w:tr>
      <w:tr>
        <w:trPr/>
        <w:tc>
          <w:tcPr>
            <w:tcW w:type="dxa" w:w="223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Action sequence</w:t>
            </w:r>
          </w:p>
        </w:tc>
        <w:tc>
          <w:tcPr>
            <w:tcW w:type="dxa" w:w="38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Actions recorded in temporal order</w:t>
            </w:r>
          </w:p>
        </w:tc>
        <w:tc>
          <w:tcPr>
            <w:tcW w:type="dxa" w:w="331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place caliper; measure gap; record result</w:t>
            </w:r>
          </w:p>
        </w:tc>
      </w:tr>
      <w:tr>
        <w:trPr/>
        <w:tc>
          <w:tcPr>
            <w:tcW w:type="dxa" w:w="223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Tool / Object</w:t>
            </w:r>
          </w:p>
        </w:tc>
        <w:tc>
          <w:tcPr>
            <w:tcW w:type="dxa" w:w="38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Tool used and manipulated object</w:t>
            </w:r>
          </w:p>
        </w:tc>
        <w:tc>
          <w:tcPr>
            <w:tcW w:type="dxa" w:w="331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caliper; bracket gap</w:t>
            </w:r>
          </w:p>
        </w:tc>
      </w:tr>
      <w:tr>
        <w:trPr/>
        <w:tc>
          <w:tcPr>
            <w:tcW w:type="dxa" w:w="223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Outcome / Parameter</w:t>
            </w:r>
          </w:p>
        </w:tc>
        <w:tc>
          <w:tcPr>
            <w:tcW w:type="dxa" w:w="38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Observed value or process outcome</w:t>
            </w:r>
          </w:p>
        </w:tc>
        <w:tc>
          <w:tcPr>
            <w:tcW w:type="dxa" w:w="331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gap measurement recorded</w:t>
            </w:r>
          </w:p>
        </w:tc>
      </w:tr>
      <w:tr>
        <w:trPr/>
        <w:tc>
          <w:tcPr>
            <w:tcW w:type="dxa" w:w="223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Evidence / Uncertainty</w:t>
            </w:r>
          </w:p>
        </w:tc>
        <w:tc>
          <w:tcPr>
            <w:tcW w:type="dxa" w:w="38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Source evidence and uncertainty marker</w:t>
            </w:r>
          </w:p>
        </w:tc>
        <w:tc>
          <w:tcPr>
            <w:tcW w:type="dxa" w:w="331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source quote; unknown if absent</w:t>
            </w:r>
          </w:p>
        </w:tc>
      </w:tr>
    </w:tbl>
    <w:p>
      <w:pPr>
        <w:spacing w:after="20"/>
      </w:pPr>
    </w:p>
    <w:p>
      <w:pPr>
        <w:pStyle w:val="Heading2"/>
      </w:pPr>
      <w:r>
        <w:t>3.3 Experimental Conditions</w:t>
      </w:r>
    </w:p>
    <w:p>
      <w:r>
        <w:rPr>
          <w:rFonts w:ascii="Calibri" w:hAnsi="Calibri" w:eastAsia="PingFang SC"/>
        </w:rPr>
        <w:t>The MVP experiment will start with procedural scenarios such as welding preparation and quality inspection. Each gold annotation will record the entity type, entity name or span, relation type and subject-object pair, relevant attributes, and an evidence span or segment ID. This design permits evaluation of factual correctness, completeness, and grounding. For each scene, the following input conditions will be prepared and, once an operational small model has been selected, extraction will be repeated to distinguish average quality change from run-to-run variation.</w:t>
      </w:r>
    </w:p>
    <w:p>
      <w:pPr>
        <w:pStyle w:val="ListBullet"/>
      </w:pPr>
      <w:r>
        <w:rPr>
          <w:rFonts w:ascii="Calibri" w:hAnsi="Calibri" w:eastAsia="PingFang SC"/>
        </w:rPr>
        <w:t>Raw video-derived text: the original scene-description or transcript-like phrasing, used as the baseline input.</w:t>
      </w:r>
    </w:p>
    <w:p>
      <w:pPr>
        <w:pStyle w:val="ListBullet"/>
      </w:pPr>
      <w:r>
        <w:rPr>
          <w:rFonts w:ascii="Calibri" w:hAnsi="Calibri" w:eastAsia="PingFang SC"/>
        </w:rPr>
        <w:t>Unified text structure: information contained in the original text is reordered and explicitly labelled, without adding unobserved facts.</w:t>
      </w:r>
    </w:p>
    <w:p>
      <w:pPr>
        <w:pStyle w:val="ListBullet"/>
      </w:pPr>
      <w:r>
        <w:rPr>
          <w:rFonts w:ascii="Calibri" w:hAnsi="Calibri" w:eastAsia="PingFang SC"/>
        </w:rPr>
        <w:t>Noisy variant (extended experiment): terminology errors, omitted fields, or ambiguous order are simulated to observe robustness under input noise.</w:t>
      </w:r>
    </w:p>
    <w:p>
      <w:pPr>
        <w:pStyle w:val="Heading2"/>
      </w:pPr>
      <w:r>
        <w:t>3.4 Stability and KG Quality Metrics</w:t>
      </w:r>
    </w:p>
    <w:p>
      <w:r>
        <w:rPr>
          <w:rFonts w:ascii="Calibri" w:hAnsi="Calibri" w:eastAsia="PingFang SC"/>
        </w:rPr>
        <w:t>Stability in the main research question is defined through graph output rather than linguistic fluency. The study distinguishes two components: output agreement measures whether repeated runs or input variants of the same scene produce similar nodes and edges; quality stability measures whether correctness, completeness, and hallucination metrics improve consistently or show lower variation.</w:t>
      </w:r>
    </w:p>
    <w:p>
      <w:pPr>
        <w:keepNext/>
        <w:spacing w:before="120" w:after="80"/>
      </w:pPr>
      <w:r>
        <w:rPr>
          <w:rFonts w:ascii="Calibri" w:hAnsi="Calibri" w:eastAsia="PingFang SC"/>
          <w:b/>
          <w:color w:val="626D78"/>
          <w:sz w:val="19"/>
        </w:rPr>
        <w:t>Table 3. Evaluation framework: KG evaluation as the measurement basis for the main question</w:t>
      </w:r>
    </w:p>
    <w:tbl>
      <w:tblPr>
        <w:tblStyle w:val="TableGrid"/>
        <w:tblW w:type="dxa" w:w="9360"/>
        <w:jc w:val="left"/>
        <w:tblLayout w:type="fixed"/>
        <w:tblLook w:firstColumn="1" w:firstRow="1" w:lastColumn="0" w:lastRow="0" w:noHBand="0" w:noVBand="1" w:val="04A0"/>
        <w:tblInd w:type="dxa" w:w="120"/>
      </w:tblPr>
      <w:tblGrid>
        <w:gridCol w:w="1944"/>
        <w:gridCol w:w="3960"/>
        <w:gridCol w:w="3456"/>
      </w:tblGrid>
      <w:tr>
        <w:trPr>
          <w:tblHeader/>
        </w:trPr>
        <w:tc>
          <w:tcPr>
            <w:tcW w:type="dxa" w:w="1944"/>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Priority / Goal</w:t>
            </w:r>
          </w:p>
        </w:tc>
        <w:tc>
          <w:tcPr>
            <w:tcW w:type="dxa" w:w="3960"/>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Metric</w:t>
            </w:r>
          </w:p>
        </w:tc>
        <w:tc>
          <w:tcPr>
            <w:tcW w:type="dxa" w:w="3456"/>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Interpretation</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Core / Output agreement</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Repeated-run graph agreement</w:t>
            </w:r>
          </w:p>
        </w:tc>
        <w:tc>
          <w:tcPr>
            <w:tcW w:type="dxa" w:w="345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Whether the unified structure reduces node and edge variation for the same scene.</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Core / Correctness</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Entity and relation precision</w:t>
            </w:r>
          </w:p>
        </w:tc>
        <w:tc>
          <w:tcPr>
            <w:tcW w:type="dxa" w:w="345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How many generated entities and relations match the gold annotation.</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Core / Completeness</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Entity and relation recall / F1-score</w:t>
            </w:r>
          </w:p>
        </w:tc>
        <w:tc>
          <w:tcPr>
            <w:tcW w:type="dxa" w:w="345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Whether required procedural facts are covered and overall extraction quality improves.</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Core / Hallucination</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Hallucination rate</w:t>
            </w:r>
          </w:p>
        </w:tc>
        <w:tc>
          <w:tcPr>
            <w:tcW w:type="dxa" w:w="345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Whether subjects, objects, or evidence unsupported by source text are generated.</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Core / Schema validity</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Ontology conformance rate</w:t>
            </w:r>
          </w:p>
        </w:tc>
        <w:tc>
          <w:tcPr>
            <w:tcW w:type="dxa" w:w="345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Whether relation types and domain/range endpoints comply with the extraction schema.</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Optional / Utility and detail</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Query checks; attribute match; noisy-variant robustness</w:t>
            </w:r>
          </w:p>
        </w:tc>
        <w:tc>
          <w:tcPr>
            <w:tcW w:type="dxa" w:w="345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Additional analysis of query usefulness, attributes, and noise robustness if time permits.</w:t>
            </w:r>
          </w:p>
        </w:tc>
      </w:tr>
    </w:tbl>
    <w:p>
      <w:pPr>
        <w:spacing w:after="20"/>
      </w:pPr>
    </w:p>
    <w:p>
      <w:pPr>
        <w:pStyle w:val="Heading1"/>
      </w:pPr>
      <w:r>
        <w:t>4. Preliminary Work</w:t>
      </w:r>
    </w:p>
    <w:p>
      <w:r>
        <w:rPr>
          <w:rFonts w:ascii="Calibri" w:hAnsi="Calibri" w:eastAsia="PingFang SC"/>
        </w:rPr>
        <w:t>The current prototype provides a technical basis for the evaluation study, but it does not yet implement the complete unified-text preprocessing experiment and does not claim a completed comparison with a trained domain-adapted model. Completed work is concentrated on the KG extraction contract, graph construction, and evaluation infrastructure.</w:t>
      </w:r>
    </w:p>
    <w:p>
      <w:pPr>
        <w:pStyle w:val="ListBullet"/>
      </w:pPr>
      <w:r>
        <w:rPr>
          <w:rFonts w:ascii="Calibri" w:hAnsi="Calibri" w:eastAsia="PingFang SC"/>
        </w:rPr>
        <w:t>A Pydantic schema for egocentric procedural knowledge has been defined, covering entities including Scene, Action, Tool, SceneObject, Procedure, and ProcessParameter.</w:t>
      </w:r>
    </w:p>
    <w:p>
      <w:pPr>
        <w:pStyle w:val="ListBullet"/>
      </w:pPr>
      <w:r>
        <w:rPr>
          <w:rFonts w:ascii="Calibri" w:hAnsi="Calibri" w:eastAsia="PingFang SC"/>
        </w:rPr>
        <w:t>Relations for tool use, affected objects, action order, causality, procedure membership, and scene provenance have been defined, retaining provenance and confidence where available.</w:t>
      </w:r>
    </w:p>
    <w:p>
      <w:pPr>
        <w:pStyle w:val="ListBullet"/>
      </w:pPr>
      <w:r>
        <w:rPr>
          <w:rFonts w:ascii="Calibri" w:hAnsi="Calibri" w:eastAsia="PingFang SC"/>
        </w:rPr>
        <w:t>A lightweight property graph implementation supports node merging, elementary queries, and Cypher export for validation of output graph structures.</w:t>
      </w:r>
    </w:p>
    <w:p>
      <w:pPr>
        <w:pStyle w:val="ListBullet"/>
      </w:pPr>
      <w:r>
        <w:rPr>
          <w:rFonts w:ascii="Calibri" w:hAnsi="Calibri" w:eastAsia="PingFang SC"/>
        </w:rPr>
        <w:t>Evaluation components compute Precision/Recall/F1 at entity, attribute, and relation levels, accompanied by a prototype for ontology- and grounding-based hallucination validation.</w:t>
      </w:r>
    </w:p>
    <w:p>
      <w:pPr>
        <w:pStyle w:val="ListBullet"/>
      </w:pPr>
      <w:r>
        <w:rPr>
          <w:rFonts w:ascii="Calibri" w:hAnsi="Calibri" w:eastAsia="PingFang SC"/>
        </w:rPr>
        <w:t>At present, 19 smoke tests for the evaluation and egocentric workflow pass, supporting the assembly of these components into an early demo.</w:t>
      </w:r>
    </w:p>
    <w:p>
      <w:r>
        <w:rPr>
          <w:rFonts w:ascii="Calibri" w:hAnsi="Calibri" w:eastAsia="PingFang SC"/>
        </w:rPr>
        <w:t>Consequently, the KG evaluation component serves as the measurement framework for the main research question: it is used to determine whether a unified text structure genuinely improves the stability and reliability of small-model outputs.</w:t>
      </w:r>
    </w:p>
    <w:p>
      <w:pPr>
        <w:pStyle w:val="Heading1"/>
      </w:pPr>
      <w:r>
        <w:t>5. Work Plan and Time Schedule</w:t>
      </w:r>
    </w:p>
    <w:p>
      <w:r>
        <w:rPr>
          <w:rFonts w:ascii="Calibri" w:hAnsi="Calibri" w:eastAsia="PingFang SC"/>
        </w:rPr>
        <w:t>Future work first fixes the unified text structure and the gold annotations, then runs model extraction for raw and unified input conditions, and finally compares KG quality and stability metrics. Table 4 maps this work to the current project phases; exact deadlines can be maintained in the team schedule.</w:t>
      </w:r>
    </w:p>
    <w:p>
      <w:pPr>
        <w:keepNext/>
        <w:spacing w:before="120" w:after="80"/>
      </w:pPr>
      <w:r>
        <w:rPr>
          <w:rFonts w:ascii="Calibri" w:hAnsi="Calibri" w:eastAsia="PingFang SC"/>
          <w:b/>
          <w:color w:val="626D78"/>
          <w:sz w:val="19"/>
        </w:rPr>
        <w:t>Table 4. Project phases, activities, and deliverables</w:t>
      </w:r>
    </w:p>
    <w:tbl>
      <w:tblPr>
        <w:tblStyle w:val="TableGrid"/>
        <w:tblW w:type="dxa" w:w="9360"/>
        <w:jc w:val="left"/>
        <w:tblLayout w:type="fixed"/>
        <w:tblLook w:firstColumn="1" w:firstRow="1" w:lastColumn="0" w:lastRow="0" w:noHBand="0" w:noVBand="1" w:val="04A0"/>
        <w:tblInd w:type="dxa" w:w="120"/>
      </w:tblPr>
      <w:tblGrid>
        <w:gridCol w:w="2376"/>
        <w:gridCol w:w="4968"/>
        <w:gridCol w:w="2016"/>
      </w:tblGrid>
      <w:tr>
        <w:trPr>
          <w:tblHeader/>
        </w:trPr>
        <w:tc>
          <w:tcPr>
            <w:tcW w:type="dxa" w:w="2376"/>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Phase</w:t>
            </w:r>
          </w:p>
        </w:tc>
        <w:tc>
          <w:tcPr>
            <w:tcW w:type="dxa" w:w="4968"/>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Activities</w:t>
            </w:r>
          </w:p>
        </w:tc>
        <w:tc>
          <w:tcPr>
            <w:tcW w:type="dxa" w:w="2016"/>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Deliverables</w:t>
            </w:r>
          </w:p>
        </w:tc>
      </w:tr>
      <w:tr>
        <w:trPr/>
        <w:tc>
          <w:tcPr>
            <w:tcW w:type="dxa" w:w="237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Planning and Exposé</w:t>
            </w:r>
          </w:p>
        </w:tc>
        <w:tc>
          <w:tcPr>
            <w:tcW w:type="dxa" w:w="4968"/>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Fix the main question, text-structure template, metrics, and experimental scope.</w:t>
            </w:r>
          </w:p>
        </w:tc>
        <w:tc>
          <w:tcPr>
            <w:tcW w:type="dxa" w:w="20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Exposé draft; architecture and metrics table.</w:t>
            </w:r>
          </w:p>
        </w:tc>
      </w:tr>
      <w:tr>
        <w:trPr/>
        <w:tc>
          <w:tcPr>
            <w:tcW w:type="dxa" w:w="237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Midterm Presentation</w:t>
            </w:r>
          </w:p>
        </w:tc>
        <w:tc>
          <w:tcPr>
            <w:tcW w:type="dxa" w:w="4968"/>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Present motivation, pipeline, unified-text concept, and the existing early demo.</w:t>
            </w:r>
          </w:p>
        </w:tc>
        <w:tc>
          <w:tcPr>
            <w:tcW w:type="dxa" w:w="20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Slides; single-scene graph demonstration.</w:t>
            </w:r>
          </w:p>
        </w:tc>
      </w:tr>
      <w:tr>
        <w:trPr/>
        <w:tc>
          <w:tcPr>
            <w:tcW w:type="dxa" w:w="237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Implementation and Documentation</w:t>
            </w:r>
          </w:p>
        </w:tc>
        <w:tc>
          <w:tcPr>
            <w:tcW w:type="dxa" w:w="4968"/>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Create raw/unified input pairs; annotate gold graphs; run repeated extraction and comparisons.</w:t>
            </w:r>
          </w:p>
        </w:tc>
        <w:tc>
          <w:tcPr>
            <w:tcW w:type="dxa" w:w="20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Benchmark; result tables; error analysis.</w:t>
            </w:r>
          </w:p>
        </w:tc>
      </w:tr>
      <w:tr>
        <w:trPr/>
        <w:tc>
          <w:tcPr>
            <w:tcW w:type="dxa" w:w="237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Final Presentation</w:t>
            </w:r>
          </w:p>
        </w:tc>
        <w:tc>
          <w:tcPr>
            <w:tcW w:type="dxa" w:w="4968"/>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Report effects on stability and KG quality, limitations, and future work.</w:t>
            </w:r>
          </w:p>
        </w:tc>
        <w:tc>
          <w:tcPr>
            <w:tcW w:type="dxa" w:w="20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Final slides; experiment visualizations.</w:t>
            </w:r>
          </w:p>
        </w:tc>
      </w:tr>
      <w:tr>
        <w:trPr/>
        <w:tc>
          <w:tcPr>
            <w:tcW w:type="dxa" w:w="237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Demonstration</w:t>
            </w:r>
          </w:p>
        </w:tc>
        <w:tc>
          <w:tcPr>
            <w:tcW w:type="dxa" w:w="4968"/>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Run preprocessing, structured extraction, graph querying, and evaluation.</w:t>
            </w:r>
          </w:p>
        </w:tc>
        <w:tc>
          <w:tcPr>
            <w:tcW w:type="dxa" w:w="20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Reproducible demo.</w:t>
            </w:r>
          </w:p>
        </w:tc>
      </w:tr>
    </w:tbl>
    <w:p>
      <w:pPr>
        <w:spacing w:after="20"/>
      </w:pPr>
    </w:p>
    <w:p>
      <w:pPr>
        <w:pStyle w:val="Heading1"/>
      </w:pPr>
      <w:r>
        <w:t>6. Expected Contribution and Limitations</w:t>
      </w:r>
    </w:p>
    <w:p>
      <w:r>
        <w:rPr>
          <w:rFonts w:ascii="Calibri" w:hAnsi="Calibri" w:eastAsia="PingFang SC"/>
        </w:rPr>
        <w:t>The expected contribution of this project is the design and evaluation of a unified text structure for egocentric expert-video descriptions, investigating whether it reduces output variation when small LLMs generate procedural knowledge graphs. Stability changes will be interpreted through core metrics for correctness, completeness, hallucination, and ontology conformance; query utility and attribute-level evaluation will be added only as time allows. This design connects input preprocessing with KG evaluation in a coherent research pipeline rather than shifting the project toward general language polishing.</w:t>
      </w:r>
    </w:p>
    <w:p>
      <w:r>
        <w:rPr>
          <w:rFonts w:ascii="Calibri" w:hAnsi="Calibri" w:eastAsia="PingFang SC"/>
        </w:rPr>
        <w:t>The MVP has clear limitations: its input consists of video-derived text rather than raw video frames; the initial number of scenarios is limited; domain adaptation or fine-tuning is considered only as a later experimental extension if feasible; and the current graph layer is an in-memory property graph rather than a final database deployment. These limitations will be explicitly discussed in the analysis of the final results.</w:t>
      </w:r>
    </w:p>
    <w:p>
      <w:pPr>
        <w:pStyle w:val="Heading1"/>
      </w:pPr>
      <w:r>
        <w:t>References</w:t>
      </w:r>
    </w:p>
    <w:p>
      <w:pPr>
        <w:jc w:val="left"/>
      </w:pPr>
      <w:r>
        <w:rPr>
          <w:rFonts w:ascii="Calibri" w:hAnsi="Calibri" w:eastAsia="PingFang SC"/>
        </w:rPr>
        <w:t>[1] Mihindukulasooriya, N., Tiwari, S., Enguix, C. F., &amp; Lata, K. (2023). Text2KGBench: A Benchmark for Ontology-Driven Knowledge Graph Generation from Text. arXiv:2308.02357. https://arxiv.org/abs/2308.02357</w:t>
      </w:r>
    </w:p>
    <w:p>
      <w:pPr>
        <w:jc w:val="left"/>
      </w:pPr>
      <w:r>
        <w:rPr>
          <w:rFonts w:ascii="Calibri" w:hAnsi="Calibri" w:eastAsia="PingFang SC"/>
        </w:rPr>
        <w:t>[2] van Cauter, Z., &amp; Yakovets, N. (2024). Ontology-guided Knowledge Graph Construction from Maintenance Short Texts. Proceedings of the 1st Workshop on Knowledge Graphs and Large Language Models (KaLLM 2024), 75-84. https://aclanthology.org/2024.kallm-1.8/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PingFang SC"/>
        <w:color w:val="626D78"/>
        <w:sz w:val="18"/>
      </w:rPr>
      <w:t>TU Berlin - Institut fuer Industrielle Automatisierungstechnik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PingFang SC"/>
        <w:color w:val="626D78"/>
        <w:sz w:val="18"/>
      </w:rPr>
      <w:t>AUT KG Extraction Pipeline  |  Expose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PingFang SC"/>
      <w:color w:val="222B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PingFang SC"/>
      <w:color w:val="222B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PingFang SC"/>
      <w:color w:val="222B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 of Unified Text-Structure Preprocessing on the Stability of Knowledge Graph Generation with Small LLMs</dc:title>
  <dc:subject>AUT KG Extraction Pipeline - Expose draft</dc:subject>
  <dc:creator>AUT KG Extraction Pipeline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