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Calibri" w:hAnsi="Calibri" w:eastAsia="PingFang SC"/>
          <w:b/>
          <w:color w:val="626D78"/>
          <w:sz w:val="22"/>
        </w:rPr>
        <w:t>AUT KG EXTRACTION PIPELINE</w:t>
      </w:r>
    </w:p>
    <w:p>
      <w:pPr>
        <w:spacing w:after="140" w:line="276" w:lineRule="auto"/>
        <w:jc w:val="center"/>
      </w:pPr>
      <w:r>
        <w:rPr>
          <w:rFonts w:ascii="Calibri" w:hAnsi="Calibri" w:eastAsia="PingFang SC"/>
          <w:b/>
          <w:color w:val="1F4D78"/>
          <w:sz w:val="46"/>
        </w:rPr>
        <w:t>统一文本结构预处理对小型语言模型</w:t>
        <w:br/>
        <w:t>生成知识图谱稳定性的影响</w:t>
      </w:r>
    </w:p>
    <w:p>
      <w:pPr>
        <w:spacing w:after="360"/>
        <w:jc w:val="center"/>
      </w:pPr>
      <w:r>
        <w:rPr>
          <w:rFonts w:ascii="Calibri" w:hAnsi="Calibri" w:eastAsia="PingFang SC"/>
          <w:i/>
          <w:color w:val="626D78"/>
          <w:sz w:val="23"/>
        </w:rPr>
        <w:t>中文 Exposé 初稿  |  Egocentric Expert Video Descriptions</w:t>
      </w:r>
    </w:p>
    <w:p>
      <w:pPr>
        <w:spacing w:after="360"/>
        <w:jc w:val="center"/>
      </w:pPr>
      <w:r>
        <w:rPr>
          <w:rFonts w:ascii="Calibri" w:hAnsi="Calibri" w:eastAsia="PingFang SC"/>
          <w:color w:val="626D78"/>
          <w:sz w:val="20"/>
        </w:rPr>
        <w:t>TU Berlin - Institut fuer Industrielle Automatisierungstechnik  |  2026 年 5 月</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主研究问题 / Main Research Question  </w:t>
      </w:r>
      <w:r>
        <w:rPr>
          <w:rFonts w:ascii="Calibri" w:hAnsi="Calibri" w:eastAsia="PingFang SC"/>
          <w:color w:val="222B35"/>
          <w:sz w:val="21"/>
        </w:rPr>
        <w:t>将视频衍生描述预处理为统一文本结构，如何提高小型语言模型生成知识图谱的稳定性？ (How can preprocessing video-derived descriptions into a unified text structure increase the stability of knowledge graph generation with small LLMs?)</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稳定性的操作化定义  </w:t>
      </w:r>
      <w:r>
        <w:rPr>
          <w:rFonts w:ascii="Calibri" w:hAnsi="Calibri" w:eastAsia="PingFang SC"/>
          <w:color w:val="222B35"/>
          <w:sz w:val="21"/>
        </w:rPr>
        <w:t>本项目中，稳定性具体指：在重复抽取或语义等价输入变体下，生成的实体、关系和 schema 合规图结构更加一致，并且 KG 质量指标的波动更小。</w:t>
      </w:r>
    </w:p>
    <w:p>
      <w:pPr>
        <w:pStyle w:val="Heading1"/>
      </w:pPr>
      <w:r>
        <w:t>摘要</w:t>
      </w:r>
    </w:p>
    <w:p>
      <w:r>
        <w:rPr>
          <w:rFonts w:ascii="Calibri" w:hAnsi="Calibri" w:eastAsia="PingFang SC"/>
        </w:rPr>
        <w:t>第一人称专家视频能够记录制造流程中的动作、工具、对象和检查步骤，但由视频生成的场景描述或转录文本往往在表达方式、信息顺序和噪声程度上不一致。对于参数规模较小或领域适配能力有限的语言模型，这种输入波动可能导致结构化抽取结果不稳定，并进一步影响知识图谱的可靠性。本项目研究将视频衍生文本预处理为统一文本结构是否能够提升知识图谱生成的稳定性。我们提出固定字段的场景文本表示，并在相同模型与 schema 条件下对原始描述和统一结构描述进行比较。其中，稳定性既包含不同输入变体或重复运行下图结构的一致性，也包含生成图在正确性、完整性和幻觉方面的稳定质量表现。目前原型已支持 schema-driven extraction、property graph 构建、图查询以及基于 gold examples 的评价与 hallucination validation，为后续预处理对比实验提供基础。</w:t>
      </w:r>
    </w:p>
    <w:p>
      <w:pPr>
        <w:pStyle w:val="Heading1"/>
      </w:pPr>
      <w:r>
        <w:t>1. Introduction</w:t>
      </w:r>
    </w:p>
    <w:p>
      <w:r>
        <w:rPr>
          <w:rFonts w:ascii="Calibri" w:hAnsi="Calibri" w:eastAsia="PingFang SC"/>
        </w:rPr>
        <w:t>工业制造中的程序性知识经常存在于专家的操作过程之中，例如焊接时的工件定位、焊枪选择、焊接顺序，以及质量检查中的测量和记录。第一人称视频可以保留这些过程细节；在本项目的 MVP 中，系统接收已经由视频转写或描述得到的 scene descriptions 或 transcript-like text，随后由小型语言模型抽取为过程知识图谱。</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MVP 研究范围  </w:t>
      </w:r>
      <w:r>
        <w:rPr>
          <w:rFonts w:ascii="Calibri" w:hAnsi="Calibri" w:eastAsia="PingFang SC"/>
          <w:color w:val="222B35"/>
          <w:sz w:val="21"/>
        </w:rPr>
        <w:t>本研究范围从 video-to-text conversion 之后开始。项目不训练视频模型，也不评价原始视频帧识别质量；研究对象是同一视频衍生内容在不同文本表示下对 KG 抽取结果的影响。</w:t>
      </w:r>
    </w:p>
    <w:p>
      <w:r>
        <w:rPr>
          <w:rFonts w:ascii="Calibri" w:hAnsi="Calibri" w:eastAsia="PingFang SC"/>
        </w:rPr>
        <w:t>这一流程中的关键风险是输入不统一。相同的操作场景可能被描述成不同句式，可能缺少动作主体或时间顺序，也可能包含语音识别或视觉描述产生的错误术语。大型模型在某些情况下能够借助上下文补偿表达差异，而小型或领域适配模型对输入模式可能更敏感：输入格式变化可能造成漏抽实体、错配关系或无依据事实。</w:t>
      </w:r>
    </w:p>
    <w:p>
      <w:r>
        <w:rPr>
          <w:rFonts w:ascii="Calibri" w:hAnsi="Calibri" w:eastAsia="PingFang SC"/>
        </w:rPr>
        <w:t>因此，本研究不以通用翻译或文字润色为目标，而是研究面向知识抽取的结构化预处理：在保留原始证据的前提下，将视频描述整理成统一字段和稳定顺序，使模型更容易识别行动者、动作、工具、对象、结果及不确定信息。最终判断这种方法是否有效，不能只观察文本是否更整齐，而应评价其生成知识图谱是否更一致、更正确、更完整且更少幻觉。</w:t>
      </w:r>
    </w:p>
    <w:p>
      <w:pPr>
        <w:keepNext/>
        <w:spacing w:before="120" w:after="80"/>
      </w:pPr>
      <w:r>
        <w:rPr>
          <w:rFonts w:ascii="Calibri" w:hAnsi="Calibri" w:eastAsia="PingFang SC"/>
          <w:b/>
          <w:color w:val="626D78"/>
          <w:sz w:val="19"/>
        </w:rPr>
        <w:t>表 1  研究问题之间的关系</w:t>
      </w:r>
    </w:p>
    <w:tbl>
      <w:tblPr>
        <w:tblStyle w:val="TableGrid"/>
        <w:tblW w:type="dxa" w:w="9360"/>
        <w:jc w:val="left"/>
        <w:tblLayout w:type="fixed"/>
        <w:tblLook w:firstColumn="1" w:firstRow="1" w:lastColumn="0" w:lastRow="0" w:noHBand="0" w:noVBand="1" w:val="04A0"/>
        <w:tblInd w:type="dxa" w:w="120"/>
      </w:tblPr>
      <w:tblGrid>
        <w:gridCol w:w="1944"/>
        <w:gridCol w:w="4320"/>
        <w:gridCol w:w="3096"/>
      </w:tblGrid>
      <w:tr>
        <w:trPr>
          <w:tblHeader/>
        </w:trPr>
        <w:tc>
          <w:tcPr>
            <w:tcW w:type="dxa" w:w="1944"/>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层级</w:t>
            </w:r>
          </w:p>
        </w:tc>
        <w:tc>
          <w:tcPr>
            <w:tcW w:type="dxa" w:w="4320"/>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研究问题</w:t>
            </w:r>
          </w:p>
        </w:tc>
        <w:tc>
          <w:tcPr>
            <w:tcW w:type="dxa" w:w="309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在项目中的作用</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主研究问题</w:t>
            </w:r>
          </w:p>
        </w:tc>
        <w:tc>
          <w:tcPr>
            <w:tcW w:type="dxa" w:w="432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统一文本结构是否提高小型 LLM 生成 KG 的稳定性？</w:t>
            </w:r>
          </w:p>
        </w:tc>
        <w:tc>
          <w:tcPr>
            <w:tcW w:type="dxa" w:w="309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提出待验证的预处理方法及效果假设。</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评价子问题</w:t>
            </w:r>
          </w:p>
        </w:tc>
        <w:tc>
          <w:tcPr>
            <w:tcW w:type="dxa" w:w="432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如何用 correctness、completeness 与 hallucination 评价生成 KG？</w:t>
            </w:r>
          </w:p>
        </w:tc>
        <w:tc>
          <w:tcPr>
            <w:tcW w:type="dxa" w:w="309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提供衡量主问题效果的指标框架。</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系统对象</w:t>
            </w:r>
          </w:p>
        </w:tc>
        <w:tc>
          <w:tcPr>
            <w:tcW w:type="dxa" w:w="432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视频描述 -&gt; 结构化抽取 -&gt; property graph</w:t>
            </w:r>
          </w:p>
        </w:tc>
        <w:tc>
          <w:tcPr>
            <w:tcW w:type="dxa" w:w="309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限定实验范围与实现路径。</w:t>
            </w:r>
          </w:p>
        </w:tc>
      </w:tr>
    </w:tbl>
    <w:p>
      <w:pPr>
        <w:spacing w:after="20"/>
      </w:pPr>
    </w:p>
    <w:p>
      <w:pPr>
        <w:pStyle w:val="Heading1"/>
      </w:pPr>
      <w:r>
        <w:t>2. State of the Art Research</w:t>
      </w:r>
    </w:p>
    <w:p>
      <w:r>
        <w:rPr>
          <w:rFonts w:ascii="Calibri" w:hAnsi="Calibri" w:eastAsia="PingFang SC"/>
        </w:rPr>
        <w:t>现有研究为本项目提供了两个重要基础。首先，Text2KGBench 提出了 ontology-driven knowledge graph generation 的 benchmark，用于评价语言模型在输入文本和指定 ontology 条件下生成知识图谱的能力 [1]。它不仅关心生成结果与参考事实是否匹配，也关心输出是否符合 ontology 约束以及是否含有幻觉事实。</w:t>
      </w:r>
    </w:p>
    <w:p>
      <w:r>
        <w:rPr>
          <w:rFonts w:ascii="Calibri" w:hAnsi="Calibri" w:eastAsia="PingFang SC"/>
        </w:rPr>
        <w:t>其次，van Cauter 与 Yakovets 将 ontology-guided KG construction 应用于工业维护短文本，并以 Precision、Recall、F1、ontology conformance 和 hallucination rate 衡量抽取结果 [2]。该研究说明，在工业语境中，知识图谱生成的可靠性可以通过事实级评价和约束验证来量化。</w:t>
      </w:r>
    </w:p>
    <w:p>
      <w:r>
        <w:rPr>
          <w:rFonts w:ascii="Calibri" w:hAnsi="Calibri" w:eastAsia="PingFang SC"/>
        </w:rPr>
        <w:t>本项目与上述研究的共同点是使用 ontology/schema 约束模型输出，并评价事实抽取及幻觉。区别在于，本项目关注第一人称专家视频描述中的程序性知识，需要表达动作顺序、工具使用、操作对象、场景来源和 provenance；同时，本项目进一步考察输入预处理是否会影响小型模型的输出稳定性。由此形成研究缺口：已有工作评价了文本到 KG 的输出质量，但针对视频衍生描述的统一输入结构是否能够稳定小型模型生成的程序性知识图谱，仍需验证。</w:t>
      </w:r>
    </w:p>
    <w:p>
      <w:r>
        <w:rPr>
          <w:rFonts w:ascii="Calibri" w:hAnsi="Calibri" w:eastAsia="PingFang SC"/>
        </w:rPr>
        <w:t>此外，许多 LLM-based information extraction 系统主要通过 prompt engineering、schema constraints 或抽取后的 validation 来控制输出质量。相比之下，输入文本自身的组织形式，尤其是带有噪声且表达不一致的视频衍生描述，是否会系统性影响小型模型的图谱生成稳定性，仍较少被作为独立实验变量讨论。本项目因此将 input structuring 明确设置为实验变量，并使用 KG 质量评价来检验其效果。</w:t>
      </w:r>
    </w:p>
    <w:p>
      <w:pPr>
        <w:pStyle w:val="Heading1"/>
      </w:pPr>
      <w:r>
        <w:t>3. Methods</w:t>
      </w:r>
    </w:p>
    <w:p>
      <w:pPr>
        <w:pStyle w:val="Heading2"/>
      </w:pPr>
      <w:r>
        <w:t>3.1 Evaluation Pipeline</w:t>
      </w:r>
    </w:p>
    <w:p>
      <w:pPr>
        <w:spacing w:before="100" w:after="200" w:line="300" w:lineRule="auto"/>
        <w:ind w:left="259" w:right="259"/>
        <w:jc w:val="left"/>
        <w:shd w:fill="EAF2F8"/>
        <w:pBdr>
          <w:left w:val="single" w:sz="18" w:space="8" w:color="2E74B5"/>
        </w:pBdr>
      </w:pPr>
      <w:r>
        <w:rPr>
          <w:rFonts w:ascii="Calibri" w:hAnsi="Calibri" w:eastAsia="PingFang SC"/>
          <w:b/>
          <w:color w:val="2E74B5"/>
          <w:sz w:val="21"/>
        </w:rPr>
        <w:t xml:space="preserve">研究流程  </w:t>
      </w:r>
      <w:r>
        <w:rPr>
          <w:rFonts w:ascii="Calibri" w:hAnsi="Calibri" w:eastAsia="PingFang SC"/>
          <w:color w:val="222B35"/>
          <w:sz w:val="21"/>
        </w:rPr>
        <w:t>Video-derived text -&gt; raw / unified-structure input -&gt; schema-guided extraction with a small LLM -&gt; procedural property graph -&gt; stability and quality evaluation</w:t>
      </w:r>
    </w:p>
    <w:p>
      <w:r>
        <w:rPr>
          <w:rFonts w:ascii="Calibri" w:hAnsi="Calibri" w:eastAsia="PingFang SC"/>
        </w:rPr>
        <w:t>由于 MVP 从 video-to-text conversion 后开始，实验不包含视频模型训练或帧级处理。实验保持模型、prompt 中的 schema 约束与图构建逻辑不变，只改变输入文本的表示形式。每个场景保留原始描述版本，并构建一个不新增事实的 unified text structure 版本；二者分别送入同一抽取模型。预测结果被转换为 property graph，再与人工标注的 gold graph 以及源文本证据进行比较。</w:t>
      </w:r>
    </w:p>
    <w:p>
      <w:pPr>
        <w:pStyle w:val="Heading2"/>
      </w:pPr>
      <w:r>
        <w:t>3.2 Unified Text Structure</w:t>
      </w:r>
    </w:p>
    <w:p>
      <w:r>
        <w:rPr>
          <w:rFonts w:ascii="Calibri" w:hAnsi="Calibri" w:eastAsia="PingFang SC"/>
        </w:rPr>
        <w:t>统一文本结构的作用不是翻译或补写内容，而是将已观察到的信息放入稳定的字段顺序中，并明确缺失或不确定值。在 MVP 阶段，统一文本结构将通过人工或规则辅助方式从原始描述中构建，以保证不引入新事实；自动化预处理作为后续扩展。预处理必须保留原始 source text 和 segment provenance，以便在发生幻觉时追溯证据来源。</w:t>
      </w:r>
    </w:p>
    <w:p>
      <w:pPr>
        <w:keepNext/>
        <w:spacing w:before="120" w:after="80"/>
      </w:pPr>
      <w:r>
        <w:rPr>
          <w:rFonts w:ascii="Calibri" w:hAnsi="Calibri" w:eastAsia="PingFang SC"/>
          <w:b/>
          <w:color w:val="626D78"/>
          <w:sz w:val="19"/>
        </w:rPr>
        <w:t>表 2  计划采用的统一输入字段</w:t>
      </w:r>
    </w:p>
    <w:tbl>
      <w:tblPr>
        <w:tblStyle w:val="TableGrid"/>
        <w:tblW w:type="dxa" w:w="9360"/>
        <w:jc w:val="left"/>
        <w:tblLayout w:type="fixed"/>
        <w:tblLook w:firstColumn="1" w:firstRow="1" w:lastColumn="0" w:lastRow="0" w:noHBand="0" w:noVBand="1" w:val="04A0"/>
        <w:tblInd w:type="dxa" w:w="120"/>
      </w:tblPr>
      <w:tblGrid>
        <w:gridCol w:w="2232"/>
        <w:gridCol w:w="3816"/>
        <w:gridCol w:w="3312"/>
      </w:tblGrid>
      <w:tr>
        <w:trPr>
          <w:tblHeader/>
        </w:trPr>
        <w:tc>
          <w:tcPr>
            <w:tcW w:type="dxa" w:w="2232"/>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字段</w:t>
            </w:r>
          </w:p>
        </w:tc>
        <w:tc>
          <w:tcPr>
            <w:tcW w:type="dxa" w:w="381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含义</w:t>
            </w:r>
          </w:p>
        </w:tc>
        <w:tc>
          <w:tcPr>
            <w:tcW w:type="dxa" w:w="3312"/>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示例</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Scene / Segment</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视频片段标识与时间范围</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inspect_demo_01, s2, 00:20-00:45</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Actor</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执行动作的人员或角色</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quality inspector Maria</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Action sequence</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按顺序列出的动作</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place caliper; measure gap; record result</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Tool / Object</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被使用工具及作用对象</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caliper; bracket gap</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Outcome / Parameter</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观察值或过程结果</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gap measurement recorded</w:t>
            </w:r>
          </w:p>
        </w:tc>
      </w:tr>
      <w:tr>
        <w:trPr/>
        <w:tc>
          <w:tcPr>
            <w:tcW w:type="dxa" w:w="223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Evidence / Uncertainty</w:t>
            </w:r>
          </w:p>
        </w:tc>
        <w:tc>
          <w:tcPr>
            <w:tcW w:type="dxa" w:w="38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原始证据与不确定说明</w:t>
            </w:r>
          </w:p>
        </w:tc>
        <w:tc>
          <w:tcPr>
            <w:tcW w:type="dxa" w:w="3312"/>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source quote; unknown if absent</w:t>
            </w:r>
          </w:p>
        </w:tc>
      </w:tr>
    </w:tbl>
    <w:p>
      <w:pPr>
        <w:spacing w:after="20"/>
      </w:pPr>
    </w:p>
    <w:p>
      <w:pPr>
        <w:pStyle w:val="Heading2"/>
      </w:pPr>
      <w:r>
        <w:t>3.3 Experimental Conditions</w:t>
      </w:r>
    </w:p>
    <w:p>
      <w:r>
        <w:rPr>
          <w:rFonts w:ascii="Calibri" w:hAnsi="Calibri" w:eastAsia="PingFang SC"/>
        </w:rPr>
        <w:t>MVP 实验将从焊接准备与质量检查等程序性场景开始。每个 gold annotation 将记录 entity type、entity name 或 span、relation type 与 subject-object pair、相关 attributes，以及 evidence span 或 segment ID；由此既可评价事实正确性与完整性，也可评价 grounding。对每个场景准备以下输入条件，并在确定可运行的小型模型后执行多次抽取，以区分平均质量变化与运行波动。</w:t>
      </w:r>
    </w:p>
    <w:p>
      <w:pPr>
        <w:pStyle w:val="ListBullet"/>
      </w:pPr>
      <w:r>
        <w:rPr>
          <w:rFonts w:ascii="Calibri" w:hAnsi="Calibri" w:eastAsia="PingFang SC"/>
        </w:rPr>
        <w:t>Raw video-derived text：保留原始 scene description 或 transcript-like 表达，作为基线输入。</w:t>
      </w:r>
    </w:p>
    <w:p>
      <w:pPr>
        <w:pStyle w:val="ListBullet"/>
      </w:pPr>
      <w:r>
        <w:rPr>
          <w:rFonts w:ascii="Calibri" w:hAnsi="Calibri" w:eastAsia="PingFang SC"/>
        </w:rPr>
        <w:t>Unified text structure：仅重排和显式标记原文本包含的信息，不补充未经观察的事实。</w:t>
      </w:r>
    </w:p>
    <w:p>
      <w:pPr>
        <w:pStyle w:val="ListBullet"/>
      </w:pPr>
      <w:r>
        <w:rPr>
          <w:rFonts w:ascii="Calibri" w:hAnsi="Calibri" w:eastAsia="PingFang SC"/>
        </w:rPr>
        <w:t>Noisy variant（扩展实验）：人工模拟术语错误、缺失字段或顺序模糊，以观察结构化预处理对噪声的鲁棒性。</w:t>
      </w:r>
    </w:p>
    <w:p>
      <w:pPr>
        <w:pStyle w:val="Heading2"/>
      </w:pPr>
      <w:r>
        <w:t>3.4 Stability and KG Quality Metrics</w:t>
      </w:r>
    </w:p>
    <w:p>
      <w:r>
        <w:rPr>
          <w:rFonts w:ascii="Calibri" w:hAnsi="Calibri" w:eastAsia="PingFang SC"/>
        </w:rPr>
        <w:t>主研究问题中的 stability 需要以图谱输出定义，而不是以文本流畅程度定义。本研究将稳定性拆分为两部分：输出一致性衡量相同场景在多次运行或输入变体下是否生成相近的节点与边；质量稳定性衡量各次输出的 correctness、completeness 和 hallucination 是否持续改善或波动减小。</w:t>
      </w:r>
    </w:p>
    <w:p>
      <w:pPr>
        <w:keepNext/>
        <w:spacing w:before="120" w:after="80"/>
      </w:pPr>
      <w:r>
        <w:rPr>
          <w:rFonts w:ascii="Calibri" w:hAnsi="Calibri" w:eastAsia="PingFang SC"/>
          <w:b/>
          <w:color w:val="626D78"/>
          <w:sz w:val="19"/>
        </w:rPr>
        <w:t>表 3  评价指标框架：KG evaluation 作为主研究问题的测量基础</w:t>
      </w:r>
    </w:p>
    <w:tbl>
      <w:tblPr>
        <w:tblStyle w:val="TableGrid"/>
        <w:tblW w:type="dxa" w:w="9360"/>
        <w:jc w:val="left"/>
        <w:tblLayout w:type="fixed"/>
        <w:tblLook w:firstColumn="1" w:firstRow="1" w:lastColumn="0" w:lastRow="0" w:noHBand="0" w:noVBand="1" w:val="04A0"/>
        <w:tblInd w:type="dxa" w:w="120"/>
      </w:tblPr>
      <w:tblGrid>
        <w:gridCol w:w="1944"/>
        <w:gridCol w:w="3960"/>
        <w:gridCol w:w="3456"/>
      </w:tblGrid>
      <w:tr>
        <w:trPr>
          <w:tblHeader/>
        </w:trPr>
        <w:tc>
          <w:tcPr>
            <w:tcW w:type="dxa" w:w="1944"/>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优先级 / 目标</w:t>
            </w:r>
          </w:p>
        </w:tc>
        <w:tc>
          <w:tcPr>
            <w:tcW w:type="dxa" w:w="3960"/>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指标</w:t>
            </w:r>
          </w:p>
        </w:tc>
        <w:tc>
          <w:tcPr>
            <w:tcW w:type="dxa" w:w="345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解释</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输出一致性</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Repeated-run graph agreement</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统一结构是否减少相同场景输出之间的节点与边结构波动。</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正确性</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Entity and relation precision</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生成的实体和关系中有多少符合 gold annotation。</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完整性</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Entity and relation recall / F1-score</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必要程序知识是否被覆盖，并综合观察抽取质量。</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幻觉</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Hallucination rate</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是否生成源文本没有支持的 subject、object 或 evidence。</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Core / Schema 合规</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Ontology conformance rate</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关系类型及其 domain/range 是否符合 extraction schema。</w:t>
            </w:r>
          </w:p>
        </w:tc>
      </w:tr>
      <w:tr>
        <w:trPr/>
        <w:tc>
          <w:tcPr>
            <w:tcW w:type="dxa" w:w="1944"/>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Optional / 实用性与细节</w:t>
            </w:r>
          </w:p>
        </w:tc>
        <w:tc>
          <w:tcPr>
            <w:tcW w:type="dxa" w:w="3960"/>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Query checks; attribute match; noisy-variant robustness</w:t>
            </w:r>
          </w:p>
        </w:tc>
        <w:tc>
          <w:tcPr>
            <w:tcW w:type="dxa" w:w="345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在时间允许时分析查询可用性、属性抽取和噪声鲁棒性。</w:t>
            </w:r>
          </w:p>
        </w:tc>
      </w:tr>
    </w:tbl>
    <w:p>
      <w:pPr>
        <w:spacing w:after="20"/>
      </w:pPr>
    </w:p>
    <w:p>
      <w:pPr>
        <w:pStyle w:val="Heading1"/>
      </w:pPr>
      <w:r>
        <w:t>4. Preliminary Work</w:t>
      </w:r>
    </w:p>
    <w:p>
      <w:r>
        <w:rPr>
          <w:rFonts w:ascii="Calibri" w:hAnsi="Calibri" w:eastAsia="PingFang SC"/>
        </w:rPr>
        <w:t>当前原型已经为评价研究提供了技术基础，但尚未实现完整的 unified-text preprocessing 实验，也未声称已经训练或完成领域适配模型的正式对比。已完成的工作集中在知识图谱抽取合同、图构建和评价基础设施。</w:t>
      </w:r>
    </w:p>
    <w:p>
      <w:pPr>
        <w:pStyle w:val="ListBullet"/>
      </w:pPr>
      <w:r>
        <w:rPr>
          <w:rFonts w:ascii="Calibri" w:hAnsi="Calibri" w:eastAsia="PingFang SC"/>
        </w:rPr>
        <w:t>已定义面向 egocentric procedural knowledge 的 Pydantic schema，覆盖 Scene、Action、Tool、SceneObject、Procedure 与 ProcessParameter 等实体。</w:t>
      </w:r>
    </w:p>
    <w:p>
      <w:pPr>
        <w:pStyle w:val="ListBullet"/>
      </w:pPr>
      <w:r>
        <w:rPr>
          <w:rFonts w:ascii="Calibri" w:hAnsi="Calibri" w:eastAsia="PingFang SC"/>
        </w:rPr>
        <w:t>已定义工具使用、作用对象、动作顺序、因果、流程归属和场景溯源关系，并可保留 provenance 与 confidence。</w:t>
      </w:r>
    </w:p>
    <w:p>
      <w:pPr>
        <w:pStyle w:val="ListBullet"/>
      </w:pPr>
      <w:r>
        <w:rPr>
          <w:rFonts w:ascii="Calibri" w:hAnsi="Calibri" w:eastAsia="PingFang SC"/>
        </w:rPr>
        <w:t>已实现轻量 property graph 构建、节点合并、基础查询及 Cypher export，用于验证输出图结构。</w:t>
      </w:r>
    </w:p>
    <w:p>
      <w:pPr>
        <w:pStyle w:val="ListBullet"/>
      </w:pPr>
      <w:r>
        <w:rPr>
          <w:rFonts w:ascii="Calibri" w:hAnsi="Calibri" w:eastAsia="PingFang SC"/>
        </w:rPr>
        <w:t>已实现 entity、attribute 与 relation 层面的 Precision/Recall/F1 计算，以及 ontology/grounding-based hallucination validation 原型。</w:t>
      </w:r>
    </w:p>
    <w:p>
      <w:pPr>
        <w:pStyle w:val="ListBullet"/>
      </w:pPr>
      <w:r>
        <w:rPr>
          <w:rFonts w:ascii="Calibri" w:hAnsi="Calibri" w:eastAsia="PingFang SC"/>
        </w:rPr>
        <w:t>当前 evaluation 与 egocentric workflow smoke tests 共 19 项通过，支持将上述组件组合为 early demo。</w:t>
      </w:r>
    </w:p>
    <w:p>
      <w:r>
        <w:rPr>
          <w:rFonts w:ascii="Calibri" w:hAnsi="Calibri" w:eastAsia="PingFang SC"/>
        </w:rPr>
        <w:t>因此，KG evaluation 部分在本文中作为主研究问题的测量框架，用于判断统一文本结构是否真正提升小模型输出的稳定性和可靠性。</w:t>
      </w:r>
    </w:p>
    <w:p>
      <w:pPr>
        <w:pStyle w:val="Heading1"/>
      </w:pPr>
      <w:r>
        <w:t>5. Work Plan and Time Schedule</w:t>
      </w:r>
    </w:p>
    <w:p>
      <w:r>
        <w:rPr>
          <w:rFonts w:ascii="Calibri" w:hAnsi="Calibri" w:eastAsia="PingFang SC"/>
        </w:rPr>
        <w:t>后续工作首先固定统一文本结构和 gold annotations，随后运行 raw 与 unified 两类输入的模型抽取，最后用 KG 评价指标和稳定性指标进行比较。下表对应当前项目的阶段性安排；具体截止日期可在组内进度表中继续更新。</w:t>
      </w:r>
    </w:p>
    <w:p>
      <w:pPr>
        <w:keepNext/>
        <w:spacing w:before="120" w:after="80"/>
      </w:pPr>
      <w:r>
        <w:rPr>
          <w:rFonts w:ascii="Calibri" w:hAnsi="Calibri" w:eastAsia="PingFang SC"/>
          <w:b/>
          <w:color w:val="626D78"/>
          <w:sz w:val="19"/>
        </w:rPr>
        <w:t>表 4  项目阶段、工作内容与交付物</w:t>
      </w:r>
    </w:p>
    <w:tbl>
      <w:tblPr>
        <w:tblStyle w:val="TableGrid"/>
        <w:tblW w:type="dxa" w:w="9360"/>
        <w:jc w:val="left"/>
        <w:tblLayout w:type="fixed"/>
        <w:tblLook w:firstColumn="1" w:firstRow="1" w:lastColumn="0" w:lastRow="0" w:noHBand="0" w:noVBand="1" w:val="04A0"/>
        <w:tblInd w:type="dxa" w:w="120"/>
      </w:tblPr>
      <w:tblGrid>
        <w:gridCol w:w="2376"/>
        <w:gridCol w:w="4968"/>
        <w:gridCol w:w="2016"/>
      </w:tblGrid>
      <w:tr>
        <w:trPr>
          <w:tblHeader/>
        </w:trPr>
        <w:tc>
          <w:tcPr>
            <w:tcW w:type="dxa" w:w="237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阶段</w:t>
            </w:r>
          </w:p>
        </w:tc>
        <w:tc>
          <w:tcPr>
            <w:tcW w:type="dxa" w:w="4968"/>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工作内容</w:t>
            </w:r>
          </w:p>
        </w:tc>
        <w:tc>
          <w:tcPr>
            <w:tcW w:type="dxa" w:w="2016"/>
            <w:shd w:fill="F4F6F9"/>
            <w:vAlign w:val="center"/>
            <w:tcMar>
              <w:top w:w="80" w:type="dxa"/>
              <w:bottom w:w="80" w:type="dxa"/>
              <w:start w:w="120" w:type="dxa"/>
              <w:end w:w="120" w:type="dxa"/>
            </w:tcMar>
          </w:tcPr>
          <w:p>
            <w:pPr>
              <w:spacing w:after="0" w:line="269" w:lineRule="auto"/>
              <w:jc w:val="left"/>
            </w:pPr>
            <w:r/>
            <w:r>
              <w:rPr>
                <w:rFonts w:ascii="Calibri" w:hAnsi="Calibri" w:eastAsia="PingFang SC"/>
                <w:b/>
                <w:color w:val="1F4D78"/>
                <w:sz w:val="19"/>
              </w:rPr>
              <w:t>交付物</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Planning and Exposé</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固定主研究问题、文本结构模板、评价指标与实验范围。</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Exposé 初稿；架构与指标表。</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Midterm Presentation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展示问题动机、pipeline、统一文本结构概念与现有 early demo。</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Slides；单场景图谱演示。</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Implementation and Documentation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建立 raw/unified 输入对；标注 gold graph；运行重复抽取及指标比较。</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Benchmark；结果表；error analysis。</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Final Presentation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汇报统一结构对稳定性和 KG 质量的影响、局限与未来工作。</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Final slides；实验图表。</w:t>
            </w:r>
          </w:p>
        </w:tc>
      </w:tr>
      <w:tr>
        <w:trPr/>
        <w:tc>
          <w:tcPr>
            <w:tcW w:type="dxa" w:w="237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Demonstration</w:t>
            </w:r>
          </w:p>
        </w:tc>
        <w:tc>
          <w:tcPr>
            <w:tcW w:type="dxa" w:w="4968"/>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现场运行输入预处理、结构化抽取、图查询与评价流程。</w:t>
            </w:r>
          </w:p>
        </w:tc>
        <w:tc>
          <w:tcPr>
            <w:tcW w:type="dxa" w:w="2016"/>
            <w:vAlign w:val="center"/>
            <w:tcMar>
              <w:top w:w="80" w:type="dxa"/>
              <w:bottom w:w="80" w:type="dxa"/>
              <w:start w:w="120" w:type="dxa"/>
              <w:end w:w="120" w:type="dxa"/>
            </w:tcMar>
          </w:tcPr>
          <w:p>
            <w:pPr>
              <w:spacing w:after="0" w:line="276" w:lineRule="auto"/>
              <w:jc w:val="left"/>
            </w:pPr>
            <w:r/>
            <w:r>
              <w:rPr>
                <w:rFonts w:ascii="Calibri" w:hAnsi="Calibri" w:eastAsia="PingFang SC"/>
                <w:color w:val="222B35"/>
                <w:sz w:val="18"/>
              </w:rPr>
              <w:t>可复现 demo。</w:t>
            </w:r>
          </w:p>
        </w:tc>
      </w:tr>
    </w:tbl>
    <w:p>
      <w:pPr>
        <w:spacing w:after="20"/>
      </w:pPr>
    </w:p>
    <w:p>
      <w:pPr>
        <w:pStyle w:val="Heading1"/>
      </w:pPr>
      <w:r>
        <w:t>6. Expected Contribution and Limitations</w:t>
      </w:r>
    </w:p>
    <w:p>
      <w:r>
        <w:rPr>
          <w:rFonts w:ascii="Calibri" w:hAnsi="Calibri" w:eastAsia="PingFang SC"/>
        </w:rPr>
        <w:t>本项目预期贡献是提出并验证一种面向第一人称专家视频描述的统一文本结构，分析它是否能够降低小型 LLM 生成程序性知识图谱时的输出波动，并以 correctness、completeness、hallucination 和 ontology conformance 等核心指标解释稳定性变化；query utility 与属性级评价将在时间允许时作为扩展分析。这种设计使输入预处理和 KG 评价形成一条完整研究链路，而不是将工作偏移为通用语言润色任务。</w:t>
      </w:r>
    </w:p>
    <w:p>
      <w:r>
        <w:rPr>
          <w:rFonts w:ascii="Calibri" w:hAnsi="Calibri" w:eastAsia="PingFang SC"/>
        </w:rPr>
        <w:t>MVP 仍存在边界：输入为视频衍生文本而非原始视频帧；初期场景数量有限；领域适配或 fine-tuning 仅在后续具备条件时作为实验扩展；当前图层为内存 property graph，而非最终数据库部署。上述限制将在最终报告的结果分析中明确讨论。</w:t>
      </w:r>
    </w:p>
    <w:p>
      <w:pPr>
        <w:pStyle w:val="Heading1"/>
      </w:pPr>
      <w:r>
        <w:t>References</w:t>
      </w:r>
    </w:p>
    <w:p>
      <w:pPr>
        <w:jc w:val="left"/>
      </w:pPr>
      <w:r>
        <w:rPr>
          <w:rFonts w:ascii="Calibri" w:hAnsi="Calibri" w:eastAsia="PingFang SC"/>
        </w:rPr>
        <w:t>[1] Mihindukulasooriya, N., Tiwari, S., Enguix, C. F., &amp; Lata, K. (2023). Text2KGBench: A Benchmark for Ontology-Driven Knowledge Graph Generation from Text. arXiv:2308.02357. https://arxiv.org/abs/2308.02357</w:t>
      </w:r>
    </w:p>
    <w:p>
      <w:pPr>
        <w:jc w:val="left"/>
      </w:pPr>
      <w:r>
        <w:rPr>
          <w:rFonts w:ascii="Calibri" w:hAnsi="Calibri" w:eastAsia="PingFang SC"/>
        </w:rPr>
        <w:t>[2] van Cauter, Z., &amp; Yakovets, N. (2024). Ontology-guided Knowledge Graph Construction from Maintenance Short Texts. Proceedings of the 1st Workshop on Knowledge Graphs and Large Language Models (KaLLM 2024), 75-84. https://aclanthology.org/2024.kallm-1.8/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PingFang SC"/>
        <w:color w:val="626D78"/>
        <w:sz w:val="18"/>
      </w:rPr>
      <w:t>TU Berlin - Institut fuer Industrielle Automatisierungstechnik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PingFang SC"/>
        <w:color w:val="626D78"/>
        <w:sz w:val="18"/>
      </w:rPr>
      <w:t>AUT KG Extraction Pipeline  |  Expose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PingFang SC"/>
      <w:color w:val="222B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PingFang SC"/>
      <w:color w:val="222B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PingFang SC"/>
      <w:color w:val="222B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统一文本结构预处理对小型语言模型生成知识图谱稳定性的影响</dc:title>
  <dc:subject>AUT KG Extraction Pipeline - Expose draft</dc:subject>
  <dc:creator>AUT KG Extraction Pipeline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