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0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  问题三全年模拟结果统计</w:t>
      </w:r>
    </w:p>
    <w:tbl>
      <w:tblPr>
        <w:tblW w:type="pct" w:w="92%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6%"/>
            <w:tcBorders>
              <w:bottom w:val="single" w:color="000000" w:sz="6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统计项目</w:t>
            </w:r>
          </w:p>
        </w:tc>
        <w:tc>
          <w:tcPr>
            <w:tcW w:type="pct" w:w="34%"/>
            <w:tcBorders>
              <w:bottom w:val="single" w:color="000000" w:sz="6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数值</w:t>
            </w:r>
          </w:p>
        </w:tc>
        <w:tc>
          <w:tcPr>
            <w:tcW w:type="pct" w:w="20%"/>
            <w:tcBorders>
              <w:bottom w:val="single" w:color="000000" w:sz="6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统计天数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334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天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启用调整购电策略天数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59（占 17.7%）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天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计划购电量总计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21 128 898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kWh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实际需求总量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17 939 189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kWh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计划与需求差额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3 189 709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kWh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紧急购电量总计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138 949（占 0.77%）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kWh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计划购电费用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12 947 876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调整购电费用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699 402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全年总费用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14 477 588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光伏预报平均偏差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2.11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负载预报平均偏差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174.81</w:t>
            </w:r>
          </w:p>
        </w:tc>
        <w:tc>
          <w:tcPr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kW</w:t>
            </w:r>
          </w:p>
        </w:tc>
      </w:tr>
    </w:tbl>
    <w:p>
      <w:pPr>
        <w:spacing w:before="140" w:line="312"/>
        <w:ind w:firstLine="0"/>
        <w:jc w:val="both"/>
      </w:pPr>
      <w:r>
        <w:rPr>
          <w:rFonts w:ascii="Times New Roman" w:eastAsia="SimSun"/>
          <w:sz w:val="18"/>
          <w:szCs w:val="18"/>
        </w:rPr>
        <w:t xml:space="preserve">注：统计范围为 2 月 1 日至 12 月 31 日共 334 个预测日；“启用调整购电策略”表示当日 6:00/12:00/18:00 的调整方案费用低于不调整方案，当日按调整后的购电策略执行。</w:t>
      </w:r>
    </w:p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2026-09-12T11:16:25.092Z</dcterms:created>
  <dcterms:modified xsi:type="dcterms:W3CDTF">2026-09-12T11:16:25.102Z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