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电价模式与滚动调整机制对比分析</w:t>
      </w:r>
    </w:p>
    <w:p>
      <w:pPr>
        <w:pStyle w:val="2"/>
        <w:spacing w:before="320" w:after="120" w:line="288" w:lineRule="auto"/>
        <w:ind w:left="0"/>
        <w:jc w:val="left"/>
        <w:outlineLvl w:val="1"/>
      </w:pPr>
      <w:bookmarkStart w:name="heading_0" w:id="0"/>
      <w:r>
        <w:rPr>
          <w:rFonts w:eastAsia="等线" w:ascii="Arial" w:cs="Arial" w:hAnsi="Arial"/>
          <w:b w:val="true"/>
          <w:sz w:val="32"/>
        </w:rPr>
        <w:t>一、横向对比：实时电价与固定电价的性能差异</w:t>
      </w:r>
      <w:bookmarkEnd w:id="0"/>
    </w:p>
    <w:p>
      <w:pPr>
        <w:spacing w:before="120" w:after="120" w:line="288" w:lineRule="auto"/>
        <w:ind w:left="0"/>
        <w:jc w:val="left"/>
      </w:pPr>
      <w:r>
        <w:rPr>
          <w:rFonts w:eastAsia="等线" w:ascii="Arial" w:cs="Arial" w:hAnsi="Arial"/>
          <w:sz w:val="22"/>
        </w:rPr>
        <w:t>为探究实时波动电价对微网购电策略的影响，本节对固定电价模型与实时电价模型的全年运行成本进行横向对比。整体数据显示，实时电价场景下系统总购电费用略高于固定电价场景。其中，无滚动调整策略下，问题4-2总费用为1559.31万元，较问题2的1493.35万元增加65.96万元；引入滚动调整策略后，问题4-3总费用为1512.22万元，较问题3的1447.76万元增加64.46万元。</w:t>
      </w:r>
    </w:p>
    <w:p>
      <w:pPr>
        <w:spacing w:before="120" w:after="120" w:line="288" w:lineRule="auto"/>
        <w:ind w:left="0"/>
        <w:jc w:val="left"/>
      </w:pPr>
      <w:r>
        <w:rPr>
          <w:rFonts w:eastAsia="等线" w:ascii="Arial" w:cs="Arial" w:hAnsi="Arial"/>
          <w:sz w:val="22"/>
        </w:rPr>
        <w:t>该费用上升并非模型策略失效，而是由电价基准差异导致。统计全年电价数据可知，附件4实时电价的全年平均电价高于附件1固定电价基准。在电价整体抬升的外部条件下，系统购电总成本自然出现正向增长，属于合理的外部环境差异。</w:t>
      </w:r>
    </w:p>
    <w:p>
      <w:pPr>
        <w:spacing w:before="120" w:after="120" w:line="288" w:lineRule="auto"/>
        <w:ind w:left="0"/>
        <w:jc w:val="left"/>
      </w:pPr>
      <w:r>
        <w:rPr>
          <w:rFonts w:eastAsia="等线" w:ascii="Arial" w:cs="Arial" w:hAnsi="Arial"/>
          <w:sz w:val="22"/>
        </w:rPr>
        <w:t>进一步通过单位购电成本进行策略有效性核验：固定电价下问题2单位购电成本为0.8324元/kWh，实时电价下问题4-2单位购电成本为0.8692元/kWh，单位成本仅上升0.0368元/kWh。相较于全年平均电价的上涨幅度，实时电价场景下的单位购电成本增幅更小。由此说明，本文所构建的实时电价优化策略能够依托电价峰谷波动开展储能套利、优化购电时序，有效对冲了电价抬升带来的成本压力，具备显著的经济优化效果。</w:t>
      </w:r>
    </w:p>
    <w:p>
      <w:pPr>
        <w:pStyle w:val="2"/>
        <w:spacing w:before="320" w:after="120" w:line="288" w:lineRule="auto"/>
        <w:ind w:left="0"/>
        <w:jc w:val="left"/>
        <w:outlineLvl w:val="1"/>
      </w:pPr>
      <w:bookmarkStart w:name="heading_1" w:id="1"/>
      <w:r>
        <w:rPr>
          <w:rFonts w:eastAsia="等线" w:ascii="Arial" w:cs="Arial" w:hAnsi="Arial"/>
          <w:b w:val="true"/>
          <w:sz w:val="32"/>
        </w:rPr>
        <w:t>二、纵向对比：多阶段滚动调整机制的价值分析</w:t>
      </w:r>
      <w:bookmarkEnd w:id="1"/>
    </w:p>
    <w:p>
      <w:pPr>
        <w:spacing w:before="120" w:after="120" w:line="288" w:lineRule="auto"/>
        <w:ind w:left="0"/>
        <w:jc w:val="left"/>
      </w:pPr>
      <w:r>
        <w:rPr>
          <w:rFonts w:eastAsia="等线" w:ascii="Arial" w:cs="Arial" w:hAnsi="Arial"/>
          <w:sz w:val="22"/>
        </w:rPr>
        <w:t>为量化滚动调整策略的经济效益，分别在固定电价、实时电价两种场景下对比有无滚动调整模型的运行成本差异。</w:t>
      </w:r>
    </w:p>
    <w:p>
      <w:pPr>
        <w:spacing w:before="120" w:after="120" w:line="288" w:lineRule="auto"/>
        <w:ind w:left="0"/>
        <w:jc w:val="left"/>
      </w:pPr>
      <w:r>
        <w:rPr>
          <w:rFonts w:eastAsia="等线" w:ascii="Arial" w:cs="Arial" w:hAnsi="Arial"/>
          <w:sz w:val="22"/>
        </w:rPr>
        <w:t>固定电价场景下，引入滚动调整策略后，模型总费用由问题2的1493.35万元降至问题3的1447.76万元，全年节省费用45.59万元，单位购电成本由0.8324元/kWh降至0.8070元/kWh，降幅0.0254元/kWh。</w:t>
      </w:r>
    </w:p>
    <w:p>
      <w:pPr>
        <w:spacing w:before="120" w:after="120" w:line="288" w:lineRule="auto"/>
        <w:ind w:left="0"/>
        <w:jc w:val="left"/>
      </w:pPr>
      <w:r>
        <w:rPr>
          <w:rFonts w:eastAsia="等线" w:ascii="Arial" w:cs="Arial" w:hAnsi="Arial"/>
          <w:sz w:val="22"/>
        </w:rPr>
        <w:t>实时电价场景下，滚动调整的优化效果更为突出：模型总费用由问题4-2的1559.31万元降至问题4-3的1512.22万元，全年节省费用47.09万元，单位购电成本由0.8692元/kWh降至0.8429元/kWh，降幅0.0263元/kWh。</w:t>
      </w:r>
    </w:p>
    <w:p>
      <w:pPr>
        <w:spacing w:before="120" w:after="120" w:line="288" w:lineRule="auto"/>
        <w:ind w:left="0"/>
        <w:jc w:val="left"/>
      </w:pPr>
      <w:r>
        <w:rPr>
          <w:rFonts w:eastAsia="等线" w:ascii="Arial" w:cs="Arial" w:hAnsi="Arial"/>
          <w:sz w:val="22"/>
        </w:rPr>
        <w:t>对比结果表明，实时电价环境下，滚动调整策略带来的费用节省额度与单位成本降幅均优于固定电价场景。究其原因，实时电价存在显著的日内峰谷波动，多时段滚动调整不仅能够实时修正光伏预报偏差、抵消预测不确定性带来的运行风险，还可以依托动态电价信号完成精细化的储能低买高卖套利，进一步挖掘电价波动的经济收益，滚动调整机制的应用价值在实时电价场景下被进一步放大。</w:t>
      </w:r>
    </w:p>
    <w:p>
      <w:pPr>
        <w:pStyle w:val="2"/>
        <w:spacing w:before="320" w:after="120" w:line="288" w:lineRule="auto"/>
        <w:ind w:left="0"/>
        <w:jc w:val="left"/>
        <w:outlineLvl w:val="1"/>
      </w:pPr>
      <w:bookmarkStart w:name="heading_2" w:id="2"/>
      <w:r>
        <w:rPr>
          <w:rFonts w:eastAsia="等线" w:ascii="Arial" w:cs="Arial" w:hAnsi="Arial"/>
          <w:b w:val="true"/>
          <w:sz w:val="32"/>
        </w:rPr>
        <w:t>三、模型费用结构拆解与机理分析</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3.1 计划购电费变化规律</w:t>
      </w:r>
      <w:bookmarkEnd w:id="3"/>
    </w:p>
    <w:p>
      <w:pPr>
        <w:spacing w:before="120" w:after="120" w:line="288" w:lineRule="auto"/>
        <w:ind w:left="0"/>
        <w:jc w:val="left"/>
      </w:pPr>
      <w:r>
        <w:rPr>
          <w:rFonts w:eastAsia="等线" w:ascii="Arial" w:cs="Arial" w:hAnsi="Arial"/>
          <w:sz w:val="22"/>
        </w:rPr>
        <w:t>固定电价场景中，问题2计划购电费为1463.52万元，引入滚动调整后的问题3计划购电费降至1294.79万元，成本降低168.73万元；实时电价场景中，问题4-2计划购电费为1523.10万元，问题4-3计划购电费降至1350.01万元，成本降低173.09万元。</w:t>
      </w:r>
    </w:p>
    <w:p>
      <w:pPr>
        <w:spacing w:before="120" w:after="120" w:line="288" w:lineRule="auto"/>
        <w:ind w:left="0"/>
        <w:jc w:val="left"/>
      </w:pPr>
      <w:r>
        <w:rPr>
          <w:rFonts w:eastAsia="等线" w:ascii="Arial" w:cs="Arial" w:hAnsi="Arial"/>
          <w:sz w:val="22"/>
        </w:rPr>
        <w:t>可以看出，无论固定电价还是实时电价，滚动调整策略均会大幅压低日前计划购电费用。核心机理为：多阶段滚动调整为系统预留了日内修正空间，因此日前计划无需过度保守，可采用更激进的购电策略、适度压低日前计划购电量，从源头削减基础购电成本，这也是滚动优化实现降本的核心原因。</w:t>
      </w:r>
    </w:p>
    <w:p>
      <w:pPr>
        <w:pStyle w:val="3"/>
        <w:spacing w:before="300" w:after="120" w:line="288" w:lineRule="auto"/>
        <w:ind w:left="0"/>
        <w:jc w:val="left"/>
        <w:outlineLvl w:val="2"/>
      </w:pPr>
      <w:bookmarkStart w:name="heading_4" w:id="4"/>
      <w:r>
        <w:rPr>
          <w:rFonts w:eastAsia="等线" w:ascii="Arial" w:cs="Arial" w:hAnsi="Arial"/>
          <w:b w:val="true"/>
          <w:sz w:val="30"/>
        </w:rPr>
        <w:t>3.2 调整费用变化规律</w:t>
      </w:r>
      <w:bookmarkEnd w:id="4"/>
    </w:p>
    <w:p>
      <w:pPr>
        <w:spacing w:before="120" w:after="120" w:line="288" w:lineRule="auto"/>
        <w:ind w:left="0"/>
        <w:jc w:val="left"/>
      </w:pPr>
      <w:r>
        <w:rPr>
          <w:rFonts w:eastAsia="等线" w:ascii="Arial" w:cs="Arial" w:hAnsi="Arial"/>
          <w:sz w:val="22"/>
        </w:rPr>
        <w:t>成本结构数据显示，固定电价下问题3全年调整费用为69.94万元，实时电价下问题4-3调整费用为74.34万元，实时电价场景调整费用小幅增加4.4万元。</w:t>
      </w:r>
    </w:p>
    <w:p>
      <w:pPr>
        <w:spacing w:before="120" w:after="120" w:line="288" w:lineRule="auto"/>
        <w:ind w:left="0"/>
        <w:jc w:val="left"/>
      </w:pPr>
      <w:r>
        <w:rPr>
          <w:rFonts w:eastAsia="等线" w:ascii="Arial" w:cs="Arial" w:hAnsi="Arial"/>
          <w:sz w:val="22"/>
        </w:rPr>
        <w:t>该现象符合运行逻辑：实时电价存在动态波动，叠加光伏出力实时偏差，系统日内功率供需调节空间更大、调整频次与调整体量更高，因此产生了少量额外调整成本，但该部分成本增量远小于计划购电费的节省额度，不影响整体降本效果。</w:t>
      </w:r>
    </w:p>
    <w:p>
      <w:pPr>
        <w:pStyle w:val="3"/>
        <w:spacing w:before="300" w:after="120" w:line="288" w:lineRule="auto"/>
        <w:ind w:left="0"/>
        <w:jc w:val="left"/>
        <w:outlineLvl w:val="2"/>
      </w:pPr>
      <w:bookmarkStart w:name="heading_5" w:id="5"/>
      <w:r>
        <w:rPr>
          <w:rFonts w:eastAsia="等线" w:ascii="Arial" w:cs="Arial" w:hAnsi="Arial"/>
          <w:b w:val="true"/>
          <w:sz w:val="30"/>
        </w:rPr>
        <w:t>3.3 紧急购电费变化规律</w:t>
      </w:r>
      <w:bookmarkEnd w:id="5"/>
    </w:p>
    <w:p>
      <w:pPr>
        <w:spacing w:before="120" w:after="120" w:line="288" w:lineRule="auto"/>
        <w:ind w:left="0"/>
        <w:jc w:val="left"/>
      </w:pPr>
      <w:r>
        <w:rPr>
          <w:rFonts w:eastAsia="等线" w:ascii="Arial" w:cs="Arial" w:hAnsi="Arial"/>
          <w:sz w:val="22"/>
        </w:rPr>
        <w:t>固定电价场景下，问题2紧急购电费为29.84万元，问题3紧急购电费升至83.03万元，增幅53.19万元；实时电价场景下，问题4-2紧急购电费为36.21万元，问题4-3紧急购电费升至87.87万元，增幅51.66万元。</w:t>
      </w:r>
    </w:p>
    <w:p>
      <w:pPr>
        <w:spacing w:before="120" w:after="120" w:line="288" w:lineRule="auto"/>
        <w:ind w:left="0"/>
        <w:jc w:val="left"/>
      </w:pPr>
      <w:r>
        <w:rPr>
          <w:rFonts w:eastAsia="等线" w:ascii="Arial" w:cs="Arial" w:hAnsi="Arial"/>
          <w:sz w:val="22"/>
        </w:rPr>
        <w:t>滚动调整策略会导致紧急购电成本小幅上升，其本质是策略的经济性取舍：日前计划主动减少购电量，会小幅提升日内功率缺口与紧急购电概率，造成紧急费用增加。但从整体效益来看，紧急购电费约50万元的增量，远低于计划购电费约170万元的降幅，最终实现全年总费用的显著下降。</w:t>
      </w:r>
    </w:p>
    <w:p>
      <w:pPr>
        <w:spacing w:before="120" w:after="120" w:line="288" w:lineRule="auto"/>
        <w:ind w:left="0"/>
        <w:jc w:val="left"/>
      </w:pPr>
      <w:r>
        <w:rPr>
          <w:rFonts w:eastAsia="等线" w:ascii="Arial" w:cs="Arial" w:hAnsi="Arial"/>
          <w:sz w:val="22"/>
        </w:rPr>
        <w:t>综上，本文所提多阶段滚动调整策略具备极强的经济理性，通过可控、小幅增加极端场景下的紧急购电风险，换取了大规模的日前购电成本压降，在风险可控的前提下实现了微网全年购电效益最优。</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2026-09-12T13:24:14Z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{"Label":"1","ContentProducer":"001191110102MACQD9K64010000","ProduceID":"7684638986958458037","ReservedCode1":"","ContentPropagator":"","PropagateID":"","ReservedCode2":""}</vt:lpwstr>
  </property>
</Properties>
</file>