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1D2A29" w14:textId="77777777" w:rsidR="001043A3" w:rsidRDefault="00000000">
      <w:pPr>
        <w:spacing w:before="480" w:after="480" w:line="288" w:lineRule="auto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>敏感性分析：安全分位数对费用结构的影响</w:t>
      </w:r>
    </w:p>
    <w:p w14:paraId="6CE72169" w14:textId="77777777" w:rsidR="001043A3" w:rsidRDefault="00000000">
      <w:pPr>
        <w:spacing w:before="380" w:after="140" w:line="288" w:lineRule="auto"/>
        <w:outlineLvl w:val="0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36"/>
        </w:rPr>
        <w:t xml:space="preserve">4.1 </w:t>
      </w:r>
      <w:r>
        <w:rPr>
          <w:rFonts w:ascii="Arial" w:eastAsia="等线" w:hAnsi="Arial" w:cs="Arial"/>
          <w:b/>
          <w:sz w:val="36"/>
        </w:rPr>
        <w:t>敏感性分析的目的</w:t>
      </w:r>
      <w:bookmarkEnd w:id="0"/>
    </w:p>
    <w:p w14:paraId="79F9B406" w14:textId="77777777" w:rsidR="001043A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问题三的鲁棒化策略中，安全分位数</w:t>
      </w:r>
      <w:r>
        <w:rPr>
          <w:rFonts w:ascii="Arial" w:eastAsia="等线" w:hAnsi="Arial" w:cs="Arial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SAFE</m:t>
            </m:r>
          </m:sub>
        </m:sSub>
      </m:oMath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是一个关键参数，直接影响安全余量的大小，进而影响计划购电费、调整费和紧急购电费。为确定最优</w:t>
      </w:r>
      <w:r>
        <w:rPr>
          <w:rFonts w:ascii="Arial" w:eastAsia="等线" w:hAnsi="Arial" w:cs="Arial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SAFE</m:t>
            </m:r>
          </m:sub>
        </m:sSub>
      </m:oMath>
      <w:r>
        <w:rPr>
          <w:rFonts w:ascii="Arial" w:eastAsia="等线" w:hAnsi="Arial" w:cs="Arial"/>
        </w:rPr>
        <w:t>，本文对</w:t>
      </w:r>
      <w:r>
        <w:rPr>
          <w:rFonts w:ascii="Arial" w:eastAsia="等线" w:hAnsi="Arial" w:cs="Arial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SAFE</m:t>
            </m:r>
          </m:sub>
        </m:sSub>
        <m:r>
          <w:rPr>
            <w:rFonts w:ascii="Cambria Math" w:hAnsi="Cambria Math"/>
          </w:rPr>
          <m:t>∈0.70,0.80,0.90,0.95,0.99</m:t>
        </m:r>
      </m:oMath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开展敏感性分析。</w:t>
      </w:r>
    </w:p>
    <w:p w14:paraId="7B7C462F" w14:textId="77777777" w:rsidR="001043A3" w:rsidRDefault="00000000">
      <w:pPr>
        <w:spacing w:before="380" w:after="140" w:line="288" w:lineRule="auto"/>
        <w:outlineLvl w:val="0"/>
        <w:rPr>
          <w:rFonts w:hint="eastAsia"/>
        </w:rPr>
      </w:pPr>
      <w:bookmarkStart w:id="1" w:name="heading_1"/>
      <w:r>
        <w:rPr>
          <w:rFonts w:ascii="Arial" w:eastAsia="等线" w:hAnsi="Arial" w:cs="Arial"/>
          <w:b/>
          <w:sz w:val="36"/>
        </w:rPr>
        <w:t xml:space="preserve">4.2 </w:t>
      </w:r>
      <w:r>
        <w:rPr>
          <w:rFonts w:ascii="Arial" w:eastAsia="等线" w:hAnsi="Arial" w:cs="Arial"/>
          <w:b/>
          <w:sz w:val="36"/>
        </w:rPr>
        <w:t>结果表格</w:t>
      </w:r>
      <w:bookmarkEnd w:id="1"/>
    </w:p>
    <w:p w14:paraId="699D6A97" w14:textId="77777777" w:rsidR="001043A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表</w:t>
      </w:r>
      <w:r>
        <w:rPr>
          <w:rFonts w:ascii="Arial" w:eastAsia="等线" w:hAnsi="Arial" w:cs="Arial"/>
          <w:b/>
        </w:rPr>
        <w:t xml:space="preserve"> X </w:t>
      </w:r>
      <w:r>
        <w:rPr>
          <w:rFonts w:ascii="Arial" w:eastAsia="等线" w:hAnsi="Arial" w:cs="Arial"/>
          <w:b/>
        </w:rPr>
        <w:t>不同安全分位数下的费用结构对比</w:t>
      </w:r>
    </w:p>
    <w:tbl>
      <w:tblPr>
        <w:tblW w:w="0" w:type="auto"/>
        <w:tblBorders>
          <w:top w:val="single" w:sz="12" w:space="0" w:color="auto"/>
          <w:bottom w:val="single" w:sz="12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80"/>
        <w:gridCol w:w="1380"/>
        <w:gridCol w:w="1380"/>
        <w:gridCol w:w="1380"/>
        <w:gridCol w:w="1380"/>
        <w:gridCol w:w="1380"/>
      </w:tblGrid>
      <w:tr w:rsidR="001043A3" w14:paraId="2528B4A9" w14:textId="77777777" w:rsidTr="004E1D24">
        <w:tblPrEx>
          <w:tblCellMar>
            <w:top w:w="0" w:type="dxa"/>
            <w:bottom w:w="0" w:type="dxa"/>
          </w:tblCellMar>
        </w:tblPrEx>
        <w:tc>
          <w:tcPr>
            <w:tcW w:w="1380" w:type="dxa"/>
            <w:tcBorders>
              <w:bottom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bookmarkStart w:id="2" w:name="_Hlk240186221"/>
          <w:p w14:paraId="570F03E3" w14:textId="77777777" w:rsidR="001043A3" w:rsidRDefault="00000000">
            <w:pPr>
              <w:spacing w:before="120" w:after="120" w:line="288" w:lineRule="auto"/>
              <w:rPr>
                <w:rFonts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SAFE</m:t>
                    </m:r>
                  </m:sub>
                </m:sSub>
              </m:oMath>
            </m:oMathPara>
          </w:p>
        </w:tc>
        <w:tc>
          <w:tcPr>
            <w:tcW w:w="1380" w:type="dxa"/>
            <w:tcBorders>
              <w:bottom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14FDEB" w14:textId="77777777" w:rsidR="001043A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计划费（万元）</w:t>
            </w:r>
          </w:p>
        </w:tc>
        <w:tc>
          <w:tcPr>
            <w:tcW w:w="1380" w:type="dxa"/>
            <w:tcBorders>
              <w:bottom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5E1423" w14:textId="77777777" w:rsidR="001043A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调整费（万元）</w:t>
            </w:r>
          </w:p>
        </w:tc>
        <w:tc>
          <w:tcPr>
            <w:tcW w:w="1380" w:type="dxa"/>
            <w:tcBorders>
              <w:bottom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374E9F" w14:textId="77777777" w:rsidR="001043A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紧急费（万元）</w:t>
            </w:r>
          </w:p>
        </w:tc>
        <w:tc>
          <w:tcPr>
            <w:tcW w:w="1380" w:type="dxa"/>
            <w:tcBorders>
              <w:bottom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CFDD50" w14:textId="77777777" w:rsidR="001043A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总费（万元）</w:t>
            </w:r>
          </w:p>
        </w:tc>
        <w:tc>
          <w:tcPr>
            <w:tcW w:w="1380" w:type="dxa"/>
            <w:tcBorders>
              <w:bottom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6A1EB3" w14:textId="77777777" w:rsidR="001043A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调整天数</w:t>
            </w:r>
          </w:p>
        </w:tc>
      </w:tr>
      <w:tr w:rsidR="001043A3" w14:paraId="1B5DE03F" w14:textId="77777777" w:rsidTr="004E1D24">
        <w:tblPrEx>
          <w:tblCellMar>
            <w:top w:w="0" w:type="dxa"/>
            <w:bottom w:w="0" w:type="dxa"/>
          </w:tblCellMar>
        </w:tblPrEx>
        <w:tc>
          <w:tcPr>
            <w:tcW w:w="1380" w:type="dxa"/>
            <w:tcBorders>
              <w:top w:val="single" w:sz="4" w:space="0" w:color="auto"/>
              <w:bottom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A78625" w14:textId="77777777" w:rsidR="001043A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0.70</w:t>
            </w:r>
          </w:p>
        </w:tc>
        <w:tc>
          <w:tcPr>
            <w:tcW w:w="1380" w:type="dxa"/>
            <w:tcBorders>
              <w:top w:val="single" w:sz="4" w:space="0" w:color="auto"/>
              <w:bottom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D20F9C" w14:textId="77777777" w:rsidR="001043A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1246.56</w:t>
            </w:r>
          </w:p>
        </w:tc>
        <w:tc>
          <w:tcPr>
            <w:tcW w:w="1380" w:type="dxa"/>
            <w:tcBorders>
              <w:top w:val="single" w:sz="4" w:space="0" w:color="auto"/>
              <w:bottom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ADA92A" w14:textId="77777777" w:rsidR="001043A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106.09</w:t>
            </w:r>
          </w:p>
        </w:tc>
        <w:tc>
          <w:tcPr>
            <w:tcW w:w="1380" w:type="dxa"/>
            <w:tcBorders>
              <w:top w:val="single" w:sz="4" w:space="0" w:color="auto"/>
              <w:bottom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3F93C4" w14:textId="77777777" w:rsidR="001043A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111.32</w:t>
            </w:r>
          </w:p>
        </w:tc>
        <w:tc>
          <w:tcPr>
            <w:tcW w:w="1380" w:type="dxa"/>
            <w:tcBorders>
              <w:top w:val="single" w:sz="4" w:space="0" w:color="auto"/>
              <w:bottom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148212" w14:textId="77777777" w:rsidR="001043A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1458.97</w:t>
            </w:r>
          </w:p>
        </w:tc>
        <w:tc>
          <w:tcPr>
            <w:tcW w:w="1380" w:type="dxa"/>
            <w:tcBorders>
              <w:top w:val="single" w:sz="4" w:space="0" w:color="auto"/>
              <w:bottom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CECB66" w14:textId="77777777" w:rsidR="001043A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99</w:t>
            </w:r>
          </w:p>
        </w:tc>
      </w:tr>
      <w:tr w:rsidR="001043A3" w14:paraId="44215B40" w14:textId="77777777" w:rsidTr="004E1D24">
        <w:tblPrEx>
          <w:tblCellMar>
            <w:top w:w="0" w:type="dxa"/>
            <w:bottom w:w="0" w:type="dxa"/>
          </w:tblCellMar>
        </w:tblPrEx>
        <w:tc>
          <w:tcPr>
            <w:tcW w:w="1380" w:type="dxa"/>
            <w:tcBorders>
              <w:top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70A2B5" w14:textId="77777777" w:rsidR="001043A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0.80</w:t>
            </w:r>
          </w:p>
        </w:tc>
        <w:tc>
          <w:tcPr>
            <w:tcW w:w="1380" w:type="dxa"/>
            <w:tcBorders>
              <w:top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1EE115" w14:textId="77777777" w:rsidR="001043A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1258.80</w:t>
            </w:r>
          </w:p>
        </w:tc>
        <w:tc>
          <w:tcPr>
            <w:tcW w:w="1380" w:type="dxa"/>
            <w:tcBorders>
              <w:top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ADA8B0" w14:textId="77777777" w:rsidR="001043A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99.56</w:t>
            </w:r>
          </w:p>
        </w:tc>
        <w:tc>
          <w:tcPr>
            <w:tcW w:w="1380" w:type="dxa"/>
            <w:tcBorders>
              <w:top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2D3B68" w14:textId="77777777" w:rsidR="001043A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94.74</w:t>
            </w:r>
          </w:p>
        </w:tc>
        <w:tc>
          <w:tcPr>
            <w:tcW w:w="1380" w:type="dxa"/>
            <w:tcBorders>
              <w:top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4CEBF6" w14:textId="77777777" w:rsidR="001043A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1453.10</w:t>
            </w:r>
          </w:p>
        </w:tc>
        <w:tc>
          <w:tcPr>
            <w:tcW w:w="1380" w:type="dxa"/>
            <w:tcBorders>
              <w:top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04F469" w14:textId="77777777" w:rsidR="001043A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91</w:t>
            </w:r>
          </w:p>
        </w:tc>
      </w:tr>
      <w:tr w:rsidR="001043A3" w14:paraId="2907E6B3" w14:textId="77777777" w:rsidTr="004E1D24">
        <w:tblPrEx>
          <w:tblCellMar>
            <w:top w:w="0" w:type="dxa"/>
            <w:bottom w:w="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B690CC" w14:textId="77777777" w:rsidR="001043A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0.90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DDC730" w14:textId="77777777" w:rsidR="001043A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1277.06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2F578C" w14:textId="77777777" w:rsidR="001043A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84.98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3E9143" w14:textId="77777777" w:rsidR="001043A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87.66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57BDD6" w14:textId="77777777" w:rsidR="001043A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1449.70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1A9661" w14:textId="77777777" w:rsidR="001043A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74</w:t>
            </w:r>
          </w:p>
        </w:tc>
      </w:tr>
      <w:tr w:rsidR="001043A3" w14:paraId="64EEC97B" w14:textId="77777777" w:rsidTr="004E1D24">
        <w:tblPrEx>
          <w:tblCellMar>
            <w:top w:w="0" w:type="dxa"/>
            <w:bottom w:w="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2A243D" w14:textId="77777777" w:rsidR="001043A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0.95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BD0F60" w14:textId="77777777" w:rsidR="001043A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1294.79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03C033" w14:textId="77777777" w:rsidR="001043A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69.94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F134C6" w14:textId="77777777" w:rsidR="001043A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83.03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827E5F" w14:textId="77777777" w:rsidR="001043A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1447.76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36F8AC" w14:textId="77777777" w:rsidR="001043A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59</w:t>
            </w:r>
          </w:p>
        </w:tc>
      </w:tr>
      <w:tr w:rsidR="001043A3" w14:paraId="65EF7879" w14:textId="77777777" w:rsidTr="004E1D24">
        <w:tblPrEx>
          <w:tblCellMar>
            <w:top w:w="0" w:type="dxa"/>
            <w:bottom w:w="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B45C36" w14:textId="77777777" w:rsidR="001043A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0.99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424602" w14:textId="77777777" w:rsidR="001043A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1337.38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846BA8" w14:textId="77777777" w:rsidR="001043A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53.17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22D6F5" w14:textId="77777777" w:rsidR="001043A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61.76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9D676C" w14:textId="77777777" w:rsidR="001043A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1452.31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955BCB" w14:textId="77777777" w:rsidR="001043A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44</w:t>
            </w:r>
          </w:p>
        </w:tc>
      </w:tr>
    </w:tbl>
    <w:p w14:paraId="2EEDB25E" w14:textId="77777777" w:rsidR="001043A3" w:rsidRDefault="00000000">
      <w:pPr>
        <w:spacing w:before="380" w:after="140" w:line="288" w:lineRule="auto"/>
        <w:outlineLvl w:val="0"/>
        <w:rPr>
          <w:rFonts w:hint="eastAsia"/>
        </w:rPr>
      </w:pPr>
      <w:bookmarkStart w:id="3" w:name="heading_2"/>
      <w:bookmarkEnd w:id="2"/>
      <w:r>
        <w:rPr>
          <w:rFonts w:ascii="Arial" w:eastAsia="等线" w:hAnsi="Arial" w:cs="Arial"/>
          <w:b/>
          <w:sz w:val="36"/>
        </w:rPr>
        <w:t xml:space="preserve">4.3 </w:t>
      </w:r>
      <w:r>
        <w:rPr>
          <w:rFonts w:ascii="Arial" w:eastAsia="等线" w:hAnsi="Arial" w:cs="Arial"/>
          <w:b/>
          <w:sz w:val="36"/>
        </w:rPr>
        <w:t>变化规律分析</w:t>
      </w:r>
      <w:bookmarkEnd w:id="3"/>
    </w:p>
    <w:p w14:paraId="6FE09603" w14:textId="77777777" w:rsidR="001043A3" w:rsidRDefault="00000000">
      <w:pPr>
        <w:spacing w:before="120" w:after="120" w:line="288" w:lineRule="auto"/>
        <w:rPr>
          <w:rFonts w:hint="eastAsia"/>
        </w:rPr>
      </w:pPr>
      <w:bookmarkStart w:id="4" w:name="_Hlk240186569"/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）</w:t>
      </w:r>
      <w:r>
        <w:rPr>
          <w:rFonts w:ascii="Arial" w:eastAsia="等线" w:hAnsi="Arial" w:cs="Arial"/>
          <w:b/>
        </w:rPr>
        <w:t>计划费随</w:t>
      </w:r>
      <w:r>
        <w:rPr>
          <w:rFonts w:ascii="Arial" w:eastAsia="等线" w:hAnsi="Arial" w:cs="Arial"/>
          <w:b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SAFE</m:t>
            </m:r>
          </m:sub>
        </m:sSub>
      </m:oMath>
      <w:r>
        <w:rPr>
          <w:rFonts w:ascii="Arial" w:eastAsia="等线" w:hAnsi="Arial" w:cs="Arial"/>
          <w:b/>
        </w:rPr>
        <w:t xml:space="preserve"> </w:t>
      </w:r>
      <w:r>
        <w:rPr>
          <w:rFonts w:ascii="Arial" w:eastAsia="等线" w:hAnsi="Arial" w:cs="Arial"/>
          <w:b/>
        </w:rPr>
        <w:t>上升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随</w:t>
      </w:r>
      <w:r>
        <w:rPr>
          <w:rFonts w:ascii="Arial" w:eastAsia="等线" w:hAnsi="Arial" w:cs="Arial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SAFE</m:t>
            </m:r>
          </m:sub>
        </m:sSub>
      </m:oMath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增大，负载安全上浮量增大，计划购电量从</w:t>
      </w:r>
      <w:r>
        <w:rPr>
          <w:rFonts w:ascii="Arial" w:eastAsia="等线" w:hAnsi="Arial" w:cs="Arial"/>
        </w:rPr>
        <w:t xml:space="preserve"> 2051 </w:t>
      </w:r>
      <w:r>
        <w:rPr>
          <w:rFonts w:ascii="Arial" w:eastAsia="等线" w:hAnsi="Arial" w:cs="Arial"/>
        </w:rPr>
        <w:t>万</w:t>
      </w:r>
      <w:r>
        <w:rPr>
          <w:rFonts w:ascii="Arial" w:eastAsia="等线" w:hAnsi="Arial" w:cs="Arial"/>
        </w:rPr>
        <w:t xml:space="preserve"> kWh </w:t>
      </w:r>
      <w:r>
        <w:rPr>
          <w:rFonts w:ascii="Arial" w:eastAsia="等线" w:hAnsi="Arial" w:cs="Arial"/>
        </w:rPr>
        <w:t>增至</w:t>
      </w:r>
      <w:r>
        <w:rPr>
          <w:rFonts w:ascii="Arial" w:eastAsia="等线" w:hAnsi="Arial" w:cs="Arial"/>
        </w:rPr>
        <w:t xml:space="preserve"> 2162 </w:t>
      </w:r>
      <w:r>
        <w:rPr>
          <w:rFonts w:ascii="Arial" w:eastAsia="等线" w:hAnsi="Arial" w:cs="Arial"/>
        </w:rPr>
        <w:t>万</w:t>
      </w:r>
      <w:r>
        <w:rPr>
          <w:rFonts w:ascii="Arial" w:eastAsia="等线" w:hAnsi="Arial" w:cs="Arial"/>
        </w:rPr>
        <w:t xml:space="preserve"> kWh</w:t>
      </w:r>
      <w:r>
        <w:rPr>
          <w:rFonts w:ascii="Arial" w:eastAsia="等线" w:hAnsi="Arial" w:cs="Arial"/>
        </w:rPr>
        <w:t>，计划购电费相应从</w:t>
      </w:r>
      <w:r>
        <w:rPr>
          <w:rFonts w:ascii="Arial" w:eastAsia="等线" w:hAnsi="Arial" w:cs="Arial"/>
        </w:rPr>
        <w:t xml:space="preserve"> 1246.56 </w:t>
      </w:r>
      <w:r>
        <w:rPr>
          <w:rFonts w:ascii="Arial" w:eastAsia="等线" w:hAnsi="Arial" w:cs="Arial"/>
        </w:rPr>
        <w:t>万元升至</w:t>
      </w:r>
      <w:r>
        <w:rPr>
          <w:rFonts w:ascii="Arial" w:eastAsia="等线" w:hAnsi="Arial" w:cs="Arial"/>
        </w:rPr>
        <w:t xml:space="preserve"> 1337.38 </w:t>
      </w:r>
      <w:r>
        <w:rPr>
          <w:rFonts w:ascii="Arial" w:eastAsia="等线" w:hAnsi="Arial" w:cs="Arial"/>
        </w:rPr>
        <w:t>万元，涨幅</w:t>
      </w:r>
      <w:r>
        <w:rPr>
          <w:rFonts w:ascii="Arial" w:eastAsia="等线" w:hAnsi="Arial" w:cs="Arial"/>
        </w:rPr>
        <w:t xml:space="preserve"> 7.3%</w:t>
      </w:r>
      <w:r>
        <w:rPr>
          <w:rFonts w:ascii="Arial" w:eastAsia="等线" w:hAnsi="Arial" w:cs="Arial"/>
        </w:rPr>
        <w:t>。</w:t>
      </w:r>
    </w:p>
    <w:p w14:paraId="15E7F770" w14:textId="77777777" w:rsidR="001043A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）</w:t>
      </w:r>
      <w:r>
        <w:rPr>
          <w:rFonts w:ascii="Arial" w:eastAsia="等线" w:hAnsi="Arial" w:cs="Arial"/>
          <w:b/>
        </w:rPr>
        <w:t>调整费随</w:t>
      </w:r>
      <w:r>
        <w:rPr>
          <w:rFonts w:ascii="Arial" w:eastAsia="等线" w:hAnsi="Arial" w:cs="Arial"/>
          <w:b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SAFE</m:t>
            </m:r>
          </m:sub>
        </m:sSub>
      </m:oMath>
      <w:r>
        <w:rPr>
          <w:rFonts w:ascii="Arial" w:eastAsia="等线" w:hAnsi="Arial" w:cs="Arial"/>
          <w:b/>
        </w:rPr>
        <w:t xml:space="preserve"> </w:t>
      </w:r>
      <w:r>
        <w:rPr>
          <w:rFonts w:ascii="Arial" w:eastAsia="等线" w:hAnsi="Arial" w:cs="Arial"/>
          <w:b/>
        </w:rPr>
        <w:t>下降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计划越保守，留给调整的空间越小，启用调整策略的天数从</w:t>
      </w:r>
      <w:r>
        <w:rPr>
          <w:rFonts w:ascii="Arial" w:eastAsia="等线" w:hAnsi="Arial" w:cs="Arial"/>
        </w:rPr>
        <w:t xml:space="preserve"> 99 </w:t>
      </w:r>
      <w:r>
        <w:rPr>
          <w:rFonts w:ascii="Arial" w:eastAsia="等线" w:hAnsi="Arial" w:cs="Arial"/>
        </w:rPr>
        <w:t>天降至</w:t>
      </w:r>
      <w:r>
        <w:rPr>
          <w:rFonts w:ascii="Arial" w:eastAsia="等线" w:hAnsi="Arial" w:cs="Arial"/>
        </w:rPr>
        <w:t xml:space="preserve"> 44 </w:t>
      </w:r>
      <w:r>
        <w:rPr>
          <w:rFonts w:ascii="Arial" w:eastAsia="等线" w:hAnsi="Arial" w:cs="Arial"/>
        </w:rPr>
        <w:t>天，调整费从</w:t>
      </w:r>
      <w:r>
        <w:rPr>
          <w:rFonts w:ascii="Arial" w:eastAsia="等线" w:hAnsi="Arial" w:cs="Arial"/>
        </w:rPr>
        <w:t xml:space="preserve"> 106.09 </w:t>
      </w:r>
      <w:r>
        <w:rPr>
          <w:rFonts w:ascii="Arial" w:eastAsia="等线" w:hAnsi="Arial" w:cs="Arial"/>
        </w:rPr>
        <w:t>万元降至</w:t>
      </w:r>
      <w:r>
        <w:rPr>
          <w:rFonts w:ascii="Arial" w:eastAsia="等线" w:hAnsi="Arial" w:cs="Arial"/>
        </w:rPr>
        <w:t xml:space="preserve"> 53.17 </w:t>
      </w:r>
      <w:r>
        <w:rPr>
          <w:rFonts w:ascii="Arial" w:eastAsia="等线" w:hAnsi="Arial" w:cs="Arial"/>
        </w:rPr>
        <w:t>万元，降幅</w:t>
      </w:r>
      <w:r>
        <w:rPr>
          <w:rFonts w:ascii="Arial" w:eastAsia="等线" w:hAnsi="Arial" w:cs="Arial"/>
        </w:rPr>
        <w:t xml:space="preserve"> 49.9%</w:t>
      </w:r>
      <w:r>
        <w:rPr>
          <w:rFonts w:ascii="Arial" w:eastAsia="等线" w:hAnsi="Arial" w:cs="Arial"/>
        </w:rPr>
        <w:t>。</w:t>
      </w:r>
    </w:p>
    <w:p w14:paraId="7F0C5162" w14:textId="77777777" w:rsidR="001043A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（</w:t>
      </w: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）</w:t>
      </w:r>
      <w:r>
        <w:rPr>
          <w:rFonts w:ascii="Arial" w:eastAsia="等线" w:hAnsi="Arial" w:cs="Arial"/>
          <w:b/>
        </w:rPr>
        <w:t>紧急费随</w:t>
      </w:r>
      <w:r>
        <w:rPr>
          <w:rFonts w:ascii="Arial" w:eastAsia="等线" w:hAnsi="Arial" w:cs="Arial"/>
          <w:b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SAFE</m:t>
            </m:r>
          </m:sub>
        </m:sSub>
      </m:oMath>
      <w:r>
        <w:rPr>
          <w:rFonts w:ascii="Arial" w:eastAsia="等线" w:hAnsi="Arial" w:cs="Arial"/>
          <w:b/>
        </w:rPr>
        <w:t xml:space="preserve"> </w:t>
      </w:r>
      <w:r>
        <w:rPr>
          <w:rFonts w:ascii="Arial" w:eastAsia="等线" w:hAnsi="Arial" w:cs="Arial"/>
          <w:b/>
        </w:rPr>
        <w:t>下降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安全余量越大，紧急购电量从</w:t>
      </w:r>
      <w:r>
        <w:rPr>
          <w:rFonts w:ascii="Arial" w:eastAsia="等线" w:hAnsi="Arial" w:cs="Arial"/>
        </w:rPr>
        <w:t xml:space="preserve"> 18.6 </w:t>
      </w:r>
      <w:r>
        <w:rPr>
          <w:rFonts w:ascii="Arial" w:eastAsia="等线" w:hAnsi="Arial" w:cs="Arial"/>
        </w:rPr>
        <w:t>万</w:t>
      </w:r>
      <w:r>
        <w:rPr>
          <w:rFonts w:ascii="Arial" w:eastAsia="等线" w:hAnsi="Arial" w:cs="Arial"/>
        </w:rPr>
        <w:t xml:space="preserve"> kWh </w:t>
      </w:r>
      <w:r>
        <w:rPr>
          <w:rFonts w:ascii="Arial" w:eastAsia="等线" w:hAnsi="Arial" w:cs="Arial"/>
        </w:rPr>
        <w:t>降至</w:t>
      </w:r>
      <w:r>
        <w:rPr>
          <w:rFonts w:ascii="Arial" w:eastAsia="等线" w:hAnsi="Arial" w:cs="Arial"/>
        </w:rPr>
        <w:t xml:space="preserve"> 10.3 </w:t>
      </w:r>
      <w:r>
        <w:rPr>
          <w:rFonts w:ascii="Arial" w:eastAsia="等线" w:hAnsi="Arial" w:cs="Arial"/>
        </w:rPr>
        <w:t>万</w:t>
      </w:r>
      <w:r>
        <w:rPr>
          <w:rFonts w:ascii="Arial" w:eastAsia="等线" w:hAnsi="Arial" w:cs="Arial"/>
        </w:rPr>
        <w:t xml:space="preserve"> kWh</w:t>
      </w:r>
      <w:r>
        <w:rPr>
          <w:rFonts w:ascii="Arial" w:eastAsia="等线" w:hAnsi="Arial" w:cs="Arial"/>
        </w:rPr>
        <w:t>，紧急购电费从</w:t>
      </w:r>
      <w:r>
        <w:rPr>
          <w:rFonts w:ascii="Arial" w:eastAsia="等线" w:hAnsi="Arial" w:cs="Arial"/>
        </w:rPr>
        <w:t xml:space="preserve"> 111.32 </w:t>
      </w:r>
      <w:r>
        <w:rPr>
          <w:rFonts w:ascii="Arial" w:eastAsia="等线" w:hAnsi="Arial" w:cs="Arial"/>
        </w:rPr>
        <w:t>万元降至</w:t>
      </w:r>
      <w:r>
        <w:rPr>
          <w:rFonts w:ascii="Arial" w:eastAsia="等线" w:hAnsi="Arial" w:cs="Arial"/>
        </w:rPr>
        <w:t xml:space="preserve"> 61.76 </w:t>
      </w:r>
      <w:r>
        <w:rPr>
          <w:rFonts w:ascii="Arial" w:eastAsia="等线" w:hAnsi="Arial" w:cs="Arial"/>
        </w:rPr>
        <w:t>万元，降幅</w:t>
      </w:r>
      <w:r>
        <w:rPr>
          <w:rFonts w:ascii="Arial" w:eastAsia="等线" w:hAnsi="Arial" w:cs="Arial"/>
        </w:rPr>
        <w:t xml:space="preserve"> 44.5%</w:t>
      </w:r>
      <w:r>
        <w:rPr>
          <w:rFonts w:ascii="Arial" w:eastAsia="等线" w:hAnsi="Arial" w:cs="Arial"/>
        </w:rPr>
        <w:t>。这表明增大安全余量能有效降低高价紧急购电风险。</w:t>
      </w:r>
    </w:p>
    <w:p w14:paraId="169B2AAB" w14:textId="77777777" w:rsidR="001043A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>4</w:t>
      </w:r>
      <w:r>
        <w:rPr>
          <w:rFonts w:ascii="Arial" w:eastAsia="等线" w:hAnsi="Arial" w:cs="Arial"/>
        </w:rPr>
        <w:t>）</w:t>
      </w:r>
      <w:r>
        <w:rPr>
          <w:rFonts w:ascii="Arial" w:eastAsia="等线" w:hAnsi="Arial" w:cs="Arial"/>
          <w:b/>
        </w:rPr>
        <w:t>总费呈</w:t>
      </w:r>
      <w:r>
        <w:rPr>
          <w:rFonts w:ascii="Arial" w:eastAsia="等线" w:hAnsi="Arial" w:cs="Arial"/>
          <w:b/>
        </w:rPr>
        <w:t xml:space="preserve"> U </w:t>
      </w:r>
      <w:r>
        <w:rPr>
          <w:rFonts w:ascii="Arial" w:eastAsia="等线" w:hAnsi="Arial" w:cs="Arial"/>
          <w:b/>
        </w:rPr>
        <w:t>型分布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总费用先降后升，在</w:t>
      </w:r>
      <w:r>
        <w:rPr>
          <w:rFonts w:ascii="Arial" w:eastAsia="等线" w:hAnsi="Arial" w:cs="Arial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SAFE</m:t>
            </m:r>
          </m:sub>
        </m:sSub>
        <m:r>
          <w:rPr>
            <w:rFonts w:ascii="Cambria Math" w:hAnsi="Cambria Math"/>
          </w:rPr>
          <m:t>=0.95</m:t>
        </m:r>
      </m:oMath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处达到最低值</w:t>
      </w:r>
      <w:r>
        <w:rPr>
          <w:rFonts w:ascii="Arial" w:eastAsia="等线" w:hAnsi="Arial" w:cs="Arial"/>
        </w:rPr>
        <w:t xml:space="preserve"> 1447.76 </w:t>
      </w:r>
      <w:r>
        <w:rPr>
          <w:rFonts w:ascii="Arial" w:eastAsia="等线" w:hAnsi="Arial" w:cs="Arial"/>
        </w:rPr>
        <w:t>万元。这体现了安全余量的边际收益递减：</w:t>
      </w:r>
      <w:r>
        <w:rPr>
          <w:rFonts w:ascii="Arial" w:eastAsia="等线" w:hAnsi="Arial" w:cs="Arial"/>
        </w:rPr>
        <w:br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SAFE</m:t>
            </m:r>
          </m:sub>
        </m:sSub>
        <m:r>
          <w:rPr>
            <w:rFonts w:ascii="Cambria Math" w:hAnsi="Cambria Math"/>
          </w:rPr>
          <m:t>&lt;0.95</m:t>
        </m:r>
      </m:oMath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时，增大安全余量带来的紧急费节省大于计划费增加；</w:t>
      </w:r>
      <w:r>
        <w:rPr>
          <w:rFonts w:ascii="Arial" w:eastAsia="等线" w:hAnsi="Arial" w:cs="Arial"/>
        </w:rPr>
        <w:br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SAFE</m:t>
            </m:r>
          </m:sub>
        </m:sSub>
        <m:r>
          <w:rPr>
            <w:rFonts w:ascii="Cambria Math" w:hAnsi="Cambria Math"/>
          </w:rPr>
          <m:t>&gt;0.95</m:t>
        </m:r>
      </m:oMath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时，继续增大安全余量，计划费增加超过紧急费节省。</w:t>
      </w:r>
    </w:p>
    <w:p w14:paraId="59C0A495" w14:textId="77777777" w:rsidR="001043A3" w:rsidRDefault="00000000">
      <w:pPr>
        <w:spacing w:before="380" w:after="140" w:line="288" w:lineRule="auto"/>
        <w:outlineLvl w:val="0"/>
        <w:rPr>
          <w:rFonts w:hint="eastAsia"/>
        </w:rPr>
      </w:pPr>
      <w:bookmarkStart w:id="5" w:name="heading_3"/>
      <w:r>
        <w:rPr>
          <w:rFonts w:ascii="Arial" w:eastAsia="等线" w:hAnsi="Arial" w:cs="Arial"/>
          <w:b/>
          <w:sz w:val="36"/>
        </w:rPr>
        <w:t xml:space="preserve">4.4 </w:t>
      </w:r>
      <w:r>
        <w:rPr>
          <w:rFonts w:ascii="Arial" w:eastAsia="等线" w:hAnsi="Arial" w:cs="Arial"/>
          <w:b/>
          <w:sz w:val="36"/>
        </w:rPr>
        <w:t>结论</w:t>
      </w:r>
      <w:bookmarkEnd w:id="5"/>
    </w:p>
    <w:p w14:paraId="4E76C663" w14:textId="77777777" w:rsidR="001043A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综上，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SAFE</m:t>
            </m:r>
          </m:sub>
        </m:sSub>
        <m:r>
          <w:rPr>
            <w:rFonts w:ascii="Cambria Math" w:hAnsi="Cambria Math"/>
          </w:rPr>
          <m:t>=0.95</m:t>
        </m:r>
      </m:oMath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是本模型的最优安全分位数。此时总费用</w:t>
      </w:r>
      <w:r>
        <w:rPr>
          <w:rFonts w:ascii="Arial" w:eastAsia="等线" w:hAnsi="Arial" w:cs="Arial"/>
        </w:rPr>
        <w:t xml:space="preserve"> 1447.76 </w:t>
      </w:r>
      <w:r>
        <w:rPr>
          <w:rFonts w:ascii="Arial" w:eastAsia="等线" w:hAnsi="Arial" w:cs="Arial"/>
        </w:rPr>
        <w:t>万元，比</w:t>
      </w:r>
      <w:r>
        <w:rPr>
          <w:rFonts w:ascii="Arial" w:eastAsia="等线" w:hAnsi="Arial" w:cs="Arial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SAFE</m:t>
            </m:r>
          </m:sub>
        </m:sSub>
        <m:r>
          <w:rPr>
            <w:rFonts w:ascii="Cambria Math" w:hAnsi="Cambria Math"/>
          </w:rPr>
          <m:t>=0.70</m:t>
        </m:r>
      </m:oMath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低</w:t>
      </w:r>
      <w:r>
        <w:rPr>
          <w:rFonts w:ascii="Arial" w:eastAsia="等线" w:hAnsi="Arial" w:cs="Arial"/>
        </w:rPr>
        <w:t xml:space="preserve"> 11.21 </w:t>
      </w:r>
      <w:r>
        <w:rPr>
          <w:rFonts w:ascii="Arial" w:eastAsia="等线" w:hAnsi="Arial" w:cs="Arial"/>
        </w:rPr>
        <w:t>万元（降幅</w:t>
      </w:r>
      <w:r>
        <w:rPr>
          <w:rFonts w:ascii="Arial" w:eastAsia="等线" w:hAnsi="Arial" w:cs="Arial"/>
        </w:rPr>
        <w:t xml:space="preserve"> 0.77%</w:t>
      </w:r>
      <w:r>
        <w:rPr>
          <w:rFonts w:ascii="Arial" w:eastAsia="等线" w:hAnsi="Arial" w:cs="Arial"/>
        </w:rPr>
        <w:t>），比</w:t>
      </w:r>
      <w:r>
        <w:rPr>
          <w:rFonts w:ascii="Arial" w:eastAsia="等线" w:hAnsi="Arial" w:cs="Arial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SAFE</m:t>
            </m:r>
          </m:sub>
        </m:sSub>
        <m:r>
          <w:rPr>
            <w:rFonts w:ascii="Cambria Math" w:hAnsi="Cambria Math"/>
          </w:rPr>
          <m:t>=0.99</m:t>
        </m:r>
      </m:oMath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低</w:t>
      </w:r>
      <w:r>
        <w:rPr>
          <w:rFonts w:ascii="Arial" w:eastAsia="等线" w:hAnsi="Arial" w:cs="Arial"/>
        </w:rPr>
        <w:t xml:space="preserve"> 4.55 </w:t>
      </w:r>
      <w:r>
        <w:rPr>
          <w:rFonts w:ascii="Arial" w:eastAsia="等线" w:hAnsi="Arial" w:cs="Arial"/>
        </w:rPr>
        <w:t>万元（降幅</w:t>
      </w:r>
      <w:r>
        <w:rPr>
          <w:rFonts w:ascii="Arial" w:eastAsia="等线" w:hAnsi="Arial" w:cs="Arial"/>
        </w:rPr>
        <w:t xml:space="preserve"> 0.31%</w:t>
      </w:r>
      <w:r>
        <w:rPr>
          <w:rFonts w:ascii="Arial" w:eastAsia="等线" w:hAnsi="Arial" w:cs="Arial"/>
        </w:rPr>
        <w:t>）。因此本文选择</w:t>
      </w:r>
      <w:r>
        <w:rPr>
          <w:rFonts w:ascii="Arial" w:eastAsia="等线" w:hAnsi="Arial" w:cs="Arial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SAFE</m:t>
            </m:r>
          </m:sub>
        </m:sSub>
        <m:r>
          <w:rPr>
            <w:rFonts w:ascii="Cambria Math" w:hAnsi="Cambria Math"/>
          </w:rPr>
          <m:t>=0.95</m:t>
        </m:r>
      </m:oMath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作为最终参数。</w:t>
      </w:r>
    </w:p>
    <w:bookmarkEnd w:id="4"/>
    <w:p w14:paraId="3DA5B123" w14:textId="77777777" w:rsidR="001043A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如果你需要，我可以把这一段和前面</w:t>
      </w:r>
      <w:r>
        <w:rPr>
          <w:rFonts w:ascii="Arial" w:eastAsia="等线" w:hAnsi="Arial" w:cs="Arial"/>
        </w:rPr>
        <w:t xml:space="preserve"> 5.5 </w:t>
      </w:r>
      <w:r>
        <w:rPr>
          <w:rFonts w:ascii="Arial" w:eastAsia="等线" w:hAnsi="Arial" w:cs="Arial"/>
        </w:rPr>
        <w:t>章节合并成完整论文文档，统一公式、表格编号格式。</w:t>
      </w:r>
    </w:p>
    <w:p w14:paraId="18895825" w14:textId="77777777" w:rsidR="001043A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|</w:t>
      </w:r>
      <w:r>
        <w:rPr>
          <w:rFonts w:ascii="Arial" w:eastAsia="等线" w:hAnsi="Arial" w:cs="Arial"/>
        </w:rPr>
        <w:t>（注：部分内容可能由</w:t>
      </w:r>
      <w:r>
        <w:rPr>
          <w:rFonts w:ascii="Arial" w:eastAsia="等线" w:hAnsi="Arial" w:cs="Arial"/>
        </w:rPr>
        <w:t xml:space="preserve"> AI </w:t>
      </w:r>
      <w:r>
        <w:rPr>
          <w:rFonts w:ascii="Arial" w:eastAsia="等线" w:hAnsi="Arial" w:cs="Arial"/>
        </w:rPr>
        <w:t>生成）</w:t>
      </w:r>
    </w:p>
    <w:sectPr w:rsidR="001043A3">
      <w:headerReference w:type="default" r:id="rId6"/>
      <w:footerReference w:type="default" r:id="rId7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66A770D" w14:textId="77777777" w:rsidR="00F40504" w:rsidRDefault="00F4050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FDADE5C" w14:textId="77777777" w:rsidR="00F40504" w:rsidRDefault="00F4050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1FFCCF" w14:textId="77777777" w:rsidR="001043A3" w:rsidRDefault="001043A3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8D34770" w14:textId="77777777" w:rsidR="00F40504" w:rsidRDefault="00F4050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A95645D" w14:textId="77777777" w:rsidR="00F40504" w:rsidRDefault="00F4050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73FA3B" w14:textId="77777777" w:rsidR="001043A3" w:rsidRDefault="001043A3">
    <w:pPr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043A3"/>
    <w:rsid w:val="001043A3"/>
    <w:rsid w:val="004E1D24"/>
    <w:rsid w:val="00557B9A"/>
    <w:rsid w:val="008B7603"/>
    <w:rsid w:val="00F40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F5763"/>
  <w15:docId w15:val="{E87D23D4-22B9-4C4E-9193-0B1F958C0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181</Words>
  <Characters>1032</Characters>
  <Application>Microsoft Office Word</Application>
  <DocSecurity>0</DocSecurity>
  <Lines>8</Lines>
  <Paragraphs>2</Paragraphs>
  <ScaleCrop>false</ScaleCrop>
  <Company/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大师 尘</cp:lastModifiedBy>
  <cp:revision>2</cp:revision>
  <dcterms:created xsi:type="dcterms:W3CDTF">2026-09-12T11:54:00Z</dcterms:created>
  <dcterms:modified xsi:type="dcterms:W3CDTF">2026-09-13T02:22:00Z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{"Label":"1","ContentProducer":"001191110102MACQD9K64010000","ProduceID":"7684615868651375586","ReservedCode1":"","ContentPropagator":"","PropagateID":"","ReservedCode2":""}</vt:lpwstr>
  </property>
</Properties>
</file>