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200"/>
        <w:ind w:firstLine="0"/>
        <w:jc w:val="center"/>
      </w:pPr>
      <w:r>
        <w:rPr>
          <w:rFonts w:ascii="Times New Roman" w:eastAsia="SimSun"/>
          <w:b/>
          <w:bCs/>
          <w:sz w:val="21"/>
          <w:szCs w:val="21"/>
        </w:rPr>
        <w:t xml:space="preserve">表 X  四种方案全年购电费用与单位购电成本对比</w:t>
      </w:r>
    </w:p>
    <w:tbl>
      <w:tblPr>
        <w:tblW w:type="pct" w:w="98%"/>
        <w:jc w:val="center"/>
        <w:tblBorders>
          <w:top w:val="single" w:color="000000" w:sz="12"/>
          <w:left w:val="none" w:color="FFFFFF" w:sz="0"/>
          <w:bottom w:val="single" w:color="000000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bottom w:val="single" w:color="000000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指标</w:t>
            </w:r>
          </w:p>
        </w:tc>
        <w:tc>
          <w:tcPr>
            <w:tcW w:type="pct" w:w="18%"/>
            <w:tcBorders>
              <w:bottom w:val="single" w:color="000000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问题2</w:t>
            </w:r>
          </w:p>
        </w:tc>
        <w:tc>
          <w:tcPr>
            <w:tcW w:type="pct" w:w="18%"/>
            <w:tcBorders>
              <w:bottom w:val="single" w:color="000000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问题3</w:t>
            </w:r>
          </w:p>
        </w:tc>
        <w:tc>
          <w:tcPr>
            <w:tcW w:type="pct" w:w="18%"/>
            <w:tcBorders>
              <w:bottom w:val="single" w:color="000000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问题4-2</w:t>
            </w:r>
          </w:p>
        </w:tc>
        <w:tc>
          <w:tcPr>
            <w:tcW w:type="pct" w:w="18%"/>
            <w:tcBorders>
              <w:bottom w:val="single" w:color="000000" w:sz="6"/>
            </w:tcBorders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问题4-3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计划购电费用/万元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1 463.52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1 294.79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1 523.10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1 350.01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调整购电费用/万元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69.94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74.34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紧急购电费用/万元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29.84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83.03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36.21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87.87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全年总费用/万元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1 493.35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1 447.76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1 559.31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1 512.22</w:t>
            </w:r>
          </w:p>
        </w:tc>
      </w:tr>
      <w:tr>
        <w:trPr>
          <w:cantSplit/>
        </w:trPr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单位购电成本/(元/kWh)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0.8324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0.8070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0.8692</w:t>
            </w:r>
          </w:p>
        </w:tc>
        <w:tc>
          <w:tcPr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line="260"/>
              <w:ind w:firstLine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0.8429</w:t>
            </w:r>
          </w:p>
        </w:tc>
      </w:tr>
    </w:tbl>
    <w:p>
      <w:pPr>
        <w:spacing w:before="140" w:line="312"/>
        <w:ind w:firstLine="0"/>
        <w:jc w:val="both"/>
      </w:pPr>
      <w:r>
        <w:rPr>
          <w:rFonts w:ascii="Times New Roman" w:eastAsia="SimSun"/>
          <w:sz w:val="18"/>
          <w:szCs w:val="18"/>
        </w:rPr>
        <w:t xml:space="preserve">注：问题2 为固定电价、无调整机制；问题3 为固定电价、引入调整机制；问题4-2、问题4-3 为实时电价下分别对应无调整与有调整机制。四种方案的全年实际需求总量均为 17 939 189 kWh，单位购电成本 = 全年总费用 ÷ 实际需求总量。各方案的预测组合与分位数 q 取值不尽相同（问题2 取 q = 0.85，问题3、问题4-3 取 q = 0.95，问题4-2 取 q = 0.93），对比时需注意口径差异。</w:t>
      </w:r>
    </w:p>
    <w:sectPr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2026-09-12T13:05:41.791Z</dcterms:created>
  <dcterms:modified xsi:type="dcterms:W3CDTF">2026-09-12T13:05:41.791Z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