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5.3 问题三：多阶段滚动优化购电策略模型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5.3.1 问题分析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问题三在问题二的基础上，允许微网在每天 0:00 制定计划后，于 6:00、12:00、18:00 根据最新的光伏发电功率预报对购电策略进行调整。调整会产生额外费用：若最终购电量高于原计划，超出部分按交易时刻电价的 1.5 倍计费；若最终购电量低于原计划，不足部分按交易时刻电价的 50% 计违约费。此外，若实际供电仍不足，则需紧急购电，电价为交易时刻电价的 5 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因此，问题三的核心是建立一个多阶段滚动优化模型：0:00 基于全天预报制定计划购电量，6:00、12:00、18:00 基于更新后的预报和实际已执行的运行状态，重新优化剩余时段的购电量，最终以实际光伏和负载进行实时模拟，计算紧急购电量和总费用。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5.3.2 符号说明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每天时段数，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T=144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时段长度，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t=1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时段索引，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t=1,2,…,T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时段外网电价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 /kWh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时段小区负载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P</m:t>
                </m:r>
                <m:sSubSup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f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时段光伏预测功率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P</m:t>
                </m:r>
                <m:sSubSup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时段光伏实际功率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buy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时段计划购电功率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ch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时段储能充电功率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dis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时段储能放电功率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cur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时段弃电功率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时段末储能电量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emg</m:t>
                    </m:r>
                  </m:sup>
                </m:sSub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t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时段紧急购电功率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充放电效率，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η=0.9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储能电量下限、上限，分别为 1200、10800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最大充放电功率，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=5000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5.3.3 计划阶段模型（0:00）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0:00 时，根据附件 3 中 0:00 发布的未来 24 小时光伏预测，制定全天 144 个时段的计划购电量。以全天购电费用最小为目标：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min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约束条件如下：</w:t>
        <w:br/>
        <w:t>（1）功率平衡约束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+P</m:t>
          </m:r>
          <m:sSubSup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（2）储能电量动态约束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+η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t−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dis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为当天初始储能电量，由前一天 24:00 的储能状态传递而来。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（3）储能电量上下限约束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（4）充放电功率约束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0≤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（5）购电量与弃电量非负约束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≥0,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  <m:r>
            <w:rPr>
              <w:rFonts w:ascii="Cambria Math" w:hAnsi="Cambria Math"/>
            </w:rPr>
            <m:t>≥0,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（6）日末储能约束</w:t>
        <w:br/>
        <w:t>仅在计算区间最后一天（2025 年 12 月 31 日）要求日末储能不低于 6000 kWh，其余日期不强制日末储能水平，只需满足上下限即可。即：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≥6000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仅最后一天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上述模型是一个线性规划问题，决策变量为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5T</m:t>
          </m:r>
        </m:oMath>
      </m:oMathPara>
      <w:r>
        <w:rPr>
          <w:rFonts w:eastAsia="等线" w:ascii="Arial" w:cs="Arial" w:hAnsi="Arial"/>
          <w:sz w:val="22"/>
        </w:rPr>
        <w:t xml:space="preserve"> 个变量。利用 MATLAB 的 linprog 函数可求得全天计划购电量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5.3.4 调整阶段模型（6:00、12:00、18:00）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6:00、12:00、18:00 三个时刻，根据最新预报和实际已执行时段的储能状态，对剩余时段的购电量进行调整。设调整时刻为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</m:t>
          </m:r>
        </m:oMath>
      </m:oMathPara>
      <w:r>
        <w:rPr>
          <w:rFonts w:eastAsia="等线" w:ascii="Arial" w:cs="Arial" w:hAnsi="Arial"/>
          <w:sz w:val="22"/>
        </w:rPr>
        <w:t xml:space="preserve">，剩余时段为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t=τ,τ+1,…,T</m:t>
          </m:r>
        </m:oMath>
      </m:oMathPara>
      <w:r>
        <w:rPr>
          <w:rFonts w:eastAsia="等线" w:ascii="Arial" w:cs="Arial" w:hAnsi="Arial"/>
          <w:sz w:val="22"/>
        </w:rPr>
        <w:t xml:space="preserve">，剩余时段数为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M=T−τ+1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调整阶段的目标是最小化调整费用。定义最终购电量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相对于原计划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的正偏差和负偏差：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=max(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,0),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−</m:t>
              </m:r>
            </m:sup>
          </m:sSubSup>
          <m:r>
            <w:rPr>
              <w:rFonts w:ascii="Cambria Math" w:hAnsi="Cambria Math"/>
            </w:rPr>
            <m:t>=max(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,0)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调整费用为：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min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t=τ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[</m:t>
              </m:r>
            </m:e>
          </m:nary>
          <m:r>
            <w:rPr>
              <w:rFonts w:ascii="Cambria Math" w:hAnsi="Cambria Math"/>
            </w:rPr>
            <m:t>1.5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+0.5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−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约束条件与计划阶段类似，但需增加差额定义约束：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−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t≥τ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同时，功率平衡、储能动态、上下限、功率限制等约束均作用于剩余时段。初始储能电量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由实际已执行时段的模拟结果给出：在每次调整前，利用实际光伏和实际负载，按照已确定的购电策略模拟从 0:00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τ−1</m:t>
          </m:r>
        </m:oMath>
      </m:oMathPara>
      <w:r>
        <w:rPr>
          <w:rFonts w:eastAsia="等线" w:ascii="Arial" w:cs="Arial" w:hAnsi="Arial"/>
          <w:sz w:val="22"/>
        </w:rPr>
        <w:t xml:space="preserve"> 时段的运行，得到真实的储能电量。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调整阶段同样构建为线性规划模型，决策变量为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−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，共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7M</m:t>
          </m:r>
        </m:oMath>
      </m:oMathPara>
      <w:r>
        <w:rPr>
          <w:rFonts w:eastAsia="等线" w:ascii="Arial" w:cs="Arial" w:hAnsi="Arial"/>
          <w:sz w:val="22"/>
        </w:rPr>
        <w:t xml:space="preserve"> 个变量。求解后得到调整后的购电量，并更新最终有效购电量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eff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5.3.5 实时模拟与费用结算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全天购电策略确定后，以附件 2 中的实际光伏功率和实际小区负载进行实时模拟。若实际供电不足，则触发紧急购电：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p>
          </m:sSubSup>
          <m:r>
            <w:rPr>
              <w:rFonts w:ascii="Cambria Math" w:hAnsi="Cambria Math"/>
            </w:rPr>
            <m:t>=max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−P</m:t>
          </m:r>
          <m:sSubSup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eff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,0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eff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为最终有效购电量（即经过所有调整后的购电量）。紧急购电费用为：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5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总购电费用由三部分组成：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5.3.6 求解流程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读取附件 1 的电价、附件 2 的实际负载与实际光伏、附件 3 的光伏预报；</w:t>
        <w:br/>
      </w:r>
      <w:r>
        <w:rPr>
          <w:rFonts w:eastAsia="等线" w:ascii="Arial" w:cs="Arial" w:hAnsi="Arial"/>
          <w:sz w:val="22"/>
        </w:rPr>
        <w:t>对 2025 年 2 月 1 日至 12 月 31 日逐日循环：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0:00：基于当天 0:00 预报，求解计划模型，得到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6:00：用实际数据模拟 0:00–6:00，得到真实储能状态，基于 6:00 预报调整 6:00–24:00 的购电量；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12:00：用实际数据模拟 0:00–12:00，基于 12:00 预报调整 12:00–24:00 的购电量；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18:00：用实际数据模拟 0:00–18:00，基于 18:00 预报调整 18:00–24:00 的购电量；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实时模拟全天运行，计算紧急购电量和总费用；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更新储能状态，供次日使用；</w:t>
        <w:br/>
      </w:r>
      <w:r>
        <w:rPr>
          <w:rFonts w:eastAsia="等线" w:ascii="Arial" w:cs="Arial" w:hAnsi="Arial"/>
          <w:sz w:val="22"/>
        </w:rPr>
        <w:t>输出 result3.xlsx，包含计划购电量、调整购电量、充放电量和紧急购电量。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5.4 是否需要引入其他时刻预报的分析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根据问题三的求解结果，本文统计了全年调整购电量绝对值和紧急购电量在各时段的分布。结果表明，调整购电量主要集中在 14:00–18:00 时段。该区间位于 12:00 和 18:00 两次预报之间，主要受 12:00 预报调整策略的影响。12:00 预报在 14:00 时已使用 2 小时，在 16:00 时已使用 4 小时，在 18:00 时已使用 6 小时，信息时效性逐渐下降。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进一步观察该时段的紧急购电情况：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 14:00–18:00 的紧急购电量很低，说明 12:00 的滚动调整已能有效吸收光伏预报偏差，现有 0:00、6:00、12:00、18:00 四个预报时刻已足够，无需额外增加预报；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 14:00–18:00 同时出现较大的调整量和较多的紧急购电，则说明仅依靠 12:00 预报难以及时修正光伏偏差，建议在 12:00 和 18:00 之间增加一次 15:00 预报，将最长信息间隔从 6 小时缩短为 3 小时，从而降低该时段的调整费用和紧急购电费用。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由于附件 3 仅提供 0:00、6:00、12:00、18:00 四个时刻的光伏预报，未提供 15:00 的预报数据，因此本文仅进行定性分析，不进行新增预报的定量仿真。若未来可获得更细时间粒度的预报，可在 15:00 增加一次滚动调整，预期能进一步降低 14:00–18:00 的购电费用。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综上，若现有策略下 14:00–18:00 紧急购电较少，则无需引入其他时刻预报；若该时段紧急购电较多，则建议在 15:00 增加一次预报。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1995">
    <w:lvl>
      <w:start w:val="1"/>
      <w:numFmt w:val="decimal"/>
      <w:suff w:val="tab"/>
      <w:lvlText w:val="%1."/>
      <w:rPr>
        <w:color w:val="3370ff"/>
      </w:rPr>
    </w:lvl>
  </w:abstractNum>
  <w:abstractNum w:abstractNumId="1191996">
    <w:lvl>
      <w:start w:val="2"/>
      <w:numFmt w:val="decimal"/>
      <w:suff w:val="tab"/>
      <w:lvlText w:val="%1."/>
      <w:rPr>
        <w:color w:val="3370ff"/>
      </w:rPr>
    </w:lvl>
  </w:abstractNum>
  <w:abstractNum w:abstractNumId="1191997">
    <w:lvl>
      <w:start w:val="3"/>
      <w:numFmt w:val="decimal"/>
      <w:suff w:val="tab"/>
      <w:lvlText w:val="%1."/>
      <w:rPr>
        <w:color w:val="3370ff"/>
      </w:rPr>
    </w:lvl>
  </w:abstractNum>
  <w:abstractNum w:abstractNumId="1191998">
    <w:lvl>
      <w:start w:val="4"/>
      <w:numFmt w:val="decimal"/>
      <w:suff w:val="tab"/>
      <w:lvlText w:val="%1."/>
      <w:rPr>
        <w:color w:val="3370ff"/>
      </w:rPr>
    </w:lvl>
  </w:abstractNum>
  <w:abstractNum w:abstractNumId="1191999">
    <w:lvl>
      <w:start w:val="5"/>
      <w:numFmt w:val="decimal"/>
      <w:suff w:val="tab"/>
      <w:lvlText w:val="%1."/>
      <w:rPr>
        <w:color w:val="3370ff"/>
      </w:rPr>
    </w:lvl>
  </w:abstractNum>
  <w:abstractNum w:abstractNumId="1192000">
    <w:lvl>
      <w:start w:val="6"/>
      <w:numFmt w:val="decimal"/>
      <w:suff w:val="tab"/>
      <w:lvlText w:val="%1."/>
      <w:rPr>
        <w:color w:val="3370ff"/>
      </w:rPr>
    </w:lvl>
  </w:abstractNum>
  <w:abstractNum w:abstractNumId="1192001">
    <w:lvl>
      <w:numFmt w:val="bullet"/>
      <w:suff w:val="tab"/>
      <w:lvlText w:val="•"/>
      <w:rPr>
        <w:color w:val="3370ff"/>
      </w:rPr>
    </w:lvl>
  </w:abstractNum>
  <w:abstractNum w:abstractNumId="1192002">
    <w:lvl>
      <w:numFmt w:val="bullet"/>
      <w:suff w:val="tab"/>
      <w:lvlText w:val="•"/>
      <w:rPr>
        <w:color w:val="3370ff"/>
      </w:rPr>
    </w:lvl>
  </w:abstractNum>
  <w:num w:numId="1">
    <w:abstractNumId w:val="1191995"/>
  </w:num>
  <w:num w:numId="2">
    <w:abstractNumId w:val="1191996"/>
  </w:num>
  <w:num w:numId="3">
    <w:abstractNumId w:val="1191997"/>
  </w:num>
  <w:num w:numId="4">
    <w:abstractNumId w:val="1191998"/>
  </w:num>
  <w:num w:numId="5">
    <w:abstractNumId w:val="1191999"/>
  </w:num>
  <w:num w:numId="6">
    <w:abstractNumId w:val="1192000"/>
  </w:num>
  <w:num w:numId="7">
    <w:abstractNumId w:val="1192001"/>
  </w:num>
  <w:num w:numId="8">
    <w:abstractNumId w:val="11920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2026-09-12T01:52:44Z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{"Label":"1","ContentProducer":"001191110102MACQD9K64010000","ProduceID":"7684460780922194894","ReservedCode1":"","ContentPropagator":"","PropagateID":"","ReservedCode2":""}</vt:lpwstr>
  </property>
</Properties>
</file>