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问题二：基于预测的微网日前购电策略优化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一、问题分析与总体思路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问题二要求基于历史数据预测 2025 年 2 月 1 日至 12 月 31 日的小区负载与光伏功率，并据此制定 “日前购电计划”。其核心难点在于：</w:t>
      </w:r>
      <w:r>
        <w:rPr>
          <w:rFonts w:eastAsia="等线" w:ascii="Arial" w:cs="Arial" w:hAnsi="Arial"/>
          <w:b w:val="true"/>
          <w:sz w:val="22"/>
        </w:rPr>
        <w:t>购电计划须提前一天制定，而实际执行时预测必然存在偏差</w:t>
      </w:r>
      <w:r>
        <w:rPr>
          <w:rFonts w:eastAsia="等线" w:ascii="Arial" w:cs="Arial" w:hAnsi="Arial"/>
          <w:sz w:val="22"/>
        </w:rPr>
        <w:t>—— 若光伏出力被高估或负荷被低估，计划购电量将不足以覆盖实际需求，不足部分只能以 5 倍电价紧急购电，造成巨额损失。</w:t>
        <w:br/>
      </w:r>
      <w:r>
        <w:rPr>
          <w:rFonts w:eastAsia="等线" w:ascii="Arial" w:cs="Arial" w:hAnsi="Arial"/>
          <w:sz w:val="22"/>
        </w:rPr>
        <w:t>为此，本文构建 “</w:t>
      </w:r>
      <w:r>
        <w:rPr>
          <w:rFonts w:eastAsia="等线" w:ascii="Arial" w:cs="Arial" w:hAnsi="Arial"/>
          <w:b w:val="true"/>
          <w:sz w:val="22"/>
        </w:rPr>
        <w:t>因果预测 → 鲁棒化修正 → 日前优化 → 实时模拟</w:t>
      </w:r>
      <w:r>
        <w:rPr>
          <w:rFonts w:eastAsia="等线" w:ascii="Arial" w:cs="Arial" w:hAnsi="Arial"/>
          <w:sz w:val="22"/>
        </w:rPr>
        <w:t>” 四阶段求解框架：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因果预测</w:t>
      </w:r>
      <w:r>
        <w:rPr>
          <w:rFonts w:eastAsia="等线" w:ascii="Arial" w:cs="Arial" w:hAnsi="Arial"/>
          <w:sz w:val="22"/>
        </w:rPr>
        <w:t xml:space="preserve">：预测第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</m:oMath>
      </m:oMathPara>
      <w:r>
        <w:rPr>
          <w:rFonts w:eastAsia="等线" w:ascii="Arial" w:cs="Arial" w:hAnsi="Arial"/>
          <w:sz w:val="22"/>
        </w:rPr>
        <w:t xml:space="preserve"> 天时只允许使用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</m:oMath>
      </m:oMathPara>
      <w:r>
        <w:rPr>
          <w:rFonts w:eastAsia="等线" w:ascii="Arial" w:cs="Arial" w:hAnsi="Arial"/>
          <w:sz w:val="22"/>
        </w:rPr>
        <w:t xml:space="preserve"> 之前的历史数据，严格模拟 “提前一天” 的实际场景；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鲁棒化修正</w:t>
      </w:r>
      <w:r>
        <w:rPr>
          <w:rFonts w:eastAsia="等线" w:ascii="Arial" w:cs="Arial" w:hAnsi="Arial"/>
          <w:sz w:val="22"/>
        </w:rPr>
        <w:t>：由各预测方法自身的历史误差分位数确定逐时段安全余量，对预测值做单边安全修正；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日前优化</w:t>
      </w:r>
      <w:r>
        <w:rPr>
          <w:rFonts w:eastAsia="等线" w:ascii="Arial" w:cs="Arial" w:hAnsi="Arial"/>
          <w:sz w:val="22"/>
        </w:rPr>
        <w:t>：以计划购电成本最小为目标建立线性规划（LP）模型，求各时段购电与充放电功率；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实时模拟</w:t>
      </w:r>
      <w:r>
        <w:rPr>
          <w:rFonts w:eastAsia="等线" w:ascii="Arial" w:cs="Arial" w:hAnsi="Arial"/>
          <w:sz w:val="22"/>
        </w:rPr>
        <w:t>：用实际数据模拟计划执行，统计紧急购电量与总费用，据此评价并优选预测组合与风险参数。</w:t>
        <w:br/>
        <w:t>储能系统跨天连续运行，SOC 逐日传递，全程满足容量与功率约束。</w:t>
        <w:br/>
      </w:r>
      <w:r>
        <w:rPr>
          <w:rFonts w:eastAsia="等线" w:ascii="Arial" w:cs="Arial" w:hAnsi="Arial"/>
          <w:b w:val="true"/>
          <w:sz w:val="22"/>
        </w:rPr>
        <w:t>符号说明</w:t>
      </w:r>
      <w:r>
        <w:rPr>
          <w:rFonts w:eastAsia="等线" w:ascii="Arial" w:cs="Arial" w:hAnsi="Arial"/>
          <w:sz w:val="22"/>
        </w:rPr>
        <w:br/>
        <w:t>| 符号 | 含义 |</w:t>
        <w:br/>
        <w:t>|---|---|</w:t>
        <w:br/>
      </w: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N=144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t=1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m:rPr>
              <m:sty m:val="p"/>
            </m:rPr>
            <w:rPr>
              <w:rFonts w:ascii="Cambria Math" w:hAnsi="Cambria Math"/>
            </w:rPr>
            <m:t>h</m:t>
          </m:r>
        </m:oMath>
      </m:oMathPara>
      <w:r>
        <w:rPr>
          <w:rFonts w:eastAsia="等线" w:ascii="Arial" w:cs="Arial" w:hAnsi="Arial"/>
          <w:sz w:val="22"/>
        </w:rPr>
        <w:t xml:space="preserve"> | 每天时段数（10 min 一段），时段长度 |</w:t>
        <w:br/>
      </w: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| 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时段电价 |</w:t>
        <w:br/>
      </w: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buy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ch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dis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 xml:space="preserve"> | 购电、充电、放电功率（kW） |</w:t>
        <w:br/>
      </w: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| 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 xml:space="preserve"> 时段末电池储能（kWh） |</w:t>
        <w:br/>
      </w: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η=0.9</m:t>
          </m:r>
        </m:oMath>
      </m:oMathPara>
      <w:r>
        <w:rPr>
          <w:rFonts w:eastAsia="等线" w:ascii="Arial" w:cs="Arial" w:hAnsi="Arial"/>
          <w:sz w:val="22"/>
        </w:rPr>
        <w:t xml:space="preserve"> | 充放电效率 |</w:t>
        <w:br/>
      </w: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=1200,</m:t>
          </m:r>
          <m:r>
            <m:rPr>
              <m:nor/>
            </m:rPr>
            <w:rPr>
              <w:rFonts w:ascii="Cambria Math" w:hAnsi="Cambria Math"/>
            </w:rPr>
            <m:t/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=10800</m:t>
          </m:r>
        </m:oMath>
      </m:oMathPara>
      <w:r>
        <w:rPr>
          <w:rFonts w:eastAsia="等线" w:ascii="Arial" w:cs="Arial" w:hAnsi="Arial"/>
          <w:sz w:val="22"/>
        </w:rPr>
        <w:t xml:space="preserve"> | 储能容量下限 / 上限（kWh） |</w:t>
        <w:br/>
      </w: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=5000</m:t>
          </m:r>
        </m:oMath>
      </m:oMathPara>
      <w:r>
        <w:rPr>
          <w:rFonts w:eastAsia="等线" w:ascii="Arial" w:cs="Arial" w:hAnsi="Arial"/>
          <w:sz w:val="22"/>
        </w:rPr>
        <w:t xml:space="preserve"> | 充放电功率上限（kW） |</w:t>
        <w:br/>
      </w: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| 负载、光伏功率（kW） |</w:t>
        <w:br/>
      </w: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| 误差安全分位数（风险参数） |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二、负载与光伏预测方法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对负载和光伏各设计两种预测方法，构成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2×2</m:t>
          </m:r>
        </m:oMath>
      </m:oMathPara>
      <w:r>
        <w:rPr>
          <w:rFonts w:eastAsia="等线" w:ascii="Arial" w:cs="Arial" w:hAnsi="Arial"/>
          <w:sz w:val="22"/>
        </w:rPr>
        <w:t xml:space="preserve"> 共 4 种组合。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负载预测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 A：上周同期法。</w:t>
      </w:r>
      <w:r>
        <w:rPr>
          <w:rFonts w:eastAsia="等线" w:ascii="Arial" w:cs="Arial" w:hAnsi="Arial"/>
          <w:sz w:val="22"/>
        </w:rPr>
        <w:t xml:space="preserve"> 负载具有强周期性（工作日 / 周末模式、日周期），取 7 天前同时段数据作为预测值：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limUpp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(A)</m:t>
              </m:r>
            </m:sup>
          </m:sSubSup>
          <m:r>
            <w:rPr>
              <w:rFonts w:ascii="Cambria Math" w:hAnsi="Cambria Math"/>
            </w:rPr>
            <m:t>(d)=</m:t>
          </m:r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(d−7)</m:t>
          </m:r>
        </m:oMath>
      </m:oMathPara>
      <w:r>
        <w:rPr>
          <w:rFonts w:eastAsia="等线" w:ascii="Arial" w:cs="Arial" w:hAnsi="Arial"/>
          <w:sz w:val="22"/>
        </w:rPr>
        <w:br/>
        <w:t>该法直接继承上一周期的实际水平，能自然捕捉星期类型差异，实现简单。</w:t>
        <w:br/>
      </w:r>
      <w:r>
        <w:rPr>
          <w:rFonts w:eastAsia="等线" w:ascii="Arial" w:cs="Arial" w:hAnsi="Arial"/>
          <w:b w:val="true"/>
          <w:sz w:val="22"/>
        </w:rPr>
        <w:t>方法 B：同季度同星期均值法。</w:t>
      </w:r>
      <w:r>
        <w:rPr>
          <w:rFonts w:eastAsia="等线" w:ascii="Arial" w:cs="Arial" w:hAnsi="Arial"/>
          <w:sz w:val="22"/>
        </w:rPr>
        <w:t xml:space="preserve"> 同季节、同星期类型的负荷形态相近，取所有满足条件的历史日均值：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limUpp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(B)</m:t>
              </m:r>
            </m:sup>
          </m:sSubSup>
          <m:r>
            <w:rPr>
              <w:rFonts w:ascii="Cambria Math" w:hAnsi="Cambria Math"/>
            </w:rPr>
            <m:t>(d)=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|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|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k∈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M</m:t>
              </m:r>
            </m:sub>
            <m:sup/>
            <m:e/>
          </m:nary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(k),</m:t>
          </m:r>
          <m:r>
            <m:rPr>
              <m:scr m:val="script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k&lt;d:</m:t>
          </m:r>
          <m:r>
            <m:rPr>
              <m:nor/>
            </m:rPr>
            <w:rPr>
              <w:rFonts w:ascii="Cambria Math" w:hAnsi="Cambria Math"/>
            </w:rPr>
            <m:t>season</m:t>
          </m:r>
          <m:r>
            <w:rPr>
              <w:rFonts w:ascii="Cambria Math" w:hAnsi="Cambria Math"/>
            </w:rPr>
            <m:t>(k)=</m:t>
          </m:r>
          <m:r>
            <m:rPr>
              <m:nor/>
            </m:rPr>
            <w:rPr>
              <w:rFonts w:ascii="Cambria Math" w:hAnsi="Cambria Math"/>
            </w:rPr>
            <m:t>season</m:t>
          </m:r>
          <m:r>
            <w:rPr>
              <w:rFonts w:ascii="Cambria Math" w:hAnsi="Cambria Math"/>
            </w:rPr>
            <m:t>(d),</m:t>
          </m:r>
          <m:r>
            <m:rPr>
              <m:nor/>
            </m:rPr>
            <w:rPr>
              <w:rFonts w:ascii="Cambria Math" w:hAnsi="Cambria Math"/>
            </w:rPr>
            <m:t>weekday</m:t>
          </m:r>
          <m:r>
            <w:rPr>
              <w:rFonts w:ascii="Cambria Math" w:hAnsi="Cambria Math"/>
            </w:rPr>
            <m:t>(k)=</m:t>
          </m:r>
          <m:r>
            <m:rPr>
              <m:nor/>
            </m:rPr>
            <w:rPr>
              <w:rFonts w:ascii="Cambria Math" w:hAnsi="Cambria Math"/>
            </w:rPr>
            <m:t>weekday</m:t>
          </m:r>
          <m:r>
            <w:rPr>
              <w:rFonts w:ascii="Cambria Math" w:hAnsi="Cambria Math"/>
            </w:rPr>
            <m:t>(d)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其中季节按春季（3–5 月）、夏季（6–8 月）、秋季（9–11 月）、冬季（12–2 月）划分。多日平均抑制了单日随机波动，且集合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script"/>
            </m:rP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仅含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</m:oMath>
      </m:oMathPara>
      <w:r>
        <w:rPr>
          <w:rFonts w:eastAsia="等线" w:ascii="Arial" w:cs="Arial" w:hAnsi="Arial"/>
          <w:sz w:val="22"/>
        </w:rPr>
        <w:t xml:space="preserve"> 之前的日期，满足因果性。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光伏预测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 A：前日同期法。</w:t>
      </w:r>
      <w:r>
        <w:rPr>
          <w:rFonts w:eastAsia="等线" w:ascii="Arial" w:cs="Arial" w:hAnsi="Arial"/>
          <w:sz w:val="22"/>
        </w:rPr>
        <w:t xml:space="preserve"> 相邻两日天气具有持续性：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limUpp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(A)</m:t>
              </m:r>
            </m:sup>
          </m:sSubSup>
          <m:r>
            <w:rPr>
              <w:rFonts w:ascii="Cambria Math" w:hAnsi="Cambria Math"/>
            </w:rPr>
            <m:t>(d)=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(d−1)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方法 B：近 7 天加权平均法。</w:t>
      </w:r>
      <w:r>
        <w:rPr>
          <w:rFonts w:eastAsia="等线" w:ascii="Arial" w:cs="Arial" w:hAnsi="Arial"/>
          <w:sz w:val="22"/>
        </w:rPr>
        <w:t xml:space="preserve"> 按 “越近权重越大” 原则对近 7 天同时段数据加权：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limUpp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(B)</m:t>
              </m:r>
            </m:sup>
          </m:sSubSup>
          <m:r>
            <w:rPr>
              <w:rFonts w:ascii="Cambria Math" w:hAnsi="Cambria Math"/>
            </w:rPr>
            <m:t>(d)=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m=1</m:t>
                  </m:r>
                </m:sub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  <m:e/>
              </m:nary>
              <m:sSub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(d−m)</m:t>
              </m:r>
            </m:num>
            <m:den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m=1</m:t>
                  </m:r>
                </m:sub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  <m:e/>
              </m:nary>
              <m:sSub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0.30,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0.25,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0.20,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0.15,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0.07,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0.02,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0.01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夜间（无光照时段）预测值强制置零。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预测误差的因果估计与鲁棒化修正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计划购电费为 1 倍电价，紧急购电费为 5 倍电价，因此计划应对 “光伏高估、负载低估” 两类不利偏差留出缓冲。对历史中每个日期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k&lt;d</m:t>
          </m:r>
        </m:oMath>
      </m:oMathPara>
      <w:r>
        <w:rPr>
          <w:rFonts w:eastAsia="等线" w:ascii="Arial" w:cs="Arial" w:hAnsi="Arial"/>
          <w:sz w:val="22"/>
        </w:rPr>
        <w:t xml:space="preserve">，用与预测日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</m:oMath>
      </m:oMathPara>
      <w:r>
        <w:rPr>
          <w:rFonts w:eastAsia="等线" w:ascii="Arial" w:cs="Arial" w:hAnsi="Arial"/>
          <w:sz w:val="22"/>
        </w:rPr>
        <w:t xml:space="preserve"> 完全相同的方法计算 “历史预测值”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(k)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(k)</m:t>
          </m:r>
        </m:oMath>
      </m:oMathPara>
      <w:r>
        <w:rPr>
          <w:rFonts w:eastAsia="等线" w:ascii="Arial" w:cs="Arial" w:hAnsi="Arial"/>
          <w:sz w:val="22"/>
        </w:rPr>
        <w:t>，与实际值比较，得到各时段的</w:t>
      </w:r>
      <w:r>
        <w:rPr>
          <w:rFonts w:eastAsia="等线" w:ascii="Arial" w:cs="Arial" w:hAnsi="Arial"/>
          <w:b w:val="true"/>
          <w:sz w:val="22"/>
        </w:rPr>
        <w:t>单边误差序列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pv</m:t>
              </m:r>
            </m:sup>
          </m:sSubSup>
          <m:r>
            <w:rPr>
              <w:rFonts w:ascii="Cambria Math" w:hAnsi="Cambria Math"/>
            </w:rPr>
            <m:t>(k)=max</m:t>
          </m:r>
          <m:r>
            <w:rPr>
              <w:rFonts w:ascii="Cambria Math" w:hAnsi="Cambria Math"/>
            </w:rPr>
            <m:t>(</m:t>
          </m:r>
          <m:sSub>
            <m:e>
              <m:limUpp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(k)−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(k),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ld</m:t>
              </m:r>
            </m:sup>
          </m:sSubSup>
          <m:r>
            <w:rPr>
              <w:rFonts w:ascii="Cambria Math" w:hAnsi="Cambria Math"/>
            </w:rPr>
            <m:t>(k)=max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(k)−</m:t>
          </m:r>
          <m:sSub>
            <m:e>
              <m:limUpp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(k),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取其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分位数作为逐时段安全余量：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pv</m:t>
              </m:r>
            </m:sup>
          </m:sSubSup>
          <m:r>
            <w:rPr>
              <w:rFonts w:ascii="Cambria Math" w:hAnsi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Quantile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sSubSup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/>
                    </w:rPr>
                    <m:t>pv</m:t>
                  </m:r>
                </m:sup>
              </m:sSubSup>
              <m:r>
                <w:rPr>
                  <w:rFonts w:ascii="Cambria Math" w:hAnsi="Cambria Math"/>
                </w:rPr>
                <m:t>(k)</m:t>
              </m:r>
            </m:e>
            <m:sub>
              <m:r>
                <w:rPr>
                  <w:rFonts w:ascii="Cambria Math" w:hAnsi="Cambria Math"/>
                </w:rPr>
                <m:t>k&lt;d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,</m:t>
          </m:r>
          <m:sSubSup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ld</m:t>
              </m:r>
            </m:sup>
          </m:sSubSup>
          <m:r>
            <w:rPr>
              <w:rFonts w:ascii="Cambria Math" w:hAnsi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Quantile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sSubSup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/>
                    </w:rPr>
                    <m:t>ld</m:t>
                  </m:r>
                </m:sup>
              </m:sSubSup>
              <m:r>
                <w:rPr>
                  <w:rFonts w:ascii="Cambria Math" w:hAnsi="Cambria Math"/>
                </w:rPr>
                <m:t>(k)</m:t>
              </m:r>
            </m:e>
            <m:sub>
              <m:r>
                <w:rPr>
                  <w:rFonts w:ascii="Cambria Math" w:hAnsi="Cambria Math"/>
                </w:rPr>
                <m:t>k&lt;d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br/>
        <w:t>计划采用修正后的预测值：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plan</m:t>
              </m:r>
            </m:sup>
          </m:sSubSup>
          <m:r>
            <w:rPr>
              <w:rFonts w:ascii="Cambria Math" w:hAnsi="Cambria Math"/>
            </w:rPr>
            <m:t>=</m:t>
          </m:r>
          <m:sSub>
            <m:e>
              <m:limUpp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Sup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ld</m:t>
              </m:r>
            </m:sup>
          </m:sSubSup>
          <m: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负载上浮</m:t>
          </m:r>
          <m:r>
            <w:rPr>
              <w:rFonts w:ascii="Cambria Math" w:hAnsi="Cambria Math"/>
            </w:rPr>
            <m:t>)，</m:t>
          </m:r>
          <m:sSubSup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plan</m:t>
              </m:r>
            </m:sup>
          </m:sSubSup>
          <m:r>
            <w:rPr>
              <w:rFonts w:ascii="Cambria Math" w:hAnsi="Cambria Math"/>
            </w:rPr>
            <m:t>=max</m:t>
          </m:r>
          <m:r>
            <w:rPr>
              <w:rFonts w:ascii="Cambria Math" w:hAnsi="Cambria Math"/>
            </w:rPr>
            <m:t>(</m:t>
          </m:r>
          <m:sSub>
            <m:e>
              <m:limUpp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−</m:t>
          </m:r>
          <m:sSubSup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pv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光伏折减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该修正以数据驱动方式保证：约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比例的历史情形下，计划已覆盖实际偏差。由于回测只用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</m:oMath>
      </m:oMathPara>
      <w:r>
        <w:rPr>
          <w:rFonts w:eastAsia="等线" w:ascii="Arial" w:cs="Arial" w:hAnsi="Arial"/>
          <w:sz w:val="22"/>
        </w:rPr>
        <w:t xml:space="preserve"> 之前的数据，余量估计同样满足因果性。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三、日前购电计划优化模型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决策变量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buy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ch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dis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cur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t=1,…,N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cur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 xml:space="preserve"> 为弃光功率（松弛变量），变量总数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5N=720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目标函数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min</m:t>
          </m:r>
          <m:r>
            <m:rPr>
              <m:nor/>
            </m:rPr>
            <w:rPr>
              <w:rFonts w:ascii="Cambria Math" w:hAnsi="Cambria Math"/>
            </w:rPr>
            <m:t/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plan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buy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约束条件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（1）功率平衡约束</w:t>
      </w:r>
      <w:r>
        <w:rPr>
          <w:rFonts w:eastAsia="等线" w:ascii="Arial" w:cs="Arial" w:hAnsi="Arial"/>
          <w:sz w:val="22"/>
        </w:rPr>
        <w:t>（光伏优先消纳）：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buy</m:t>
              </m:r>
            </m:sup>
          </m:sSubSup>
          <m:r>
            <w:rPr>
              <w:rFonts w:ascii="Cambria Math" w:hAnsi="Cambria Math"/>
            </w:rPr>
            <m:t>−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ch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dis</m:t>
              </m:r>
            </m:sup>
          </m:sSubSup>
          <m:r>
            <w:rPr>
              <w:rFonts w:ascii="Cambria Math" w:hAnsi="Cambria Math"/>
            </w:rPr>
            <m:t>−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cur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plan</m:t>
              </m:r>
            </m:sup>
          </m:sSubSup>
          <m:r>
            <w:rPr>
              <w:rFonts w:ascii="Cambria Math" w:hAnsi="Cambria Math"/>
            </w:rPr>
            <m:t>−</m:t>
          </m:r>
          <m:sSubSup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plan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t=1,…,N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（2）SOC 动态方程</w:t>
      </w:r>
      <w:r>
        <w:rPr>
          <w:rFonts w:eastAsia="等线" w:ascii="Arial" w:cs="Arial" w:hAnsi="Arial"/>
          <w:sz w:val="22"/>
        </w:rPr>
        <w:t>（充电按效率折入，放电按效率折出）：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t−1</m:t>
              </m:r>
            </m:sub>
          </m:sSub>
          <m:r>
            <w:rPr>
              <w:rFonts w:ascii="Cambria Math" w:hAnsi="Cambria Math"/>
            </w:rPr>
            <m:t>+η,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ch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t−</m:t>
          </m:r>
          <m:f>
            <m:fPr>
              <m:type m:val="bar"/>
            </m:fPr>
            <m:num>
              <m:sSubSup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m:rPr>
                      <m:nor/>
                    </m:rPr>
                    <w:rPr>
                      <w:rFonts w:ascii="Cambria Math" w:hAnsi="Cambria Math"/>
                    </w:rPr>
                    <m:t>dis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η</m:t>
              </m:r>
            </m:den>
          </m:f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init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init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取前一天</w:t>
      </w:r>
      <w:r>
        <w:rPr>
          <w:rFonts w:eastAsia="等线" w:ascii="Arial" w:cs="Arial" w:hAnsi="Arial"/>
          <w:b w:val="true"/>
          <w:sz w:val="22"/>
        </w:rPr>
        <w:t>实际模拟结束</w:t>
      </w:r>
      <w:r>
        <w:rPr>
          <w:rFonts w:eastAsia="等线" w:ascii="Arial" w:cs="Arial" w:hAnsi="Arial"/>
          <w:sz w:val="22"/>
        </w:rPr>
        <w:t>时的电量，实现跨天连续。</w:t>
        <w:br/>
      </w:r>
      <w:r>
        <w:rPr>
          <w:rFonts w:eastAsia="等线" w:ascii="Arial" w:cs="Arial" w:hAnsi="Arial"/>
          <w:b w:val="true"/>
          <w:sz w:val="22"/>
        </w:rPr>
        <w:t>（3）容量与功率约束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0≤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ch</m:t>
              </m:r>
            </m:sup>
          </m:sSubSup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0≤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dis</m:t>
              </m:r>
            </m:sup>
          </m:sSubSup>
          <m:r>
            <w:rPr>
              <w:rFonts w:ascii="Cambria Math" w:hAnsi="Cambria Math"/>
            </w:rPr>
            <m:t>≤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（4）日末电量恢复约束</w:t>
      </w:r>
      <w:r>
        <w:rPr>
          <w:rFonts w:eastAsia="等线" w:ascii="Arial" w:cs="Arial" w:hAnsi="Arial"/>
          <w:sz w:val="22"/>
        </w:rPr>
        <w:t>：为使电池每日保有约 4800 kWh 的应急缓冲（避免 LP 逐日榨干电池、夜间无电可放），要求：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≥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start</m:t>
              </m:r>
            </m:sub>
          </m:sSub>
          <m:r>
            <w:rPr>
              <w:rFonts w:ascii="Cambria Math" w:hAnsi="Cambria Math"/>
            </w:rPr>
            <m:t>=6000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m:rPr>
              <m:sty m:val="p"/>
            </m:rPr>
            <w:rPr>
              <w:rFonts w:ascii="Cambria Math" w:hAnsi="Cambria Math"/>
            </w:rPr>
            <m:t>kWh</m:t>
          </m:r>
        </m:oMath>
      </m:oMathPara>
      <w:r>
        <w:rPr>
          <w:rFonts w:eastAsia="等线" w:ascii="Arial" w:cs="Arial" w:hAnsi="Arial"/>
          <w:sz w:val="22"/>
        </w:rPr>
        <w:br/>
        <w:t>最后一天不施加该约束，允许自由用尽。验证表明该约束下每天 00:00 电量与前一天 24:00 严格衔接，且日末电量恰好回到 6000 kWh。</w:t>
        <w:br/>
      </w:r>
      <w:r>
        <w:rPr>
          <w:rFonts w:eastAsia="等线" w:ascii="Arial" w:cs="Arial" w:hAnsi="Arial"/>
          <w:sz w:val="22"/>
        </w:rPr>
        <w:t xml:space="preserve">该模型为标准稀疏线性规划，调用 </w:t>
      </w:r>
      <w:r>
        <w:rPr>
          <w:rFonts w:eastAsia="Consolas" w:ascii="Consolas" w:cs="Consolas" w:hAnsi="Consolas"/>
          <w:sz w:val="22"/>
          <w:shd w:fill="EFF0F1"/>
        </w:rPr>
        <w:t>linprog</w:t>
      </w:r>
      <w:r>
        <w:rPr>
          <w:rFonts w:eastAsia="等线" w:ascii="Arial" w:cs="Arial" w:hAnsi="Arial"/>
          <w:sz w:val="22"/>
        </w:rPr>
        <w:t xml:space="preserve"> 全局求解，单日求解在秒级完成。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四、实时运行模拟与费用统计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日前计划确定后，用</w:t>
      </w:r>
      <w:r>
        <w:rPr>
          <w:rFonts w:eastAsia="等线" w:ascii="Arial" w:cs="Arial" w:hAnsi="Arial"/>
          <w:b w:val="true"/>
          <w:sz w:val="22"/>
        </w:rPr>
        <w:t>实际</w:t>
      </w:r>
      <w:r>
        <w:rPr>
          <w:rFonts w:eastAsia="等线" w:ascii="Arial" w:cs="Arial" w:hAnsi="Arial"/>
          <w:sz w:val="22"/>
        </w:rPr>
        <w:t xml:space="preserve">负载与光伏数据逐时段模拟执行。记实际可用电力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Sup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act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buy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 xml:space="preserve">，实际负荷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Sup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act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盈余情形</w:t>
      </w: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≥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）：盈余电力充电，受功率与剩余容量限制：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ch</m:t>
              </m:r>
            </m:sup>
          </m:sSubSup>
          <m:r>
            <w:rPr>
              <w:rFonts w:ascii="Cambria Math" w:hAnsi="Cambria Math"/>
            </w:rPr>
            <m:t>=min</m:t>
          </m:r>
          <m:d>
            <m:e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sSub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/>
              </m:r>
              <m:sSub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/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t−1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η,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d>
        </m:oMath>
      </m:oMathPara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缺口情形</w:t>
      </w: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&lt;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）：取消充电、储能放电，仍不足部分为紧急购电：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dis</m:t>
              </m:r>
            </m:sup>
          </m:sSubSup>
          <m:r>
            <w:rPr>
              <w:rFonts w:ascii="Cambria Math" w:hAnsi="Cambria Math"/>
            </w:rPr>
            <m:t>=min</m:t>
          </m:r>
          <m:d>
            <m:e>
              <m:sSub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/>
              </m:r>
              <m:sSub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/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η,(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t−1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d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emg</m:t>
              </m:r>
            </m:sup>
          </m:sSubSup>
          <m:r>
            <w:rPr>
              <w:rFonts w:ascii="Cambria Math" w:hAnsi="Cambria Math"/>
            </w:rPr>
            <m:t>=max</m:t>
          </m:r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−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dis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br/>
        <w:t>费用：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plan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/>
            <m:e/>
          </m:nary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buy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emg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/>
            <m:e/>
          </m:nary>
          <m:r>
            <w:rPr>
              <w:rFonts w:ascii="Cambria Math" w:hAnsi="Cambria Math"/>
            </w:rPr>
            <m:t>5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emg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plan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emg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日末实际电量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</w:rPr>
                <m:t>act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 xml:space="preserve"> 传递给次日作为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init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，保证全期 SOC 链条连续。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五、结果与讨论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5.1 四种预测组合比较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对每种组合独立执行 “预测→鲁棒化→日前 LP→实时模拟” 全流程，比较 11 个月总费用：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负载预测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光伏预测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A（上周同期）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A（前日同期）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 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A（上周同期）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B（近 7 天加权）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 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B（同季度同星期）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A（前日同期）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 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B（同季度同星期）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B（近 7 天加权）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（此处填入四组合的计划费 / 紧急费 / 总费对比表与最优组合结论。）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 xml:space="preserve">5.2 风险参数 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b w:val="true"/>
          <w:sz w:val="30"/>
        </w:rPr>
        <w:t xml:space="preserve"> 的敏感性分析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安全分位数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反映计划制定者对预测误差的风险态度：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越大，鲁棒化余量越大，计划购电成本越高，但紧急购电风险越低。由于紧急电价为正常电价的 5 倍，理论上存在最优的风险 — 成本平衡点。</w:t>
        <w:br/>
      </w:r>
      <w:r>
        <w:rPr>
          <w:rFonts w:eastAsia="等线" w:ascii="Arial" w:cs="Arial" w:hAnsi="Arial"/>
          <w:sz w:val="22"/>
        </w:rPr>
        <w:t xml:space="preserve">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q∈</m:t>
          </m:r>
          <m:r>
            <w:rPr>
              <w:rFonts w:ascii="Cambria Math" w:hAnsi="Cambria Math"/>
            </w:rPr>
            <m:t>0.6,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0.7,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0.85,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0.95</m:t>
          </m:r>
        </m:oMath>
      </m:oMathPara>
      <w:r>
        <w:rPr>
          <w:rFonts w:eastAsia="等线" w:ascii="Arial" w:cs="Arial" w:hAnsi="Arial"/>
          <w:sz w:val="22"/>
        </w:rPr>
        <w:t xml:space="preserve"> 进行敏感性实验（最优组合）：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计划费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plan</m:t>
                    </m:r>
                  </m:sub>
                </m:sSub>
              </m:oMath>
            </m:oMathPara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紧急费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emg</m:t>
                    </m:r>
                  </m:sub>
                </m:sSub>
              </m:oMath>
            </m:oMathPara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总费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total</m:t>
                    </m:r>
                  </m:sub>
                </m:sSub>
              </m:oMath>
            </m:oMathPara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紧急费占比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（填入）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（填入）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（填入）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（填入）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（填入）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最低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（填入）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（填入）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（填入）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（填入）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（填入）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（填入）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结果分析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q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从 0.95 降至 0.70 时，过大的安全余量对充电空间的挤占效应减弱，谷充峰放套利更充分，计划费的节省超过了紧急费的增加，总成本持续下降；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q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继续降至 0.60 后，误差覆盖不足导致紧急购电明显增多，总成本回升。故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q=0.70</m:t>
                </m:r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 为最优风险参数。这一现象与预测误差分布右偏长尾的特性相符，且日末 4800 kWh 储备约束已为常规波动提供了较强缓冲，紧急购电仅发生在 “偏差超出余量且超出电池缓冲” 的双重极端情形。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5.3 计划执行的验证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对最优方案的输出进行核算：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SOC 连续性</w:t>
      </w:r>
      <w:r>
        <w:rPr>
          <w:rFonts w:eastAsia="等线" w:ascii="Arial" w:cs="Arial" w:hAnsi="Arial"/>
          <w:sz w:val="22"/>
        </w:rPr>
        <w:t>：每天 00:00 电量严格等于前一天 24:00 电量，全期无断裂；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约束满足</w:t>
      </w:r>
      <w:r>
        <w:rPr>
          <w:rFonts w:eastAsia="等线" w:ascii="Arial" w:cs="Arial" w:hAnsi="Arial"/>
          <w:sz w:val="22"/>
        </w:rPr>
        <w:t xml:space="preserve">：SOC 全程位于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[1200,10800]</m:t>
          </m:r>
        </m:oMath>
      </m:oMathPara>
      <w:r>
        <w:rPr>
          <w:rFonts w:eastAsia="等线" w:ascii="Arial" w:cs="Arial" w:hAnsi="Arial"/>
          <w:sz w:val="22"/>
        </w:rPr>
        <w:t>，充放电功率不超过 5000 kW；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套利行为</w:t>
      </w:r>
      <w:r>
        <w:rPr>
          <w:rFonts w:eastAsia="等线" w:ascii="Arial" w:cs="Arial" w:hAnsi="Arial"/>
          <w:sz w:val="22"/>
        </w:rPr>
        <w:t>：午间光伏 / 低谷时段将电池充至上限 10800 kWh，晚高峰放电、日末恢复至 6000 kWh，符合 “低充高放” 的经济直觉；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紧急购电</w:t>
      </w:r>
      <w:r>
        <w:rPr>
          <w:rFonts w:eastAsia="等线" w:ascii="Arial" w:cs="Arial" w:hAnsi="Arial"/>
          <w:sz w:val="22"/>
        </w:rPr>
        <w:t>：仅零星分布于极端天气日（如夏季傍晚实际光伏骤降、节假日负荷激增），其余日期无紧急购电，说明鲁棒化余量与日末储备共同将不可控风险压缩至接近下限。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六、算法流程总结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输入：电价、历史负载、历史光伏</w:t>
              <w:br/>
              <w:t>for 组合 c = 1..4:</w:t>
              <w:br/>
              <w:t xml:space="preserve">    SOC ← 6000</w:t>
              <w:br/>
              <w:t xml:space="preserve">    for 每个预测日 d:</w:t>
              <w:br/>
              <w:t xml:space="preserve">        1. 因果预测      ÊL, Ĝ （只用 d 之前数据）</w:t>
              <w:br/>
              <w:t xml:space="preserve">        2. 因果误差回测   → 安全余量 Δ^pv, Δ^ld （q 分位数）</w:t>
              <w:br/>
              <w:t xml:space="preserve">        3. 鲁棒化修正     L^plan = ÊL + Δ^ld ;  G^plan = max(Ĝ − Δ^pv, 0)</w:t>
              <w:br/>
              <w:t xml:space="preserve">        4. 求解日前 LP    → P^buy, P^ch, P^dis （日末电量 ≥ 6000，末日除外）</w:t>
              <w:br/>
              <w:t xml:space="preserve">        5. 实际数据模拟    → 紧急购电、实际日末 SOC</w:t>
              <w:br/>
              <w:t xml:space="preserve">        6. SOC ← 实际日末 SOC</w:t>
              <w:br/>
              <w:t xml:space="preserve">    统计该组合总费用</w:t>
              <w:br/>
            </w:r>
            <w:r>
              <w:rPr>
                <w:rFonts w:eastAsia="Consolas" w:ascii="Consolas" w:cs="Consolas" w:hAnsi="Consolas"/>
                <w:sz w:val="22"/>
              </w:rPr>
              <w:t>输出：总费用最小的组合（及最优 q），计划购电表、充放电表、紧急购电表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七、模型特点</w:t>
      </w:r>
      <w:bookmarkEnd w:id="1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严格因果性</w:t>
      </w:r>
      <w:r>
        <w:rPr>
          <w:rFonts w:eastAsia="等线" w:ascii="Arial" w:cs="Arial" w:hAnsi="Arial"/>
          <w:sz w:val="22"/>
        </w:rPr>
        <w:t>：预测与误差估计均只用当日之前的数据，符合 “提前一天制定计划” 的实际场景；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数据驱动的鲁棒化</w:t>
      </w:r>
      <w:r>
        <w:rPr>
          <w:rFonts w:eastAsia="等线" w:ascii="Arial" w:cs="Arial" w:hAnsi="Arial"/>
          <w:sz w:val="22"/>
        </w:rPr>
        <w:t>：安全余量由各预测方法自身的历史误差分位数决定，误差大的方法自动获得更大缓冲，实现 “预测精度 — 购电策略” 联动；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日末储备约束</w:t>
      </w:r>
      <w:r>
        <w:rPr>
          <w:rFonts w:eastAsia="等线" w:ascii="Arial" w:cs="Arial" w:hAnsi="Arial"/>
          <w:sz w:val="22"/>
        </w:rPr>
        <w:t>：以少量计划成本换取稳定的应急缓冲，显著削减夜间紧急购电；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全局最优与可扩展性</w:t>
      </w:r>
      <w:r>
        <w:rPr>
          <w:rFonts w:eastAsia="等线" w:ascii="Arial" w:cs="Arial" w:hAnsi="Arial"/>
          <w:sz w:val="22"/>
        </w:rPr>
        <w:t xml:space="preserve">：LP 模型保证每日计划全局最优，稀疏约束下全年多组合求解在分钟级完成；风险参数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可调，便于灵敏度分析与管理决策。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使用提示</w:t>
      </w:r>
      <w:r>
        <w:rPr>
          <w:rFonts w:eastAsia="等线" w:ascii="Arial" w:cs="Arial" w:hAnsi="Arial"/>
          <w:sz w:val="22"/>
        </w:rPr>
        <w:t xml:space="preserve">：文中 “（填入）” 处需要你把实际跑出的数值填进去；5.2 的表格配合一条 “总费用 vs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>” 的折线图效果最佳；如果需要，我还可以帮你把 5.1 四组合的对比表格式或图表脚本也写出来。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这个建模内容比较复杂，工作任务模式可以更好地处理代码编写、公式校验与结果整理，要不要用它继续？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6221">
    <w:lvl>
      <w:start w:val="1"/>
      <w:numFmt w:val="decimal"/>
      <w:suff w:val="tab"/>
      <w:lvlText w:val="%1."/>
      <w:rPr>
        <w:color w:val="3370ff"/>
      </w:rPr>
    </w:lvl>
  </w:abstractNum>
  <w:abstractNum w:abstractNumId="86222">
    <w:lvl>
      <w:start w:val="2"/>
      <w:numFmt w:val="decimal"/>
      <w:suff w:val="tab"/>
      <w:lvlText w:val="%1."/>
      <w:rPr>
        <w:color w:val="3370ff"/>
      </w:rPr>
    </w:lvl>
  </w:abstractNum>
  <w:abstractNum w:abstractNumId="86223">
    <w:lvl>
      <w:start w:val="3"/>
      <w:numFmt w:val="decimal"/>
      <w:suff w:val="tab"/>
      <w:lvlText w:val="%1."/>
      <w:rPr>
        <w:color w:val="3370ff"/>
      </w:rPr>
    </w:lvl>
  </w:abstractNum>
  <w:abstractNum w:abstractNumId="86224">
    <w:lvl>
      <w:start w:val="4"/>
      <w:numFmt w:val="decimal"/>
      <w:suff w:val="tab"/>
      <w:lvlText w:val="%1."/>
      <w:rPr>
        <w:color w:val="3370ff"/>
      </w:rPr>
    </w:lvl>
  </w:abstractNum>
  <w:abstractNum w:abstractNumId="86225">
    <w:lvl>
      <w:numFmt w:val="bullet"/>
      <w:suff w:val="tab"/>
      <w:lvlText w:val="•"/>
      <w:rPr>
        <w:color w:val="3370ff"/>
      </w:rPr>
    </w:lvl>
  </w:abstractNum>
  <w:abstractNum w:abstractNumId="86226">
    <w:lvl>
      <w:numFmt w:val="bullet"/>
      <w:suff w:val="tab"/>
      <w:lvlText w:val="•"/>
      <w:rPr>
        <w:color w:val="3370ff"/>
      </w:rPr>
    </w:lvl>
  </w:abstractNum>
  <w:abstractNum w:abstractNumId="86227">
    <w:lvl>
      <w:numFmt w:val="bullet"/>
      <w:suff w:val="tab"/>
      <w:lvlText w:val="•"/>
      <w:rPr>
        <w:color w:val="3370ff"/>
      </w:rPr>
    </w:lvl>
  </w:abstractNum>
  <w:abstractNum w:abstractNumId="86228">
    <w:lvl>
      <w:numFmt w:val="bullet"/>
      <w:suff w:val="tab"/>
      <w:lvlText w:val="•"/>
      <w:rPr>
        <w:color w:val="3370ff"/>
      </w:rPr>
    </w:lvl>
  </w:abstractNum>
  <w:abstractNum w:abstractNumId="86229">
    <w:lvl>
      <w:numFmt w:val="bullet"/>
      <w:suff w:val="tab"/>
      <w:lvlText w:val="•"/>
      <w:rPr>
        <w:color w:val="3370ff"/>
      </w:rPr>
    </w:lvl>
  </w:abstractNum>
  <w:abstractNum w:abstractNumId="86230">
    <w:lvl>
      <w:numFmt w:val="bullet"/>
      <w:suff w:val="tab"/>
      <w:lvlText w:val="•"/>
      <w:rPr>
        <w:color w:val="3370ff"/>
      </w:rPr>
    </w:lvl>
  </w:abstractNum>
  <w:abstractNum w:abstractNumId="86231">
    <w:lvl>
      <w:start w:val="1"/>
      <w:numFmt w:val="decimal"/>
      <w:suff w:val="tab"/>
      <w:lvlText w:val="%1."/>
      <w:rPr>
        <w:color w:val="3370ff"/>
      </w:rPr>
    </w:lvl>
  </w:abstractNum>
  <w:abstractNum w:abstractNumId="86232">
    <w:lvl>
      <w:start w:val="2"/>
      <w:numFmt w:val="decimal"/>
      <w:suff w:val="tab"/>
      <w:lvlText w:val="%1."/>
      <w:rPr>
        <w:color w:val="3370ff"/>
      </w:rPr>
    </w:lvl>
  </w:abstractNum>
  <w:abstractNum w:abstractNumId="86233">
    <w:lvl>
      <w:start w:val="3"/>
      <w:numFmt w:val="decimal"/>
      <w:suff w:val="tab"/>
      <w:lvlText w:val="%1."/>
      <w:rPr>
        <w:color w:val="3370ff"/>
      </w:rPr>
    </w:lvl>
  </w:abstractNum>
  <w:abstractNum w:abstractNumId="86234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86221"/>
  </w:num>
  <w:num w:numId="2">
    <w:abstractNumId w:val="86222"/>
  </w:num>
  <w:num w:numId="3">
    <w:abstractNumId w:val="86223"/>
  </w:num>
  <w:num w:numId="4">
    <w:abstractNumId w:val="86224"/>
  </w:num>
  <w:num w:numId="5">
    <w:abstractNumId w:val="86225"/>
  </w:num>
  <w:num w:numId="6">
    <w:abstractNumId w:val="86226"/>
  </w:num>
  <w:num w:numId="7">
    <w:abstractNumId w:val="86227"/>
  </w:num>
  <w:num w:numId="8">
    <w:abstractNumId w:val="86228"/>
  </w:num>
  <w:num w:numId="9">
    <w:abstractNumId w:val="86229"/>
  </w:num>
  <w:num w:numId="10">
    <w:abstractNumId w:val="86230"/>
  </w:num>
  <w:num w:numId="11">
    <w:abstractNumId w:val="86231"/>
  </w:num>
  <w:num w:numId="12">
    <w:abstractNumId w:val="86232"/>
  </w:num>
  <w:num w:numId="13">
    <w:abstractNumId w:val="86233"/>
  </w:num>
  <w:num w:numId="14">
    <w:abstractNumId w:val="862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2026-09-11T11:12:28Z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{"Label":"1","ContentProducer":"001191110102MACQD9K64010000","ProduceID":"7684233949829254072","ReservedCode1":"","ContentPropagator":"","PropagateID":"","ReservedCode2":""}</vt:lpwstr>
  </property>
</Properties>
</file>