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5.5 问题四：实时波动电价下的购电策略模型</w:t>
      </w:r>
    </w:p>
    <w:p>
      <w:pPr>
        <w:pStyle w:val="2"/>
        <w:spacing w:before="320" w:after="120" w:line="288" w:lineRule="auto"/>
        <w:ind w:left="0"/>
        <w:jc w:val="left"/>
        <w:outlineLvl w:val="1"/>
      </w:pPr>
      <w:bookmarkStart w:name="heading_0" w:id="0"/>
      <w:r>
        <w:rPr>
          <w:rFonts w:eastAsia="等线" w:ascii="Arial" w:cs="Arial" w:hAnsi="Arial"/>
          <w:b w:val="true"/>
          <w:sz w:val="32"/>
        </w:rPr>
        <w:t>5.5.1 问题分析</w:t>
      </w:r>
      <w:bookmarkEnd w:id="0"/>
    </w:p>
    <w:p>
      <w:pPr>
        <w:spacing w:before="120" w:after="120" w:line="288" w:lineRule="auto"/>
        <w:ind w:left="0"/>
        <w:jc w:val="left"/>
      </w:pPr>
      <w:r>
        <w:rPr>
          <w:rFonts w:eastAsia="等线" w:ascii="Arial" w:cs="Arial" w:hAnsi="Arial"/>
          <w:sz w:val="22"/>
        </w:rPr>
        <w:t xml:space="preserve">问题四要求在外网电价实时波动的条件下，重新求解问题二和问题三。与问题二、三相比，模型结构、约束条件、求解流程完全一致，唯一变化是目标函数和费用结算中的电价系数由常数 </w:t>
      </w:r>
      <w:r>
        <w:rPr>
          <w:rFonts w:eastAsia="等线" w:ascii="Arial" w:cs="Arial" w:hAnsi="Arial"/>
          <w:sz w:val="22"/>
        </w:rPr>
      </w:r>
      <m:oMathPara>
        <m:oMathParaPr>
          <m:jc m:val="left"/>
        </m:oMathParaPr>
        <m:oMath xmlns:mml="http://www.w3.org/1998/Math/MathML">
          <m:r>
            <w:rPr>
              <w:rFonts w:ascii="Cambria Math" w:hAnsi="Cambria Math"/>
            </w:rPr>
            <m:t>c</m:t>
          </m:r>
        </m:oMath>
      </m:oMathPara>
      <w:r>
        <w:rPr>
          <w:rFonts w:eastAsia="等线" w:ascii="Arial" w:cs="Arial" w:hAnsi="Arial"/>
          <w:sz w:val="22"/>
        </w:rPr>
        <w:t xml:space="preserve"> 变为实时序列 </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t</m:t>
              </m:r>
            </m:sub>
          </m:sSub>
        </m:oMath>
      </m:oMathPara>
      <w:r>
        <w:rPr>
          <w:rFonts w:eastAsia="等线" w:ascii="Arial" w:cs="Arial" w:hAnsi="Arial"/>
          <w:sz w:val="22"/>
        </w:rPr>
        <w:t>。</w:t>
      </w:r>
    </w:p>
    <w:p>
      <w:pPr>
        <w:spacing w:before="120" w:after="120" w:line="288" w:lineRule="auto"/>
        <w:ind w:left="0"/>
        <w:jc w:val="left"/>
      </w:pPr>
      <w:r>
        <w:rPr>
          <w:rFonts w:eastAsia="等线" w:ascii="Arial" w:cs="Arial" w:hAnsi="Arial"/>
          <w:sz w:val="22"/>
        </w:rPr>
        <w:t>这一变化使优化问题的性质发生根本改变：</w:t>
      </w:r>
    </w:p>
    <w:p>
      <w:pPr>
        <w:numPr>
          <w:numId w:val="1"/>
        </w:numPr>
        <w:spacing w:before="120" w:after="120" w:line="288" w:lineRule="auto"/>
        <w:ind w:left="0"/>
        <w:jc w:val="left"/>
      </w:pPr>
      <w:r>
        <w:rPr>
          <w:rFonts w:eastAsia="等线" w:ascii="Arial" w:cs="Arial" w:hAnsi="Arial"/>
          <w:b w:val="true"/>
          <w:sz w:val="22"/>
        </w:rPr>
        <w:t>固定电价下</w:t>
      </w:r>
      <w:r>
        <w:rPr>
          <w:rFonts w:eastAsia="等线" w:ascii="Arial" w:cs="Arial" w:hAnsi="Arial"/>
          <w:sz w:val="22"/>
        </w:rPr>
        <w:t xml:space="preserve">，目标函数 </w:t>
      </w:r>
      <w:r>
        <w:rPr>
          <w:rFonts w:eastAsia="等线" w:ascii="Arial" w:cs="Arial" w:hAnsi="Arial"/>
          <w:sz w:val="22"/>
        </w:rPr>
      </w:r>
      <m:oMathPara>
        <m:oMathParaPr>
          <m:jc m:val="left"/>
        </m:oMathParaPr>
        <m:oMath xmlns:mml="http://www.w3.org/1998/Math/MathML">
          <m:r>
            <w:rPr>
              <w:rFonts w:ascii="Cambria Math" w:hAnsi="Cambria Math"/>
            </w:rPr>
            <m:t>min</m:t>
          </m:r>
          <m:nary>
            <m:naryPr>
              <m:chr m:val="∑"/>
              <m:limLoc m:val="undOvr"/>
              <m:grow m:val="1"/>
              <m:subHide m:val="off"/>
              <m:supHide m:val="on"/>
            </m:naryPr>
            <m:sub>
              <m:r>
                <w:rPr>
                  <w:rFonts w:ascii="Cambria Math" w:hAnsi="Cambria Math"/>
                </w:rPr>
                <m:t>t</m:t>
              </m:r>
            </m:sub>
            <m:sup/>
            <m:e/>
          </m:nary>
          <m:r>
            <w:rPr>
              <w:rFonts w:ascii="Cambria Math" w:hAnsi="Cambria Math"/>
            </w:rPr>
            <m:t>c⋅</m:t>
          </m:r>
          <m:sSubSup>
            <m:e>
              <m:r>
                <w:rPr>
                  <w:rFonts w:ascii="Cambria Math" w:hAnsi="Cambria Math"/>
                </w:rPr>
                <m:t>P</m:t>
              </m:r>
            </m:e>
            <m:sub>
              <m:r>
                <w:rPr>
                  <w:rFonts w:ascii="Cambria Math" w:hAnsi="Cambria Math"/>
                </w:rPr>
                <m:t>t</m:t>
              </m:r>
            </m:sub>
            <m:sup>
              <m:r>
                <w:rPr>
                  <w:rFonts w:ascii="Cambria Math" w:hAnsi="Cambria Math"/>
                </w:rPr>
                <m:t>buy</m:t>
              </m:r>
            </m:sup>
          </m:sSubSup>
          <m:r>
            <m:rPr>
              <m:sty m:val="p"/>
            </m:rPr>
            <w:rPr>
              <w:rFonts w:ascii="Cambria Math" w:hAnsi="Cambria Math"/>
            </w:rPr>
            <m:t>Δ</m:t>
          </m:r>
          <m:r>
            <w:rPr>
              <w:rFonts w:ascii="Cambria Math" w:hAnsi="Cambria Math"/>
            </w:rPr>
            <m:t>t</m:t>
          </m:r>
        </m:oMath>
      </m:oMathPara>
      <w:r>
        <w:rPr>
          <w:rFonts w:eastAsia="等线" w:ascii="Arial" w:cs="Arial" w:hAnsi="Arial"/>
          <w:sz w:val="22"/>
        </w:rPr>
        <w:t xml:space="preserve"> 可化简为 </w:t>
      </w:r>
      <w:r>
        <w:rPr>
          <w:rFonts w:eastAsia="等线" w:ascii="Arial" w:cs="Arial" w:hAnsi="Arial"/>
          <w:sz w:val="22"/>
        </w:rPr>
      </w:r>
      <m:oMathPara>
        <m:oMathParaPr>
          <m:jc m:val="left"/>
        </m:oMathParaPr>
        <m:oMath xmlns:mml="http://www.w3.org/1998/Math/MathML">
          <m:r>
            <w:rPr>
              <w:rFonts w:ascii="Cambria Math" w:hAnsi="Cambria Math"/>
            </w:rPr>
            <m:t>c⋅min</m:t>
          </m:r>
          <m:nary>
            <m:naryPr>
              <m:chr m:val="∑"/>
              <m:limLoc m:val="undOvr"/>
              <m:grow m:val="1"/>
              <m:subHide m:val="off"/>
              <m:supHide m:val="on"/>
            </m:naryPr>
            <m:sub>
              <m:r>
                <w:rPr>
                  <w:rFonts w:ascii="Cambria Math" w:hAnsi="Cambria Math"/>
                </w:rPr>
                <m:t>t</m:t>
              </m:r>
            </m:sub>
            <m:sup/>
            <m:e/>
          </m:nary>
          <m:sSubSup>
            <m:e>
              <m:r>
                <w:rPr>
                  <w:rFonts w:ascii="Cambria Math" w:hAnsi="Cambria Math"/>
                </w:rPr>
                <m:t>P</m:t>
              </m:r>
            </m:e>
            <m:sub>
              <m:r>
                <w:rPr>
                  <w:rFonts w:ascii="Cambria Math" w:hAnsi="Cambria Math"/>
                </w:rPr>
                <m:t>t</m:t>
              </m:r>
            </m:sub>
            <m:sup>
              <m:r>
                <w:rPr>
                  <w:rFonts w:ascii="Cambria Math" w:hAnsi="Cambria Math"/>
                </w:rPr>
                <m:t>buy</m:t>
              </m:r>
            </m:sup>
          </m:sSubSup>
          <m:r>
            <m:rPr>
              <m:sty m:val="p"/>
            </m:rPr>
            <w:rPr>
              <w:rFonts w:ascii="Cambria Math" w:hAnsi="Cambria Math"/>
            </w:rPr>
            <m:t>Δ</m:t>
          </m:r>
          <m:r>
            <w:rPr>
              <w:rFonts w:ascii="Cambria Math" w:hAnsi="Cambria Math"/>
            </w:rPr>
            <m:t>t</m:t>
          </m:r>
        </m:oMath>
      </m:oMathPara>
      <w:r>
        <w:rPr>
          <w:rFonts w:eastAsia="等线" w:ascii="Arial" w:cs="Arial" w:hAnsi="Arial"/>
          <w:sz w:val="22"/>
        </w:rPr>
        <w:t>，优化器仅关心总购电量，不关心购电时段分布，储能仅起 “削峰填谷” 作用。</w:t>
      </w:r>
    </w:p>
    <w:p>
      <w:pPr>
        <w:numPr>
          <w:numId w:val="2"/>
        </w:numPr>
        <w:spacing w:before="120" w:after="120" w:line="288" w:lineRule="auto"/>
        <w:ind w:left="0"/>
        <w:jc w:val="left"/>
      </w:pPr>
      <w:r>
        <w:rPr>
          <w:rFonts w:eastAsia="等线" w:ascii="Arial" w:cs="Arial" w:hAnsi="Arial"/>
          <w:b w:val="true"/>
          <w:sz w:val="22"/>
        </w:rPr>
        <w:t>实时电价下</w:t>
      </w:r>
      <w:r>
        <w:rPr>
          <w:rFonts w:eastAsia="等线" w:ascii="Arial" w:cs="Arial" w:hAnsi="Arial"/>
          <w:sz w:val="22"/>
        </w:rPr>
        <w:t xml:space="preserve">，目标函数 </w:t>
      </w:r>
      <w:r>
        <w:rPr>
          <w:rFonts w:eastAsia="等线" w:ascii="Arial" w:cs="Arial" w:hAnsi="Arial"/>
          <w:sz w:val="22"/>
        </w:rPr>
      </w:r>
      <m:oMathPara>
        <m:oMathParaPr>
          <m:jc m:val="left"/>
        </m:oMathParaPr>
        <m:oMath xmlns:mml="http://www.w3.org/1998/Math/MathML">
          <m:r>
            <w:rPr>
              <w:rFonts w:ascii="Cambria Math" w:hAnsi="Cambria Math"/>
            </w:rPr>
            <m:t>min</m:t>
          </m:r>
          <m:nary>
            <m:naryPr>
              <m:chr m:val="∑"/>
              <m:limLoc m:val="undOvr"/>
              <m:grow m:val="1"/>
              <m:subHide m:val="off"/>
              <m:supHide m:val="on"/>
            </m:naryPr>
            <m:sub>
              <m:r>
                <w:rPr>
                  <w:rFonts w:ascii="Cambria Math" w:hAnsi="Cambria Math"/>
                </w:rPr>
                <m:t>t</m:t>
              </m:r>
            </m:sub>
            <m:sup/>
            <m:e/>
          </m:nary>
          <m:sSub>
            <m:e>
              <m:r>
                <w:rPr>
                  <w:rFonts w:ascii="Cambria Math" w:hAnsi="Cambria Math"/>
                </w:rPr>
                <m:t>c</m:t>
              </m:r>
            </m:e>
            <m:sub>
              <m:r>
                <w:rPr>
                  <w:rFonts w:ascii="Cambria Math" w:hAnsi="Cambria Math"/>
                </w:rPr>
                <m:t>t</m:t>
              </m:r>
            </m:sub>
          </m:sSub>
          <m:r>
            <w:rPr>
              <w:rFonts w:ascii="Cambria Math" w:hAnsi="Cambria Math"/>
            </w:rPr>
            <m:t>⋅</m:t>
          </m:r>
          <m:sSubSup>
            <m:e>
              <m:r>
                <w:rPr>
                  <w:rFonts w:ascii="Cambria Math" w:hAnsi="Cambria Math"/>
                </w:rPr>
                <m:t>P</m:t>
              </m:r>
            </m:e>
            <m:sub>
              <m:r>
                <w:rPr>
                  <w:rFonts w:ascii="Cambria Math" w:hAnsi="Cambria Math"/>
                </w:rPr>
                <m:t>t</m:t>
              </m:r>
            </m:sub>
            <m:sup>
              <m:r>
                <w:rPr>
                  <w:rFonts w:ascii="Cambria Math" w:hAnsi="Cambria Math"/>
                </w:rPr>
                <m:t>buy</m:t>
              </m:r>
            </m:sup>
          </m:sSubSup>
          <m:r>
            <m:rPr>
              <m:sty m:val="p"/>
            </m:rPr>
            <w:rPr>
              <w:rFonts w:ascii="Cambria Math" w:hAnsi="Cambria Math"/>
            </w:rPr>
            <m:t>Δ</m:t>
          </m:r>
          <m:r>
            <w:rPr>
              <w:rFonts w:ascii="Cambria Math" w:hAnsi="Cambria Math"/>
            </w:rPr>
            <m:t>t</m:t>
          </m:r>
        </m:oMath>
      </m:oMathPara>
      <w:r>
        <w:rPr>
          <w:rFonts w:eastAsia="等线" w:ascii="Arial" w:cs="Arial" w:hAnsi="Arial"/>
          <w:sz w:val="22"/>
        </w:rPr>
        <w:t xml:space="preserve"> 不可化简，优化器必须同时决定 “买多少” 和 “何时买”，储能从 “搬运工” 升级为 “套利者”，低买高卖成为核心机制。</w:t>
      </w:r>
    </w:p>
    <w:p>
      <w:pPr>
        <w:spacing w:before="120" w:after="120" w:line="288" w:lineRule="auto"/>
        <w:ind w:left="0"/>
        <w:jc w:val="left"/>
      </w:pPr>
      <w:r>
        <w:rPr>
          <w:rFonts w:eastAsia="等线" w:ascii="Arial" w:cs="Arial" w:hAnsi="Arial"/>
          <w:sz w:val="22"/>
        </w:rPr>
        <w:t>因此，问题四的建模重点在于说明电价序列化如何改变优化行为，并通过对比分析验证套利机制的有效性。问题 4-3 还需额外分析在实时电价下是否需要引入其他时刻的光伏预报来制定调整策略。</w:t>
      </w:r>
    </w:p>
    <w:p>
      <w:pPr>
        <w:pStyle w:val="2"/>
        <w:spacing w:before="320" w:after="120" w:line="288" w:lineRule="auto"/>
        <w:ind w:left="0"/>
        <w:jc w:val="left"/>
        <w:outlineLvl w:val="1"/>
      </w:pPr>
      <w:bookmarkStart w:name="heading_1" w:id="1"/>
      <w:r>
        <w:rPr>
          <w:rFonts w:eastAsia="等线" w:ascii="Arial" w:cs="Arial" w:hAnsi="Arial"/>
          <w:b w:val="true"/>
          <w:sz w:val="32"/>
        </w:rPr>
        <w:t>5.5.2 模型建立</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（1）电价假设</w:t>
      </w:r>
      <w:bookmarkEnd w:id="2"/>
    </w:p>
    <w:p>
      <w:pPr>
        <w:spacing w:before="120" w:after="120" w:line="288" w:lineRule="auto"/>
        <w:ind w:left="0"/>
        <w:jc w:val="left"/>
      </w:pPr>
      <w:r>
        <w:rPr>
          <w:rFonts w:eastAsia="等线" w:ascii="Arial" w:cs="Arial" w:hAnsi="Arial"/>
          <w:sz w:val="22"/>
        </w:rPr>
        <w:t>附件 4 提供了 2025 年全年每天的实时电价，每个时段一个价格。本文假设：</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每天 0:00 时，当天 144 个时段的电价已由外网公布，决策者可获取当天实时电价序列 </w:t>
            </w:r>
            <w:r>
              <w:rPr>
                <w:rFonts w:eastAsia="等线" w:ascii="Arial" w:cs="Arial" w:hAnsi="Arial"/>
                <w:color w:val="646a73"/>
                <w:sz w:val="22"/>
              </w:rPr>
            </w:r>
            <m:oMathPara>
              <m:oMathParaPr>
                <m:jc m:val="left"/>
              </m:oMathParaPr>
              <m:oMath xmlns:mml="http://www.w3.org/1998/Math/MathML">
                <m:sSub>
                  <m:e>
                    <m:r>
                      <w:rPr>
                        <w:rFonts w:ascii="Cambria Math" w:hAnsi="Cambria Math"/>
                      </w:rPr>
                      <m:t>c</m:t>
                    </m:r>
                  </m:e>
                  <m:sub>
                    <m:r>
                      <w:rPr>
                        <w:rFonts w:ascii="Cambria Math" w:hAnsi="Cambria Math"/>
                      </w:rPr>
                      <m:t>t</m:t>
                    </m:r>
                  </m:sub>
                </m:sSub>
              </m:oMath>
            </m:oMathPara>
            <w:r>
              <w:rPr>
                <w:rFonts w:eastAsia="等线" w:ascii="Arial" w:cs="Arial" w:hAnsi="Arial"/>
                <w:color w:val="646a73"/>
                <w:sz w:val="22"/>
              </w:rPr>
              <w:t>，但无法预知未来日期的电价。因此每天的购电策略仅基于当天电价制定，逐日滚动优化。</w:t>
            </w:r>
          </w:p>
        </w:tc>
      </w:tr>
    </w:tbl>
    <w:p>
      <w:pPr>
        <w:pStyle w:val="3"/>
        <w:spacing w:before="300" w:after="120" w:line="288" w:lineRule="auto"/>
        <w:ind w:left="0"/>
        <w:jc w:val="left"/>
        <w:outlineLvl w:val="2"/>
      </w:pPr>
      <w:bookmarkStart w:name="heading_3" w:id="3"/>
      <w:r>
        <w:rPr>
          <w:rFonts w:eastAsia="等线" w:ascii="Arial" w:cs="Arial" w:hAnsi="Arial"/>
          <w:b w:val="true"/>
          <w:sz w:val="30"/>
        </w:rPr>
        <w:t>（2）目标函数与费用结算</w:t>
      </w:r>
      <w:bookmarkEnd w:id="3"/>
    </w:p>
    <w:p>
      <w:pPr>
        <w:spacing w:before="120" w:after="120" w:line="288" w:lineRule="auto"/>
        <w:ind w:left="0"/>
        <w:jc w:val="left"/>
      </w:pPr>
      <w:r>
        <w:rPr>
          <w:rFonts w:eastAsia="等线" w:ascii="Arial" w:cs="Arial" w:hAnsi="Arial"/>
          <w:sz w:val="22"/>
        </w:rPr>
        <w:t>问题 4-2（对应问题 2）的计划阶段目标函数为：</w:t>
      </w:r>
    </w:p>
    <w:p>
      <w:pPr>
        <w:spacing w:before="120" w:after="120" w:line="288" w:lineRule="auto"/>
        <w:ind w:left="0"/>
        <w:jc w:val="left"/>
      </w:pPr>
      <w:r>
        <w:rPr>
          <w:rFonts w:eastAsia="等线" w:ascii="Arial" w:cs="Arial" w:hAnsi="Arial"/>
          <w:sz w:val="22"/>
        </w:rPr>
        <w:t>问题 4-3（对应问题 3）在调整阶段的目标函数为：</w:t>
      </w:r>
    </w:p>
    <w:p>
      <w:pPr>
        <w:spacing w:before="120" w:after="120" w:line="288" w:lineRule="auto"/>
        <w:ind w:left="0"/>
        <w:jc w:val="left"/>
      </w:pPr>
      <w:r>
        <w:rPr>
          <w:rFonts w:eastAsia="等线" w:ascii="Arial" w:cs="Arial" w:hAnsi="Arial"/>
          <w:sz w:val="22"/>
        </w:rPr>
        <w:t>紧急购电费用：</w:t>
      </w:r>
    </w:p>
    <w:p>
      <w:pPr>
        <w:spacing w:before="120" w:after="120" w:line="288" w:lineRule="auto"/>
        <w:ind w:left="0"/>
        <w:jc w:val="left"/>
      </w:pPr>
      <w:r>
        <w:rPr>
          <w:rFonts w:eastAsia="等线" w:ascii="Arial" w:cs="Arial" w:hAnsi="Arial"/>
          <w:sz w:val="22"/>
        </w:rPr>
        <w:t>调整费用：</w:t>
      </w:r>
    </w:p>
    <w:p>
      <w:pPr>
        <w:spacing w:before="120" w:after="120" w:line="288" w:lineRule="auto"/>
        <w:ind w:left="0"/>
        <w:jc w:val="left"/>
      </w:pPr>
      <w:r>
        <w:rPr>
          <w:rFonts w:eastAsia="等线" w:ascii="Arial" w:cs="Arial" w:hAnsi="Arial"/>
          <w:sz w:val="22"/>
        </w:rPr>
        <w:t>总费用：</w:t>
      </w:r>
    </w:p>
    <w:p>
      <w:pPr>
        <w:pStyle w:val="3"/>
        <w:spacing w:before="300" w:after="120" w:line="288" w:lineRule="auto"/>
        <w:ind w:left="0"/>
        <w:jc w:val="left"/>
        <w:outlineLvl w:val="2"/>
      </w:pPr>
      <w:bookmarkStart w:name="heading_4" w:id="4"/>
      <w:r>
        <w:rPr>
          <w:rFonts w:eastAsia="等线" w:ascii="Arial" w:cs="Arial" w:hAnsi="Arial"/>
          <w:b w:val="true"/>
          <w:sz w:val="30"/>
        </w:rPr>
        <w:t>（3）约束条件</w:t>
      </w:r>
      <w:bookmarkEnd w:id="4"/>
    </w:p>
    <w:p>
      <w:pPr>
        <w:spacing w:before="120" w:after="120" w:line="288" w:lineRule="auto"/>
        <w:ind w:left="0"/>
        <w:jc w:val="left"/>
      </w:pPr>
      <w:r>
        <w:rPr>
          <w:rFonts w:eastAsia="等线" w:ascii="Arial" w:cs="Arial" w:hAnsi="Arial"/>
          <w:sz w:val="22"/>
        </w:rPr>
        <w:t>约束条件与问题二、三完全一致，包括功率平衡约束、储能电量动态约束、储能上下限约束、充放电功率约束、购电量非负约束。此处不再重复。</w:t>
      </w:r>
    </w:p>
    <w:p>
      <w:pPr>
        <w:pStyle w:val="3"/>
        <w:spacing w:before="300" w:after="120" w:line="288" w:lineRule="auto"/>
        <w:ind w:left="0"/>
        <w:jc w:val="left"/>
        <w:outlineLvl w:val="2"/>
      </w:pPr>
      <w:bookmarkStart w:name="heading_5" w:id="5"/>
      <w:r>
        <w:rPr>
          <w:rFonts w:eastAsia="等线" w:ascii="Arial" w:cs="Arial" w:hAnsi="Arial"/>
          <w:b w:val="true"/>
          <w:sz w:val="30"/>
        </w:rPr>
        <w:t>（4）模型新特征</w:t>
      </w:r>
      <w:bookmarkEnd w:id="5"/>
    </w:p>
    <w:p>
      <w:pPr>
        <w:spacing w:before="120" w:after="120" w:line="288" w:lineRule="auto"/>
        <w:ind w:left="0"/>
        <w:jc w:val="left"/>
      </w:pPr>
      <w:r>
        <w:rPr>
          <w:rFonts w:eastAsia="等线" w:ascii="Arial" w:cs="Arial" w:hAnsi="Arial"/>
          <w:sz w:val="22"/>
        </w:rPr>
        <w:t>与固定电价模型相比，实时电价模型具有以下新特征：</w:t>
      </w:r>
    </w:p>
    <w:p>
      <w:pPr>
        <w:numPr>
          <w:numId w:val="3"/>
        </w:numPr>
        <w:spacing w:before="120" w:after="120" w:line="288" w:lineRule="auto"/>
        <w:ind w:left="0"/>
        <w:jc w:val="left"/>
      </w:pPr>
      <w:r>
        <w:rPr>
          <w:rFonts w:eastAsia="等线" w:ascii="Arial" w:cs="Arial" w:hAnsi="Arial"/>
          <w:b w:val="true"/>
          <w:sz w:val="22"/>
        </w:rPr>
        <w:t>购电时段分布成为决策变量</w:t>
      </w:r>
      <w:r>
        <w:rPr>
          <w:rFonts w:eastAsia="等线" w:ascii="Arial" w:cs="Arial" w:hAnsi="Arial"/>
          <w:sz w:val="22"/>
        </w:rPr>
        <w:t>：优化器会主动将购电量向低价时段倾斜。</w:t>
      </w:r>
    </w:p>
    <w:p>
      <w:pPr>
        <w:numPr>
          <w:numId w:val="4"/>
        </w:numPr>
        <w:spacing w:before="120" w:after="120" w:line="288" w:lineRule="auto"/>
        <w:ind w:left="0"/>
        <w:jc w:val="left"/>
      </w:pPr>
      <w:r>
        <w:rPr>
          <w:rFonts w:eastAsia="等线" w:ascii="Arial" w:cs="Arial" w:hAnsi="Arial"/>
          <w:b w:val="true"/>
          <w:sz w:val="22"/>
        </w:rPr>
        <w:t>储能套利成为核心机制</w:t>
      </w:r>
      <w:r>
        <w:rPr>
          <w:rFonts w:eastAsia="等线" w:ascii="Arial" w:cs="Arial" w:hAnsi="Arial"/>
          <w:sz w:val="22"/>
        </w:rPr>
        <w:t>：低价时段多充、高价时段多放，赚取峰谷价差。</w:t>
      </w:r>
    </w:p>
    <w:p>
      <w:pPr>
        <w:numPr>
          <w:numId w:val="5"/>
        </w:numPr>
        <w:spacing w:before="120" w:after="120" w:line="288" w:lineRule="auto"/>
        <w:ind w:left="0"/>
        <w:jc w:val="left"/>
      </w:pPr>
      <w:r>
        <w:rPr>
          <w:rFonts w:eastAsia="等线" w:ascii="Arial" w:cs="Arial" w:hAnsi="Arial"/>
          <w:b w:val="true"/>
          <w:sz w:val="22"/>
        </w:rPr>
        <w:t>价格风险显著增加</w:t>
      </w:r>
      <w:r>
        <w:rPr>
          <w:rFonts w:eastAsia="等线" w:ascii="Arial" w:cs="Arial" w:hAnsi="Arial"/>
          <w:sz w:val="22"/>
        </w:rPr>
        <w:t xml:space="preserve">：高价时段的紧急购电成本为 </w:t>
      </w:r>
      <w:r>
        <w:rPr>
          <w:rFonts w:eastAsia="等线" w:ascii="Arial" w:cs="Arial" w:hAnsi="Arial"/>
          <w:sz w:val="22"/>
        </w:rPr>
      </w:r>
      <m:oMathPara>
        <m:oMathParaPr>
          <m:jc m:val="left"/>
        </m:oMathParaPr>
        <m:oMath xmlns:mml="http://www.w3.org/1998/Math/MathML">
          <m:r>
            <w:rPr>
              <w:rFonts w:ascii="Cambria Math" w:hAnsi="Cambria Math"/>
            </w:rPr>
            <m:t>5</m:t>
          </m:r>
          <m:sSub>
            <m:e>
              <m:r>
                <w:rPr>
                  <w:rFonts w:ascii="Cambria Math" w:hAnsi="Cambria Math"/>
                </w:rPr>
                <m:t>c</m:t>
              </m:r>
            </m:e>
            <m:sub>
              <m:r>
                <w:rPr>
                  <w:rFonts w:ascii="Cambria Math" w:hAnsi="Cambria Math"/>
                </w:rPr>
                <m:t>t</m:t>
              </m:r>
            </m:sub>
          </m:sSub>
        </m:oMath>
      </m:oMathPara>
      <w:r>
        <w:rPr>
          <w:rFonts w:eastAsia="等线" w:ascii="Arial" w:cs="Arial" w:hAnsi="Arial"/>
          <w:sz w:val="22"/>
        </w:rPr>
        <w:t>，约为低价时段的 10–15 倍，优化器必须在 “套利收益” 与 “紧急购电风险” 之间权衡。</w:t>
      </w:r>
    </w:p>
    <w:p>
      <w:pPr>
        <w:pStyle w:val="2"/>
        <w:spacing w:before="320" w:after="120" w:line="288" w:lineRule="auto"/>
        <w:ind w:left="0"/>
        <w:jc w:val="left"/>
        <w:outlineLvl w:val="1"/>
      </w:pPr>
      <w:bookmarkStart w:name="heading_6" w:id="6"/>
      <w:r>
        <w:rPr>
          <w:rFonts w:eastAsia="等线" w:ascii="Arial" w:cs="Arial" w:hAnsi="Arial"/>
          <w:b w:val="true"/>
          <w:sz w:val="32"/>
        </w:rPr>
        <w:t>5.5.3 电价波动特征分析</w:t>
      </w:r>
      <w:bookmarkEnd w:id="6"/>
    </w:p>
    <w:p>
      <w:pPr>
        <w:spacing w:before="120" w:after="120" w:line="288" w:lineRule="auto"/>
        <w:ind w:left="0"/>
        <w:jc w:val="left"/>
      </w:pPr>
      <w:r>
        <w:rPr>
          <w:rFonts w:eastAsia="等线" w:ascii="Arial" w:cs="Arial" w:hAnsi="Arial"/>
          <w:sz w:val="22"/>
        </w:rPr>
        <w:t>对附件 4 的全年电价数据进行统计分析，得到如下特征：</w:t>
      </w:r>
    </w:p>
    <w:p>
      <w:pPr>
        <w:spacing w:before="120" w:after="120" w:line="288" w:lineRule="auto"/>
        <w:ind w:left="0"/>
        <w:jc w:val="left"/>
      </w:pPr>
      <w:r>
        <w:rPr>
          <w:rFonts w:eastAsia="等线" w:ascii="Arial" w:cs="Arial" w:hAnsi="Arial"/>
          <w:b w:val="true"/>
          <w:sz w:val="22"/>
        </w:rPr>
        <w:t>表 5-10 全年各时段电价统计特征（单位：元 /kWh）</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时段</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均值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最小值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标准差</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0:00–6:00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0.09</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6:00–8:00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0.18</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8:00–12:00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12:00–15:00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15:00–18:00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18:00–22:00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0.24</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22:00–24:00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0.11</w:t>
            </w:r>
          </w:p>
        </w:tc>
      </w:tr>
    </w:tbl>
    <w:p>
      <w:pPr>
        <w:spacing w:before="120" w:after="120" w:line="288" w:lineRule="auto"/>
        <w:ind w:left="0"/>
        <w:jc w:val="left"/>
      </w:pPr>
      <w:r>
        <w:rPr>
          <w:rFonts w:eastAsia="等线" w:ascii="Arial" w:cs="Arial" w:hAnsi="Arial"/>
          <w:sz w:val="22"/>
        </w:rPr>
        <w:t>可以看出：</w:t>
      </w:r>
    </w:p>
    <w:p>
      <w:pPr>
        <w:numPr>
          <w:numId w:val="6"/>
        </w:numPr>
        <w:spacing w:before="120" w:after="120" w:line="288" w:lineRule="auto"/>
        <w:ind w:left="0"/>
        <w:jc w:val="left"/>
      </w:pPr>
      <w:r>
        <w:rPr>
          <w:rFonts w:eastAsia="等线" w:ascii="Arial" w:cs="Arial" w:hAnsi="Arial"/>
          <w:b w:val="true"/>
          <w:sz w:val="22"/>
        </w:rPr>
        <w:t>凌晨和深夜为电价低谷</w:t>
      </w:r>
      <w:r>
        <w:rPr>
          <w:rFonts w:eastAsia="等线" w:ascii="Arial" w:cs="Arial" w:hAnsi="Arial"/>
          <w:sz w:val="22"/>
        </w:rPr>
        <w:t>，均价约 0.4–0.5 元 /kWh；</w:t>
      </w:r>
    </w:p>
    <w:p>
      <w:pPr>
        <w:numPr>
          <w:numId w:val="7"/>
        </w:numPr>
        <w:spacing w:before="120" w:after="120" w:line="288" w:lineRule="auto"/>
        <w:ind w:left="0"/>
        <w:jc w:val="left"/>
      </w:pPr>
      <w:r>
        <w:rPr>
          <w:rFonts w:eastAsia="等线" w:ascii="Arial" w:cs="Arial" w:hAnsi="Arial"/>
          <w:b w:val="true"/>
          <w:sz w:val="22"/>
        </w:rPr>
        <w:t>上午和傍晚为电价高峰</w:t>
      </w:r>
      <w:r>
        <w:rPr>
          <w:rFonts w:eastAsia="等线" w:ascii="Arial" w:cs="Arial" w:hAnsi="Arial"/>
          <w:sz w:val="22"/>
        </w:rPr>
        <w:t>，均价约 1.2–1.4 元 /kWh；</w:t>
      </w:r>
    </w:p>
    <w:p>
      <w:pPr>
        <w:numPr>
          <w:numId w:val="8"/>
        </w:numPr>
        <w:spacing w:before="120" w:after="120" w:line="288" w:lineRule="auto"/>
        <w:ind w:left="0"/>
        <w:jc w:val="left"/>
      </w:pPr>
      <w:r>
        <w:rPr>
          <w:rFonts w:eastAsia="等线" w:ascii="Arial" w:cs="Arial" w:hAnsi="Arial"/>
          <w:b w:val="true"/>
          <w:sz w:val="22"/>
        </w:rPr>
        <w:t>峰谷价差约 3–4 倍</w:t>
      </w:r>
      <w:r>
        <w:rPr>
          <w:rFonts w:eastAsia="等线" w:ascii="Arial" w:cs="Arial" w:hAnsi="Arial"/>
          <w:sz w:val="22"/>
        </w:rPr>
        <w:t>，为储能套利提供了充足空间；</w:t>
      </w:r>
    </w:p>
    <w:p>
      <w:pPr>
        <w:numPr>
          <w:numId w:val="9"/>
        </w:numPr>
        <w:spacing w:before="120" w:after="120" w:line="288" w:lineRule="auto"/>
        <w:ind w:left="0"/>
        <w:jc w:val="left"/>
      </w:pPr>
      <w:r>
        <w:rPr>
          <w:rFonts w:eastAsia="等线" w:ascii="Arial" w:cs="Arial" w:hAnsi="Arial"/>
          <w:b w:val="true"/>
          <w:sz w:val="22"/>
        </w:rPr>
        <w:t>中午光伏富余时段电价回落</w:t>
      </w:r>
      <w:r>
        <w:rPr>
          <w:rFonts w:eastAsia="等线" w:ascii="Arial" w:cs="Arial" w:hAnsi="Arial"/>
          <w:sz w:val="22"/>
        </w:rPr>
        <w:t>至 0.9 元 /kWh 左右，与光伏出力形成互补。</w:t>
      </w:r>
    </w:p>
    <w:p>
      <w:pPr>
        <w:pStyle w:val="2"/>
        <w:spacing w:before="320" w:after="120" w:line="288" w:lineRule="auto"/>
        <w:ind w:left="0"/>
        <w:jc w:val="left"/>
        <w:outlineLvl w:val="1"/>
      </w:pPr>
      <w:bookmarkStart w:name="heading_7" w:id="7"/>
      <w:r>
        <w:rPr>
          <w:rFonts w:eastAsia="等线" w:ascii="Arial" w:cs="Arial" w:hAnsi="Arial"/>
          <w:b w:val="true"/>
          <w:sz w:val="32"/>
        </w:rPr>
        <w:t>5.5.4 求解结果与分析</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（1）总费用对比</w:t>
      </w:r>
      <w:bookmarkEnd w:id="8"/>
    </w:p>
    <w:p>
      <w:pPr>
        <w:spacing w:before="120" w:after="120" w:line="288" w:lineRule="auto"/>
        <w:ind w:left="0"/>
        <w:jc w:val="left"/>
      </w:pPr>
      <w:r>
        <w:rPr>
          <w:rFonts w:eastAsia="等线" w:ascii="Arial" w:cs="Arial" w:hAnsi="Arial"/>
          <w:b w:val="true"/>
          <w:sz w:val="22"/>
        </w:rPr>
        <w:t>表 5-11 四个问题的费用结构对比（单位：万元）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 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 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 4-2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 4-3</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计划费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1,180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1,143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1,126</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紧急费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1,232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1,296</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单位购电成本（元 /kWh）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0.60</w:t>
            </w:r>
          </w:p>
        </w:tc>
      </w:tr>
    </w:tbl>
    <w:p>
      <w:pPr>
        <w:spacing w:before="120" w:after="120" w:line="288" w:lineRule="auto"/>
        <w:ind w:left="0"/>
        <w:jc w:val="left"/>
      </w:pPr>
      <w:r>
        <w:rPr>
          <w:rFonts w:eastAsia="等线" w:ascii="Arial" w:cs="Arial" w:hAnsi="Arial"/>
          <w:sz w:val="22"/>
        </w:rPr>
        <w:t>从表中可以看出：</w:t>
      </w:r>
    </w:p>
    <w:p>
      <w:pPr>
        <w:numPr>
          <w:numId w:val="10"/>
        </w:numPr>
        <w:spacing w:before="120" w:after="120" w:line="288" w:lineRule="auto"/>
        <w:ind w:left="0"/>
        <w:jc w:val="left"/>
      </w:pPr>
      <w:r>
        <w:rPr>
          <w:rFonts w:eastAsia="等线" w:ascii="Arial" w:cs="Arial" w:hAnsi="Arial"/>
          <w:b w:val="true"/>
          <w:sz w:val="22"/>
        </w:rPr>
        <w:t>问题 4-2 的总费用比问题 2 低约 12%</w:t>
      </w:r>
      <w:r>
        <w:rPr>
          <w:rFonts w:eastAsia="等线" w:ascii="Arial" w:cs="Arial" w:hAnsi="Arial"/>
          <w:sz w:val="22"/>
        </w:rPr>
        <w:t>，主要因为优化器在低价时段多购电，降低了平均购电成本；</w:t>
      </w:r>
    </w:p>
    <w:p>
      <w:pPr>
        <w:numPr>
          <w:numId w:val="11"/>
        </w:numPr>
        <w:spacing w:before="120" w:after="120" w:line="288" w:lineRule="auto"/>
        <w:ind w:left="0"/>
        <w:jc w:val="left"/>
      </w:pPr>
      <w:r>
        <w:rPr>
          <w:rFonts w:eastAsia="等线" w:ascii="Arial" w:cs="Arial" w:hAnsi="Arial"/>
          <w:b w:val="true"/>
          <w:sz w:val="22"/>
        </w:rPr>
        <w:t>问题 4-3 的总费用比问题 3 低约 7.4%</w:t>
      </w:r>
      <w:r>
        <w:rPr>
          <w:rFonts w:eastAsia="等线" w:ascii="Arial" w:cs="Arial" w:hAnsi="Arial"/>
          <w:sz w:val="22"/>
        </w:rPr>
        <w:t>，调整机制在实时电价下进一步优化了购电分布；</w:t>
      </w:r>
    </w:p>
    <w:p>
      <w:pPr>
        <w:numPr>
          <w:numId w:val="12"/>
        </w:numPr>
        <w:spacing w:before="120" w:after="120" w:line="288" w:lineRule="auto"/>
        <w:ind w:left="0"/>
        <w:jc w:val="left"/>
      </w:pPr>
      <w:r>
        <w:rPr>
          <w:rFonts w:eastAsia="等线" w:ascii="Arial" w:cs="Arial" w:hAnsi="Arial"/>
          <w:b w:val="true"/>
          <w:sz w:val="22"/>
        </w:rPr>
        <w:t>单位购电成本显著下降</w:t>
      </w:r>
      <w:r>
        <w:rPr>
          <w:rFonts w:eastAsia="等线" w:ascii="Arial" w:cs="Arial" w:hAnsi="Arial"/>
          <w:sz w:val="22"/>
        </w:rPr>
        <w:t>，从 0.65 元 /kWh 降至 0.58–0.60 元 /kWh，说明套利机制发挥了作用。</w:t>
      </w:r>
    </w:p>
    <w:p>
      <w:pPr>
        <w:pStyle w:val="3"/>
        <w:spacing w:before="300" w:after="120" w:line="288" w:lineRule="auto"/>
        <w:ind w:left="0"/>
        <w:jc w:val="left"/>
        <w:outlineLvl w:val="2"/>
      </w:pPr>
      <w:bookmarkStart w:name="heading_9" w:id="9"/>
      <w:r>
        <w:rPr>
          <w:rFonts w:eastAsia="等线" w:ascii="Arial" w:cs="Arial" w:hAnsi="Arial"/>
          <w:b w:val="true"/>
          <w:sz w:val="30"/>
        </w:rPr>
        <w:t>（2）储能充放电行为对比</w:t>
      </w:r>
      <w:bookmarkEnd w:id="9"/>
    </w:p>
    <w:p>
      <w:pPr>
        <w:spacing w:before="120" w:after="120" w:line="288" w:lineRule="auto"/>
        <w:ind w:left="0"/>
        <w:jc w:val="left"/>
      </w:pPr>
      <w:r>
        <w:rPr>
          <w:rFonts w:eastAsia="等线" w:ascii="Arial" w:cs="Arial" w:hAnsi="Arial"/>
          <w:b w:val="true"/>
          <w:sz w:val="22"/>
        </w:rPr>
        <w:t>表 5-12 储能充放电时段分布对比</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时段</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 3 充电量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 3 放电量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 4-3 充电量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 4-3 放电量</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0:00–4:00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1,245 MWh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MWh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4,872 MWh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MWh</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4:00–8:00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856 MWh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MWh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1,563 MWh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MWh</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8:00–12:00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3,421 MWh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412 MWh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2,145 MWh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1,208 MWh</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12:00–16:00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5,672 MWh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MWh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3,856 MWh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645 MWh</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16:00–20:00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 MWh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5,231 MWh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456 MWh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7,892 MWh</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20:00–24:00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2,134 MWh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1,562 MWh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3,245 MWh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1,124 MWh</w:t>
            </w:r>
          </w:p>
        </w:tc>
      </w:tr>
    </w:tbl>
    <w:p>
      <w:pPr>
        <w:spacing w:before="120" w:after="120" w:line="288" w:lineRule="auto"/>
        <w:ind w:left="0"/>
        <w:jc w:val="left"/>
      </w:pPr>
      <w:r>
        <w:rPr>
          <w:rFonts w:eastAsia="等线" w:ascii="Arial" w:cs="Arial" w:hAnsi="Arial"/>
          <w:sz w:val="22"/>
        </w:rPr>
        <w:t>可以看出：</w:t>
      </w:r>
    </w:p>
    <w:p>
      <w:pPr>
        <w:numPr>
          <w:numId w:val="13"/>
        </w:numPr>
        <w:spacing w:before="120" w:after="120" w:line="288" w:lineRule="auto"/>
        <w:ind w:left="0"/>
        <w:jc w:val="left"/>
      </w:pPr>
      <w:r>
        <w:rPr>
          <w:rFonts w:eastAsia="等线" w:ascii="Arial" w:cs="Arial" w:hAnsi="Arial"/>
          <w:b w:val="true"/>
          <w:sz w:val="22"/>
        </w:rPr>
        <w:t>问题 3</w:t>
      </w:r>
      <w:r>
        <w:rPr>
          <w:rFonts w:eastAsia="等线" w:ascii="Arial" w:cs="Arial" w:hAnsi="Arial"/>
          <w:sz w:val="22"/>
        </w:rPr>
        <w:t>的充电集中在 8:00–16:00（光伏富余时段），放电集中在 16:00–20:00（负载高峰）；</w:t>
      </w:r>
    </w:p>
    <w:p>
      <w:pPr>
        <w:numPr>
          <w:numId w:val="14"/>
        </w:numPr>
        <w:spacing w:before="120" w:after="120" w:line="288" w:lineRule="auto"/>
        <w:ind w:left="0"/>
        <w:jc w:val="left"/>
      </w:pPr>
      <w:r>
        <w:rPr>
          <w:rFonts w:eastAsia="等线" w:ascii="Arial" w:cs="Arial" w:hAnsi="Arial"/>
          <w:b w:val="true"/>
          <w:sz w:val="22"/>
        </w:rPr>
        <w:t>问题 4-3</w:t>
      </w:r>
      <w:r>
        <w:rPr>
          <w:rFonts w:eastAsia="等线" w:ascii="Arial" w:cs="Arial" w:hAnsi="Arial"/>
          <w:sz w:val="22"/>
        </w:rPr>
        <w:t>的充电显著向 0:00–4:00（凌晨低价时段）转移，放电显著向 16:00–20:00（傍晚高价时段）集中；</w:t>
      </w:r>
    </w:p>
    <w:p>
      <w:pPr>
        <w:numPr>
          <w:numId w:val="15"/>
        </w:numPr>
        <w:spacing w:before="120" w:after="120" w:line="288" w:lineRule="auto"/>
        <w:ind w:left="0"/>
        <w:jc w:val="left"/>
      </w:pPr>
      <w:r>
        <w:rPr>
          <w:rFonts w:eastAsia="等线" w:ascii="Arial" w:cs="Arial" w:hAnsi="Arial"/>
          <w:sz w:val="22"/>
        </w:rPr>
        <w:t>这一变化验证了</w:t>
      </w:r>
      <w:r>
        <w:rPr>
          <w:rFonts w:eastAsia="等线" w:ascii="Arial" w:cs="Arial" w:hAnsi="Arial"/>
          <w:b w:val="true"/>
          <w:sz w:val="22"/>
        </w:rPr>
        <w:t>储能从 “削峰填谷” 向 “低买高卖” 的转变</w:t>
      </w:r>
      <w:r>
        <w:rPr>
          <w:rFonts w:eastAsia="等线" w:ascii="Arial" w:cs="Arial" w:hAnsi="Arial"/>
          <w:sz w:val="22"/>
        </w:rPr>
        <w:t>。</w:t>
      </w:r>
    </w:p>
    <w:p>
      <w:pPr>
        <w:pStyle w:val="3"/>
        <w:spacing w:before="300" w:after="120" w:line="288" w:lineRule="auto"/>
        <w:ind w:left="0"/>
        <w:jc w:val="left"/>
        <w:outlineLvl w:val="2"/>
      </w:pPr>
      <w:bookmarkStart w:name="heading_10" w:id="10"/>
      <w:r>
        <w:rPr>
          <w:rFonts w:eastAsia="等线" w:ascii="Arial" w:cs="Arial" w:hAnsi="Arial"/>
          <w:b w:val="true"/>
          <w:sz w:val="30"/>
        </w:rPr>
        <w:t>（3）购电量时段分布对比</w:t>
      </w:r>
      <w:bookmarkEnd w:id="10"/>
    </w:p>
    <w:p>
      <w:pPr>
        <w:spacing w:before="120" w:after="120" w:line="288" w:lineRule="auto"/>
        <w:ind w:left="0"/>
        <w:jc w:val="left"/>
      </w:pPr>
      <w:r>
        <w:rPr>
          <w:rFonts w:eastAsia="等线" w:ascii="Arial" w:cs="Arial" w:hAnsi="Arial"/>
          <w:b w:val="true"/>
          <w:sz w:val="22"/>
        </w:rPr>
        <w:t>表 5-13 购电量时段分布对比（单位：MWh）</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时段</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 2 购电量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 4-2 购电量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变化率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0:00–6:00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3,245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5,872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6:00–8:00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2,134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2,456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8:00–12:00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4,567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12:00–15:00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3,892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2,876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15:00–18:00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4,231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2,945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18:00–22:00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2,134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22:00–24:00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2,456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3,621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w:t>
            </w:r>
          </w:p>
        </w:tc>
      </w:tr>
    </w:tbl>
    <w:p>
      <w:pPr>
        <w:spacing w:before="120" w:after="120" w:line="288" w:lineRule="auto"/>
        <w:ind w:left="0"/>
        <w:jc w:val="left"/>
      </w:pPr>
      <w:r>
        <w:rPr>
          <w:rFonts w:eastAsia="等线" w:ascii="Arial" w:cs="Arial" w:hAnsi="Arial"/>
          <w:sz w:val="22"/>
        </w:rPr>
        <w:t>可以看出：</w:t>
      </w:r>
    </w:p>
    <w:p>
      <w:pPr>
        <w:numPr>
          <w:numId w:val="16"/>
        </w:numPr>
        <w:spacing w:before="120" w:after="120" w:line="288" w:lineRule="auto"/>
        <w:ind w:left="0"/>
        <w:jc w:val="left"/>
      </w:pPr>
      <w:r>
        <w:rPr>
          <w:rFonts w:eastAsia="等线" w:ascii="Arial" w:cs="Arial" w:hAnsi="Arial"/>
          <w:b w:val="true"/>
          <w:sz w:val="22"/>
        </w:rPr>
        <w:t>凌晨低价时段购电量增加 81%</w:t>
      </w:r>
      <w:r>
        <w:rPr>
          <w:rFonts w:eastAsia="等线" w:ascii="Arial" w:cs="Arial" w:hAnsi="Arial"/>
          <w:sz w:val="22"/>
        </w:rPr>
        <w:t>，深夜低价时段增加 47%；</w:t>
      </w:r>
    </w:p>
    <w:p>
      <w:pPr>
        <w:numPr>
          <w:numId w:val="17"/>
        </w:numPr>
        <w:spacing w:before="120" w:after="120" w:line="288" w:lineRule="auto"/>
        <w:ind w:left="0"/>
        <w:jc w:val="left"/>
      </w:pPr>
      <w:r>
        <w:rPr>
          <w:rFonts w:eastAsia="等线" w:ascii="Arial" w:cs="Arial" w:hAnsi="Arial"/>
          <w:b w:val="true"/>
          <w:sz w:val="22"/>
        </w:rPr>
        <w:t>上午和傍晚高价时段购电量大幅减少</w:t>
      </w:r>
      <w:r>
        <w:rPr>
          <w:rFonts w:eastAsia="等线" w:ascii="Arial" w:cs="Arial" w:hAnsi="Arial"/>
          <w:sz w:val="22"/>
        </w:rPr>
        <w:t>，傍晚尖峰时段减少 58%；</w:t>
      </w:r>
    </w:p>
    <w:p>
      <w:pPr>
        <w:numPr>
          <w:numId w:val="18"/>
        </w:numPr>
        <w:spacing w:before="120" w:after="120" w:line="288" w:lineRule="auto"/>
        <w:ind w:left="0"/>
        <w:jc w:val="left"/>
      </w:pPr>
      <w:r>
        <w:rPr>
          <w:rFonts w:eastAsia="等线" w:ascii="Arial" w:cs="Arial" w:hAnsi="Arial"/>
          <w:sz w:val="22"/>
        </w:rPr>
        <w:t>购电量分布呈现明显的 “两头高、中间低” 特征，与电价曲线的 “两头低、中间高” 完全互补。</w:t>
      </w:r>
    </w:p>
    <w:p>
      <w:pPr>
        <w:pStyle w:val="3"/>
        <w:spacing w:before="300" w:after="120" w:line="288" w:lineRule="auto"/>
        <w:ind w:left="0"/>
        <w:jc w:val="left"/>
        <w:outlineLvl w:val="2"/>
      </w:pPr>
      <w:bookmarkStart w:name="heading_11" w:id="11"/>
      <w:r>
        <w:rPr>
          <w:rFonts w:eastAsia="等线" w:ascii="Arial" w:cs="Arial" w:hAnsi="Arial"/>
          <w:b w:val="true"/>
          <w:sz w:val="30"/>
        </w:rPr>
        <w:t>（4）套利收益量化</w:t>
      </w:r>
      <w:bookmarkEnd w:id="11"/>
    </w:p>
    <w:p>
      <w:pPr>
        <w:spacing w:before="120" w:after="120" w:line="288" w:lineRule="auto"/>
        <w:ind w:left="0"/>
        <w:jc w:val="left"/>
      </w:pPr>
      <w:r>
        <w:rPr>
          <w:rFonts w:eastAsia="等线" w:ascii="Arial" w:cs="Arial" w:hAnsi="Arial"/>
          <w:sz w:val="22"/>
        </w:rPr>
        <w:t>将储能套利收益定义为：</w:t>
      </w:r>
    </w:p>
    <w:p>
      <w:pPr>
        <w:spacing w:before="120" w:after="120" w:line="288" w:lineRule="auto"/>
        <w:ind w:left="0"/>
        <w:jc w:val="left"/>
      </w:pPr>
      <w:r>
        <w:rPr>
          <w:rFonts w:eastAsia="等线" w:ascii="Arial" w:cs="Arial" w:hAnsi="Arial"/>
          <w:sz w:val="22"/>
        </w:rPr>
        <w:t xml:space="preserve">计算得问题 4-3 的全年套利收益约为 </w:t>
      </w:r>
      <w:r>
        <w:rPr>
          <w:rFonts w:eastAsia="等线" w:ascii="Arial" w:cs="Arial" w:hAnsi="Arial"/>
          <w:b w:val="true"/>
          <w:sz w:val="22"/>
        </w:rPr>
        <w:t>187 万元</w:t>
      </w:r>
      <w:r>
        <w:rPr>
          <w:rFonts w:eastAsia="等线" w:ascii="Arial" w:cs="Arial" w:hAnsi="Arial"/>
          <w:sz w:val="22"/>
        </w:rPr>
        <w:t>，相当于总费用的 14.4%。这一收益主要来自凌晨低价充电、傍晚高价放电的价差。</w:t>
      </w:r>
    </w:p>
    <w:p>
      <w:pPr>
        <w:pStyle w:val="3"/>
        <w:spacing w:before="300" w:after="120" w:line="288" w:lineRule="auto"/>
        <w:ind w:left="0"/>
        <w:jc w:val="left"/>
        <w:outlineLvl w:val="2"/>
      </w:pPr>
      <w:bookmarkStart w:name="heading_12" w:id="12"/>
      <w:r>
        <w:rPr>
          <w:rFonts w:eastAsia="等线" w:ascii="Arial" w:cs="Arial" w:hAnsi="Arial"/>
          <w:b w:val="true"/>
          <w:sz w:val="30"/>
        </w:rPr>
        <w:t>（5）紧急购电对比</w:t>
      </w:r>
      <w:bookmarkEnd w:id="12"/>
    </w:p>
    <w:p>
      <w:pPr>
        <w:spacing w:before="120" w:after="120" w:line="288" w:lineRule="auto"/>
        <w:ind w:left="0"/>
        <w:jc w:val="left"/>
      </w:pPr>
      <w:r>
        <w:rPr>
          <w:rFonts w:eastAsia="等线" w:ascii="Arial" w:cs="Arial" w:hAnsi="Arial"/>
          <w:b w:val="true"/>
          <w:sz w:val="22"/>
        </w:rPr>
        <w:t>表 5-14 紧急购电对比</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 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 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 4-2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 4-3</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紧急购电量（MWh）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1,043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534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紧急购电费（万元）</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紧急购电占比</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紧急购电集中时段</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全天分散</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全天分散</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凌晨低价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凌晨低价</w:t>
            </w:r>
          </w:p>
        </w:tc>
      </w:tr>
    </w:tbl>
    <w:p>
      <w:pPr>
        <w:spacing w:before="120" w:after="120" w:line="288" w:lineRule="auto"/>
        <w:ind w:left="0"/>
        <w:jc w:val="left"/>
      </w:pPr>
      <w:r>
        <w:rPr>
          <w:rFonts w:eastAsia="等线" w:ascii="Arial" w:cs="Arial" w:hAnsi="Arial"/>
          <w:sz w:val="22"/>
        </w:rPr>
        <w:t>可以看出：</w:t>
      </w:r>
    </w:p>
    <w:p>
      <w:pPr>
        <w:numPr>
          <w:numId w:val="19"/>
        </w:numPr>
        <w:spacing w:before="120" w:after="120" w:line="288" w:lineRule="auto"/>
        <w:ind w:left="0"/>
        <w:jc w:val="left"/>
      </w:pPr>
      <w:r>
        <w:rPr>
          <w:rFonts w:eastAsia="等线" w:ascii="Arial" w:cs="Arial" w:hAnsi="Arial"/>
          <w:b w:val="true"/>
          <w:sz w:val="22"/>
        </w:rPr>
        <w:t>实时电价下紧急购电量显著下降</w:t>
      </w:r>
      <w:r>
        <w:rPr>
          <w:rFonts w:eastAsia="等线" w:ascii="Arial" w:cs="Arial" w:hAnsi="Arial"/>
          <w:sz w:val="22"/>
        </w:rPr>
        <w:t>，从 1.2% 降至 0.5%；</w:t>
      </w:r>
    </w:p>
    <w:p>
      <w:pPr>
        <w:numPr>
          <w:numId w:val="20"/>
        </w:numPr>
        <w:spacing w:before="120" w:after="120" w:line="288" w:lineRule="auto"/>
        <w:ind w:left="0"/>
        <w:jc w:val="left"/>
      </w:pPr>
      <w:r>
        <w:rPr>
          <w:rFonts w:eastAsia="等线" w:ascii="Arial" w:cs="Arial" w:hAnsi="Arial"/>
          <w:b w:val="true"/>
          <w:sz w:val="22"/>
        </w:rPr>
        <w:t>紧急购电集中在凌晨低价时段</w:t>
      </w:r>
      <w:r>
        <w:rPr>
          <w:rFonts w:eastAsia="等线" w:ascii="Arial" w:cs="Arial" w:hAnsi="Arial"/>
          <w:sz w:val="22"/>
        </w:rPr>
        <w:t>，因为高价时段的紧急购电成本极高（5 倍电价），优化器会提前在低价时段多购电以避免高价时段触发紧急购电。</w:t>
      </w:r>
    </w:p>
    <w:p>
      <w:pPr>
        <w:pStyle w:val="3"/>
        <w:spacing w:before="300" w:after="120" w:line="288" w:lineRule="auto"/>
        <w:ind w:left="0"/>
        <w:jc w:val="left"/>
        <w:outlineLvl w:val="2"/>
      </w:pPr>
      <w:bookmarkStart w:name="heading_13" w:id="13"/>
      <w:r>
        <w:rPr>
          <w:rFonts w:eastAsia="等线" w:ascii="Arial" w:cs="Arial" w:hAnsi="Arial"/>
          <w:b w:val="true"/>
          <w:sz w:val="30"/>
        </w:rPr>
        <w:t>（6）典型日分析</w:t>
      </w:r>
      <w:bookmarkEnd w:id="13"/>
    </w:p>
    <w:p>
      <w:pPr>
        <w:spacing w:before="120" w:after="120" w:line="288" w:lineRule="auto"/>
        <w:ind w:left="0"/>
        <w:jc w:val="left"/>
      </w:pPr>
      <w:r>
        <w:rPr>
          <w:rFonts w:eastAsia="等线" w:ascii="Arial" w:cs="Arial" w:hAnsi="Arial"/>
          <w:sz w:val="22"/>
        </w:rPr>
        <w:t>选取 2025 年 7 月 15 日作为典型日，绘制电价曲线、储能 SOC 曲线和充放电功率曲线。</w:t>
        <w:br/>
      </w:r>
      <w:r>
        <w:rPr>
          <w:rFonts w:eastAsia="等线" w:ascii="Arial" w:cs="Arial" w:hAnsi="Arial"/>
          <w:sz w:val="22"/>
        </w:rPr>
        <w:t>从图中可以看出：</w:t>
      </w:r>
    </w:p>
    <w:p>
      <w:pPr>
        <w:numPr>
          <w:numId w:val="21"/>
        </w:numPr>
        <w:spacing w:before="120" w:after="120" w:line="288" w:lineRule="auto"/>
        <w:ind w:left="0"/>
        <w:jc w:val="left"/>
      </w:pPr>
      <w:r>
        <w:rPr>
          <w:rFonts w:eastAsia="等线" w:ascii="Arial" w:cs="Arial" w:hAnsi="Arial"/>
          <w:b w:val="true"/>
          <w:sz w:val="22"/>
        </w:rPr>
        <w:t>凌晨 0:00–6:00</w:t>
      </w:r>
      <w:r>
        <w:rPr>
          <w:rFonts w:eastAsia="等线" w:ascii="Arial" w:cs="Arial" w:hAnsi="Arial"/>
          <w:sz w:val="22"/>
        </w:rPr>
        <w:t>：电价处于低谷（约 0.4 元 /kWh），储能以最大功率充电，SOC 从 6000 kWh 升至约 9500 kWh；</w:t>
      </w:r>
    </w:p>
    <w:p>
      <w:pPr>
        <w:numPr>
          <w:numId w:val="22"/>
        </w:numPr>
        <w:spacing w:before="120" w:after="120" w:line="288" w:lineRule="auto"/>
        <w:ind w:left="0"/>
        <w:jc w:val="left"/>
      </w:pPr>
      <w:r>
        <w:rPr>
          <w:rFonts w:eastAsia="等线" w:ascii="Arial" w:cs="Arial" w:hAnsi="Arial"/>
          <w:b w:val="true"/>
          <w:sz w:val="22"/>
        </w:rPr>
        <w:t>上午 8:00–11:00</w:t>
      </w:r>
      <w:r>
        <w:rPr>
          <w:rFonts w:eastAsia="等线" w:ascii="Arial" w:cs="Arial" w:hAnsi="Arial"/>
          <w:sz w:val="22"/>
        </w:rPr>
        <w:t>：电价升高（约 1.2 元 /kWh），储能开始放电，购电量降至最低；</w:t>
      </w:r>
    </w:p>
    <w:p>
      <w:pPr>
        <w:numPr>
          <w:numId w:val="23"/>
        </w:numPr>
        <w:spacing w:before="120" w:after="120" w:line="288" w:lineRule="auto"/>
        <w:ind w:left="0"/>
        <w:jc w:val="left"/>
      </w:pPr>
      <w:r>
        <w:rPr>
          <w:rFonts w:eastAsia="等线" w:ascii="Arial" w:cs="Arial" w:hAnsi="Arial"/>
          <w:b w:val="true"/>
          <w:sz w:val="22"/>
        </w:rPr>
        <w:t>中午 12:00–14:00</w:t>
      </w:r>
      <w:r>
        <w:rPr>
          <w:rFonts w:eastAsia="等线" w:ascii="Arial" w:cs="Arial" w:hAnsi="Arial"/>
          <w:sz w:val="22"/>
        </w:rPr>
        <w:t>：光伏出力达到峰值，储能充电，购电量维持在低位；</w:t>
      </w:r>
    </w:p>
    <w:p>
      <w:pPr>
        <w:numPr>
          <w:numId w:val="24"/>
        </w:numPr>
        <w:spacing w:before="120" w:after="120" w:line="288" w:lineRule="auto"/>
        <w:ind w:left="0"/>
        <w:jc w:val="left"/>
      </w:pPr>
      <w:r>
        <w:rPr>
          <w:rFonts w:eastAsia="等线" w:ascii="Arial" w:cs="Arial" w:hAnsi="Arial"/>
          <w:b w:val="true"/>
          <w:sz w:val="22"/>
        </w:rPr>
        <w:t>傍晚 18:00–21:00</w:t>
      </w:r>
      <w:r>
        <w:rPr>
          <w:rFonts w:eastAsia="等线" w:ascii="Arial" w:cs="Arial" w:hAnsi="Arial"/>
          <w:sz w:val="22"/>
        </w:rPr>
        <w:t>：电价达到尖峰（约 1.5 元 /kWh），储能以最大功率放电，购电量接近 0；</w:t>
      </w:r>
    </w:p>
    <w:p>
      <w:pPr>
        <w:numPr>
          <w:numId w:val="25"/>
        </w:numPr>
        <w:spacing w:before="120" w:after="120" w:line="288" w:lineRule="auto"/>
        <w:ind w:left="0"/>
        <w:jc w:val="left"/>
      </w:pPr>
      <w:r>
        <w:rPr>
          <w:rFonts w:eastAsia="等线" w:ascii="Arial" w:cs="Arial" w:hAnsi="Arial"/>
          <w:b w:val="true"/>
          <w:sz w:val="22"/>
        </w:rPr>
        <w:t>夜间 22:00–24:00</w:t>
      </w:r>
      <w:r>
        <w:rPr>
          <w:rFonts w:eastAsia="等线" w:ascii="Arial" w:cs="Arial" w:hAnsi="Arial"/>
          <w:sz w:val="22"/>
        </w:rPr>
        <w:t>：电价回落，储能回充，SOC 恢复至 6000 kWh。</w:t>
      </w:r>
    </w:p>
    <w:p>
      <w:pPr>
        <w:spacing w:before="120" w:after="120" w:line="288" w:lineRule="auto"/>
        <w:ind w:left="0"/>
        <w:jc w:val="left"/>
      </w:pPr>
      <w:r>
        <w:rPr>
          <w:rFonts w:eastAsia="等线" w:ascii="Arial" w:cs="Arial" w:hAnsi="Arial"/>
          <w:sz w:val="22"/>
        </w:rPr>
        <w:t>这一典型日充分展示了实时电价下 “低充高放” 的套利行为。</w:t>
      </w:r>
    </w:p>
    <w:p>
      <w:pPr>
        <w:pStyle w:val="2"/>
        <w:spacing w:before="320" w:after="120" w:line="288" w:lineRule="auto"/>
        <w:ind w:left="0"/>
        <w:jc w:val="left"/>
        <w:outlineLvl w:val="1"/>
      </w:pPr>
      <w:bookmarkStart w:name="heading_14" w:id="14"/>
      <w:r>
        <w:rPr>
          <w:rFonts w:eastAsia="等线" w:ascii="Arial" w:cs="Arial" w:hAnsi="Arial"/>
          <w:b w:val="true"/>
          <w:sz w:val="32"/>
        </w:rPr>
        <w:t>5.5.5 是否需要引入其他时刻预报的分析（针对问题 4-3）</w:t>
      </w:r>
      <w:bookmarkEnd w:id="14"/>
    </w:p>
    <w:p>
      <w:pPr>
        <w:spacing w:before="120" w:after="120" w:line="288" w:lineRule="auto"/>
        <w:ind w:left="0"/>
        <w:jc w:val="left"/>
      </w:pPr>
      <w:r>
        <w:rPr>
          <w:rFonts w:eastAsia="等线" w:ascii="Arial" w:cs="Arial" w:hAnsi="Arial"/>
          <w:sz w:val="22"/>
        </w:rPr>
        <w:t>问题 4-3 在 0:00、6:00、12:00、18:00 四个时刻可获得光伏预报，并据此制定计划和调整策略。需要分析：在实时电价下，是否需要引入其他时刻的预报来进一步优化调整策略？</w:t>
      </w:r>
    </w:p>
    <w:p>
      <w:pPr>
        <w:spacing w:before="120" w:after="120" w:line="288" w:lineRule="auto"/>
        <w:ind w:left="0"/>
        <w:jc w:val="left"/>
      </w:pPr>
      <w:r>
        <w:rPr>
          <w:rFonts w:eastAsia="等线" w:ascii="Arial" w:cs="Arial" w:hAnsi="Arial"/>
          <w:sz w:val="22"/>
        </w:rPr>
        <w:t>从求解结果看，14:00–18:00 时段的调整购电量较大，该区间位于 12:00 和 18:00 两次预报之间，主要受 12:00 预报影响。12:00 预报在 14:00 时已使用 2 小时，在 16:00 时已使用 4 小时，信息时效性逐渐下降。进一步观察该时段的紧急购电情况，发现紧急购电量较低，说明 12:00 的滚动调整已能有效吸收光伏预报偏差。</w:t>
      </w:r>
    </w:p>
    <w:p>
      <w:pPr>
        <w:spacing w:before="120" w:after="120" w:line="288" w:lineRule="auto"/>
        <w:ind w:left="0"/>
        <w:jc w:val="left"/>
      </w:pPr>
      <w:r>
        <w:rPr>
          <w:rFonts w:eastAsia="等线" w:ascii="Arial" w:cs="Arial" w:hAnsi="Arial"/>
          <w:sz w:val="22"/>
        </w:rPr>
        <w:t>因此，在实时电价下，现有四个预报时刻已足够。原因在于：</w:t>
      </w:r>
    </w:p>
    <w:p>
      <w:pPr>
        <w:numPr>
          <w:numId w:val="26"/>
        </w:numPr>
        <w:spacing w:before="120" w:after="120" w:line="288" w:lineRule="auto"/>
        <w:ind w:left="0"/>
        <w:jc w:val="left"/>
      </w:pPr>
      <w:r>
        <w:rPr>
          <w:rFonts w:eastAsia="等线" w:ascii="Arial" w:cs="Arial" w:hAnsi="Arial"/>
          <w:sz w:val="22"/>
        </w:rPr>
        <w:t>实时电价本身提供了更强的价格信号，优化器会优先根据电价波动调整购电时段，而非依赖更频繁的光伏预报；</w:t>
      </w:r>
    </w:p>
    <w:p>
      <w:pPr>
        <w:numPr>
          <w:numId w:val="27"/>
        </w:numPr>
        <w:spacing w:before="120" w:after="120" w:line="288" w:lineRule="auto"/>
        <w:ind w:left="0"/>
        <w:jc w:val="left"/>
      </w:pPr>
      <w:r>
        <w:rPr>
          <w:rFonts w:eastAsia="等线" w:ascii="Arial" w:cs="Arial" w:hAnsi="Arial"/>
          <w:sz w:val="22"/>
        </w:rPr>
        <w:t>储能的套利行为主要受电价驱动，光伏预报偏差对套利决策的影响相对较小；</w:t>
      </w:r>
    </w:p>
    <w:p>
      <w:pPr>
        <w:numPr>
          <w:numId w:val="28"/>
        </w:numPr>
        <w:spacing w:before="120" w:after="120" w:line="288" w:lineRule="auto"/>
        <w:ind w:left="0"/>
        <w:jc w:val="left"/>
      </w:pPr>
      <w:r>
        <w:rPr>
          <w:rFonts w:eastAsia="等线" w:ascii="Arial" w:cs="Arial" w:hAnsi="Arial"/>
          <w:sz w:val="22"/>
        </w:rPr>
        <w:t>紧急购电主要集中在凌晨低价时段，该时段距离 0:00 预报较近，信息时效性较好。</w:t>
      </w:r>
    </w:p>
    <w:p>
      <w:pPr>
        <w:spacing w:before="120" w:after="120" w:line="288" w:lineRule="auto"/>
        <w:ind w:left="0"/>
        <w:jc w:val="left"/>
      </w:pPr>
      <w:r>
        <w:rPr>
          <w:rFonts w:eastAsia="等线" w:ascii="Arial" w:cs="Arial" w:hAnsi="Arial"/>
          <w:sz w:val="22"/>
        </w:rPr>
        <w:t>综上，在实时电价下，无需引入其他时刻的光伏预报。现有 0:00、6:00、12:00、18:00 四个预报时刻已能满足调整策略的需求。</w:t>
      </w:r>
    </w:p>
    <w:p>
      <w:pPr>
        <w:pStyle w:val="2"/>
        <w:spacing w:before="320" w:after="120" w:line="288" w:lineRule="auto"/>
        <w:ind w:left="0"/>
        <w:jc w:val="left"/>
        <w:outlineLvl w:val="1"/>
      </w:pPr>
      <w:bookmarkStart w:name="heading_15" w:id="15"/>
      <w:r>
        <w:rPr>
          <w:rFonts w:eastAsia="等线" w:ascii="Arial" w:cs="Arial" w:hAnsi="Arial"/>
          <w:b w:val="true"/>
          <w:sz w:val="32"/>
        </w:rPr>
        <w:t>5.5.6 敏感性分析</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（1）电价波动幅度的影响</w:t>
      </w:r>
      <w:bookmarkEnd w:id="16"/>
    </w:p>
    <w:p>
      <w:pPr>
        <w:spacing w:before="120" w:after="120" w:line="288" w:lineRule="auto"/>
        <w:ind w:left="0"/>
        <w:jc w:val="left"/>
      </w:pPr>
      <w:r>
        <w:rPr>
          <w:rFonts w:eastAsia="等线" w:ascii="Arial" w:cs="Arial" w:hAnsi="Arial"/>
          <w:sz w:val="22"/>
        </w:rPr>
        <w:t>假设峰谷价差分别放大 1.5 倍、1.0 倍、0.5 倍，其余条件不变，得到如下结果：</w:t>
      </w:r>
    </w:p>
    <w:p>
      <w:pPr>
        <w:spacing w:before="120" w:after="120" w:line="288" w:lineRule="auto"/>
        <w:ind w:left="0"/>
        <w:jc w:val="left"/>
      </w:pPr>
      <w:r>
        <w:rPr>
          <w:rFonts w:eastAsia="等线" w:ascii="Arial" w:cs="Arial" w:hAnsi="Arial"/>
          <w:b w:val="true"/>
          <w:sz w:val="22"/>
        </w:rPr>
        <w:t>表 5-15 电价波动幅度敏感性分析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峰谷价差倍数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套利收益（万元）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总费用（万元）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紧急购电占比</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1,342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1,296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w:t>
            </w:r>
          </w:p>
        </w:tc>
      </w:tr>
    </w:tbl>
    <w:p>
      <w:pPr>
        <w:spacing w:before="120" w:after="120" w:line="288" w:lineRule="auto"/>
        <w:ind w:left="0"/>
        <w:jc w:val="left"/>
      </w:pPr>
      <w:r>
        <w:rPr>
          <w:rFonts w:eastAsia="等线" w:ascii="Arial" w:cs="Arial" w:hAnsi="Arial"/>
          <w:sz w:val="22"/>
        </w:rPr>
        <w:t>可以看出，峰谷价差越大，套利收益越高，总费用越低，这与经济直觉一致。</w:t>
      </w:r>
    </w:p>
    <w:p>
      <w:pPr>
        <w:pStyle w:val="3"/>
        <w:spacing w:before="300" w:after="120" w:line="288" w:lineRule="auto"/>
        <w:ind w:left="0"/>
        <w:jc w:val="left"/>
        <w:outlineLvl w:val="2"/>
      </w:pPr>
      <w:bookmarkStart w:name="heading_17" w:id="17"/>
      <w:r>
        <w:rPr>
          <w:rFonts w:eastAsia="等线" w:ascii="Arial" w:cs="Arial" w:hAnsi="Arial"/>
          <w:b w:val="true"/>
          <w:sz w:val="30"/>
        </w:rPr>
        <w:t>（2）储能容量的影响</w:t>
      </w:r>
      <w:bookmarkEnd w:id="17"/>
    </w:p>
    <w:p>
      <w:pPr>
        <w:spacing w:before="120" w:after="120" w:line="288" w:lineRule="auto"/>
        <w:ind w:left="0"/>
        <w:jc w:val="left"/>
      </w:pPr>
      <w:r>
        <w:rPr>
          <w:rFonts w:eastAsia="等线" w:ascii="Arial" w:cs="Arial" w:hAnsi="Arial"/>
          <w:sz w:val="22"/>
        </w:rPr>
        <w:t>假设储能容量分别扩大至 15000 kWh、20000 kWh，其余条件不变：</w:t>
      </w:r>
    </w:p>
    <w:p>
      <w:pPr>
        <w:spacing w:before="120" w:after="120" w:line="288" w:lineRule="auto"/>
        <w:ind w:left="0"/>
        <w:jc w:val="left"/>
      </w:pPr>
      <w:r>
        <w:rPr>
          <w:rFonts w:eastAsia="等线" w:ascii="Arial" w:cs="Arial" w:hAnsi="Arial"/>
          <w:b w:val="true"/>
          <w:sz w:val="22"/>
        </w:rPr>
        <w:t>表 5-16 储能容量敏感性分析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储能容量（kWh）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套利收益（万元）</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总费用（万元）</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10800（当前）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1,296</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1,178</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1,072</w:t>
            </w:r>
          </w:p>
        </w:tc>
      </w:tr>
    </w:tbl>
    <w:p>
      <w:pPr>
        <w:spacing w:before="120" w:after="120" w:line="288" w:lineRule="auto"/>
        <w:ind w:left="0"/>
        <w:jc w:val="left"/>
      </w:pPr>
      <w:r>
        <w:rPr>
          <w:rFonts w:eastAsia="等线" w:ascii="Arial" w:cs="Arial" w:hAnsi="Arial"/>
          <w:sz w:val="22"/>
        </w:rPr>
        <w:t>可以看出，储能容量扩大后，套利收益显著增加，总费用进一步下降。这说明</w:t>
      </w:r>
      <w:r>
        <w:rPr>
          <w:rFonts w:eastAsia="等线" w:ascii="Arial" w:cs="Arial" w:hAnsi="Arial"/>
          <w:b w:val="true"/>
          <w:sz w:val="22"/>
        </w:rPr>
        <w:t>储能容量是套利收益的主要瓶颈</w:t>
      </w:r>
      <w:r>
        <w:rPr>
          <w:rFonts w:eastAsia="等线" w:ascii="Arial" w:cs="Arial" w:hAnsi="Arial"/>
          <w:sz w:val="22"/>
        </w:rPr>
        <w:t>。</w:t>
      </w:r>
    </w:p>
    <w:p>
      <w:pPr>
        <w:pStyle w:val="2"/>
        <w:spacing w:before="320" w:after="120" w:line="288" w:lineRule="auto"/>
        <w:ind w:left="0"/>
        <w:jc w:val="left"/>
        <w:outlineLvl w:val="1"/>
      </w:pPr>
      <w:bookmarkStart w:name="heading_18" w:id="18"/>
      <w:r>
        <w:rPr>
          <w:rFonts w:eastAsia="等线" w:ascii="Arial" w:cs="Arial" w:hAnsi="Arial"/>
          <w:b w:val="true"/>
          <w:sz w:val="32"/>
        </w:rPr>
        <w:t>5.5.7 结论</w:t>
      </w:r>
      <w:bookmarkEnd w:id="18"/>
    </w:p>
    <w:p>
      <w:pPr>
        <w:spacing w:before="120" w:after="120" w:line="288" w:lineRule="auto"/>
        <w:ind w:left="0"/>
        <w:jc w:val="left"/>
      </w:pPr>
      <w:r>
        <w:rPr>
          <w:rFonts w:eastAsia="等线" w:ascii="Arial" w:cs="Arial" w:hAnsi="Arial"/>
          <w:sz w:val="22"/>
        </w:rPr>
        <w:t>问题四表明，在实时电价下，微网通过储能套利可以进一步降低购电费用。与固定电价相比，实时电价下储能充电更集中于凌晨低价时段，放电更集中于傍晚高价时段，购电量时段分布发生结构性变化。本文建立的优化模型能够自适应电价波动，具有良好的推广价值。</w:t>
      </w:r>
    </w:p>
    <w:p>
      <w:pPr>
        <w:spacing w:before="120" w:after="120" w:line="288" w:lineRule="auto"/>
        <w:ind w:left="0"/>
        <w:jc w:val="left"/>
      </w:pPr>
      <w:r>
        <w:rPr>
          <w:rFonts w:eastAsia="等线" w:ascii="Arial" w:cs="Arial" w:hAnsi="Arial"/>
          <w:sz w:val="22"/>
        </w:rPr>
        <w:t>主要结论：</w:t>
      </w:r>
    </w:p>
    <w:p>
      <w:pPr>
        <w:numPr>
          <w:numId w:val="29"/>
        </w:numPr>
        <w:spacing w:before="120" w:after="120" w:line="288" w:lineRule="auto"/>
        <w:ind w:left="0"/>
        <w:jc w:val="left"/>
      </w:pPr>
      <w:r>
        <w:rPr>
          <w:rFonts w:eastAsia="等线" w:ascii="Arial" w:cs="Arial" w:hAnsi="Arial"/>
          <w:b w:val="true"/>
          <w:sz w:val="22"/>
        </w:rPr>
        <w:t>问题 4-2 总费用比问题 2 低约 12%</w:t>
      </w:r>
      <w:r>
        <w:rPr>
          <w:rFonts w:eastAsia="等线" w:ascii="Arial" w:cs="Arial" w:hAnsi="Arial"/>
          <w:sz w:val="22"/>
        </w:rPr>
        <w:t>，单位购电成本从 0.65 元 /kWh 降至 0.58 元 /kWh；</w:t>
      </w:r>
    </w:p>
    <w:p>
      <w:pPr>
        <w:numPr>
          <w:numId w:val="30"/>
        </w:numPr>
        <w:spacing w:before="120" w:after="120" w:line="288" w:lineRule="auto"/>
        <w:ind w:left="0"/>
        <w:jc w:val="left"/>
      </w:pPr>
      <w:r>
        <w:rPr>
          <w:rFonts w:eastAsia="等线" w:ascii="Arial" w:cs="Arial" w:hAnsi="Arial"/>
          <w:b w:val="true"/>
          <w:sz w:val="22"/>
        </w:rPr>
        <w:t>问题 4-3 总费用比问题 3 低约 7.4%</w:t>
      </w:r>
      <w:r>
        <w:rPr>
          <w:rFonts w:eastAsia="等线" w:ascii="Arial" w:cs="Arial" w:hAnsi="Arial"/>
          <w:sz w:val="22"/>
        </w:rPr>
        <w:t>，套利收益约 187 万元；</w:t>
      </w:r>
    </w:p>
    <w:p>
      <w:pPr>
        <w:numPr>
          <w:numId w:val="31"/>
        </w:numPr>
        <w:spacing w:before="120" w:after="120" w:line="288" w:lineRule="auto"/>
        <w:ind w:left="0"/>
        <w:jc w:val="left"/>
      </w:pPr>
      <w:r>
        <w:rPr>
          <w:rFonts w:eastAsia="等线" w:ascii="Arial" w:cs="Arial" w:hAnsi="Arial"/>
          <w:b w:val="true"/>
          <w:sz w:val="22"/>
        </w:rPr>
        <w:t>储能行为从 “削峰填谷” 转变为 “低买高卖”</w:t>
      </w:r>
      <w:r>
        <w:rPr>
          <w:rFonts w:eastAsia="等线" w:ascii="Arial" w:cs="Arial" w:hAnsi="Arial"/>
          <w:sz w:val="22"/>
        </w:rPr>
        <w:t>，充电时段从中午转移至凌晨，放电时段从晚高峰转移至傍晚尖峰；</w:t>
      </w:r>
    </w:p>
    <w:p>
      <w:pPr>
        <w:numPr>
          <w:numId w:val="32"/>
        </w:numPr>
        <w:spacing w:before="120" w:after="120" w:line="288" w:lineRule="auto"/>
        <w:ind w:left="0"/>
        <w:jc w:val="left"/>
      </w:pPr>
      <w:r>
        <w:rPr>
          <w:rFonts w:eastAsia="等线" w:ascii="Arial" w:cs="Arial" w:hAnsi="Arial"/>
          <w:b w:val="true"/>
          <w:sz w:val="22"/>
        </w:rPr>
        <w:t>紧急购电量显著下降</w:t>
      </w:r>
      <w:r>
        <w:rPr>
          <w:rFonts w:eastAsia="等线" w:ascii="Arial" w:cs="Arial" w:hAnsi="Arial"/>
          <w:sz w:val="22"/>
        </w:rPr>
        <w:t>，从 1.2% 降至 0.5%，主要集中在凌晨低价时段；</w:t>
      </w:r>
    </w:p>
    <w:p>
      <w:pPr>
        <w:numPr>
          <w:numId w:val="33"/>
        </w:numPr>
        <w:spacing w:before="120" w:after="120" w:line="288" w:lineRule="auto"/>
        <w:ind w:left="0"/>
        <w:jc w:val="left"/>
      </w:pPr>
      <w:r>
        <w:rPr>
          <w:rFonts w:eastAsia="等线" w:ascii="Arial" w:cs="Arial" w:hAnsi="Arial"/>
          <w:b w:val="true"/>
          <w:sz w:val="22"/>
        </w:rPr>
        <w:t>在实时电价下，现有四个预报时刻已足够</w:t>
      </w:r>
      <w:r>
        <w:rPr>
          <w:rFonts w:eastAsia="等线" w:ascii="Arial" w:cs="Arial" w:hAnsi="Arial"/>
          <w:sz w:val="22"/>
        </w:rPr>
        <w:t>，无需引入其他时刻的光伏预报。</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本节完。</w:t>
      </w:r>
    </w:p>
    <w:p>
      <w:pPr>
        <w:spacing w:before="120" w:after="120" w:line="288" w:lineRule="auto"/>
        <w:ind w:left="0"/>
        <w:jc w:val="left"/>
      </w:pPr>
      <w:r>
        <w:rPr>
          <w:rFonts w:eastAsia="等线" w:ascii="Arial" w:cs="Arial" w:hAnsi="Arial"/>
          <w:sz w:val="22"/>
        </w:rPr>
        <w:t>这个建模章节内容体量较大，工作任务模式可以更好地整合全文、统一公式格式，要不要使用？</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83042">
    <w:lvl>
      <w:numFmt w:val="bullet"/>
      <w:suff w:val="tab"/>
      <w:lvlText w:val="•"/>
      <w:rPr>
        <w:color w:val="3370ff"/>
      </w:rPr>
    </w:lvl>
  </w:abstractNum>
  <w:abstractNum w:abstractNumId="783043">
    <w:lvl>
      <w:numFmt w:val="bullet"/>
      <w:suff w:val="tab"/>
      <w:lvlText w:val="•"/>
      <w:rPr>
        <w:color w:val="3370ff"/>
      </w:rPr>
    </w:lvl>
  </w:abstractNum>
  <w:abstractNum w:abstractNumId="783044">
    <w:lvl>
      <w:start w:val="1"/>
      <w:numFmt w:val="decimal"/>
      <w:suff w:val="tab"/>
      <w:lvlText w:val="%1."/>
      <w:rPr>
        <w:color w:val="3370ff"/>
      </w:rPr>
    </w:lvl>
  </w:abstractNum>
  <w:abstractNum w:abstractNumId="783045">
    <w:lvl>
      <w:start w:val="2"/>
      <w:numFmt w:val="decimal"/>
      <w:suff w:val="tab"/>
      <w:lvlText w:val="%1."/>
      <w:rPr>
        <w:color w:val="3370ff"/>
      </w:rPr>
    </w:lvl>
  </w:abstractNum>
  <w:abstractNum w:abstractNumId="783046">
    <w:lvl>
      <w:start w:val="3"/>
      <w:numFmt w:val="decimal"/>
      <w:suff w:val="tab"/>
      <w:lvlText w:val="%1."/>
      <w:rPr>
        <w:color w:val="3370ff"/>
      </w:rPr>
    </w:lvl>
  </w:abstractNum>
  <w:abstractNum w:abstractNumId="783047">
    <w:lvl>
      <w:start w:val="1"/>
      <w:numFmt w:val="decimal"/>
      <w:suff w:val="tab"/>
      <w:lvlText w:val="%1."/>
      <w:rPr>
        <w:color w:val="3370ff"/>
      </w:rPr>
    </w:lvl>
  </w:abstractNum>
  <w:abstractNum w:abstractNumId="783048">
    <w:lvl>
      <w:start w:val="2"/>
      <w:numFmt w:val="decimal"/>
      <w:suff w:val="tab"/>
      <w:lvlText w:val="%1."/>
      <w:rPr>
        <w:color w:val="3370ff"/>
      </w:rPr>
    </w:lvl>
  </w:abstractNum>
  <w:abstractNum w:abstractNumId="783049">
    <w:lvl>
      <w:start w:val="3"/>
      <w:numFmt w:val="decimal"/>
      <w:suff w:val="tab"/>
      <w:lvlText w:val="%1."/>
      <w:rPr>
        <w:color w:val="3370ff"/>
      </w:rPr>
    </w:lvl>
  </w:abstractNum>
  <w:abstractNum w:abstractNumId="783050">
    <w:lvl>
      <w:start w:val="4"/>
      <w:numFmt w:val="decimal"/>
      <w:suff w:val="tab"/>
      <w:lvlText w:val="%1."/>
      <w:rPr>
        <w:color w:val="3370ff"/>
      </w:rPr>
    </w:lvl>
  </w:abstractNum>
  <w:abstractNum w:abstractNumId="783051">
    <w:lvl>
      <w:start w:val="1"/>
      <w:numFmt w:val="decimal"/>
      <w:suff w:val="tab"/>
      <w:lvlText w:val="%1."/>
      <w:rPr>
        <w:color w:val="3370ff"/>
      </w:rPr>
    </w:lvl>
  </w:abstractNum>
  <w:abstractNum w:abstractNumId="783052">
    <w:lvl>
      <w:start w:val="2"/>
      <w:numFmt w:val="decimal"/>
      <w:suff w:val="tab"/>
      <w:lvlText w:val="%1."/>
      <w:rPr>
        <w:color w:val="3370ff"/>
      </w:rPr>
    </w:lvl>
  </w:abstractNum>
  <w:abstractNum w:abstractNumId="783053">
    <w:lvl>
      <w:start w:val="3"/>
      <w:numFmt w:val="decimal"/>
      <w:suff w:val="tab"/>
      <w:lvlText w:val="%1."/>
      <w:rPr>
        <w:color w:val="3370ff"/>
      </w:rPr>
    </w:lvl>
  </w:abstractNum>
  <w:abstractNum w:abstractNumId="783054">
    <w:lvl>
      <w:start w:val="1"/>
      <w:numFmt w:val="decimal"/>
      <w:suff w:val="tab"/>
      <w:lvlText w:val="%1."/>
      <w:rPr>
        <w:color w:val="3370ff"/>
      </w:rPr>
    </w:lvl>
  </w:abstractNum>
  <w:abstractNum w:abstractNumId="783055">
    <w:lvl>
      <w:start w:val="2"/>
      <w:numFmt w:val="decimal"/>
      <w:suff w:val="tab"/>
      <w:lvlText w:val="%1."/>
      <w:rPr>
        <w:color w:val="3370ff"/>
      </w:rPr>
    </w:lvl>
  </w:abstractNum>
  <w:abstractNum w:abstractNumId="783056">
    <w:lvl>
      <w:start w:val="3"/>
      <w:numFmt w:val="decimal"/>
      <w:suff w:val="tab"/>
      <w:lvlText w:val="%1."/>
      <w:rPr>
        <w:color w:val="3370ff"/>
      </w:rPr>
    </w:lvl>
  </w:abstractNum>
  <w:abstractNum w:abstractNumId="783057">
    <w:lvl>
      <w:start w:val="1"/>
      <w:numFmt w:val="decimal"/>
      <w:suff w:val="tab"/>
      <w:lvlText w:val="%1."/>
      <w:rPr>
        <w:color w:val="3370ff"/>
      </w:rPr>
    </w:lvl>
  </w:abstractNum>
  <w:abstractNum w:abstractNumId="783058">
    <w:lvl>
      <w:start w:val="2"/>
      <w:numFmt w:val="decimal"/>
      <w:suff w:val="tab"/>
      <w:lvlText w:val="%1."/>
      <w:rPr>
        <w:color w:val="3370ff"/>
      </w:rPr>
    </w:lvl>
  </w:abstractNum>
  <w:abstractNum w:abstractNumId="783059">
    <w:lvl>
      <w:start w:val="3"/>
      <w:numFmt w:val="decimal"/>
      <w:suff w:val="tab"/>
      <w:lvlText w:val="%1."/>
      <w:rPr>
        <w:color w:val="3370ff"/>
      </w:rPr>
    </w:lvl>
  </w:abstractNum>
  <w:abstractNum w:abstractNumId="783060">
    <w:lvl>
      <w:start w:val="1"/>
      <w:numFmt w:val="decimal"/>
      <w:suff w:val="tab"/>
      <w:lvlText w:val="%1."/>
      <w:rPr>
        <w:color w:val="3370ff"/>
      </w:rPr>
    </w:lvl>
  </w:abstractNum>
  <w:abstractNum w:abstractNumId="783061">
    <w:lvl>
      <w:start w:val="2"/>
      <w:numFmt w:val="decimal"/>
      <w:suff w:val="tab"/>
      <w:lvlText w:val="%1."/>
      <w:rPr>
        <w:color w:val="3370ff"/>
      </w:rPr>
    </w:lvl>
  </w:abstractNum>
  <w:abstractNum w:abstractNumId="783062">
    <w:lvl>
      <w:start w:val="1"/>
      <w:numFmt w:val="decimal"/>
      <w:suff w:val="tab"/>
      <w:lvlText w:val="%1."/>
      <w:rPr>
        <w:color w:val="3370ff"/>
      </w:rPr>
    </w:lvl>
  </w:abstractNum>
  <w:abstractNum w:abstractNumId="783063">
    <w:lvl>
      <w:start w:val="2"/>
      <w:numFmt w:val="decimal"/>
      <w:suff w:val="tab"/>
      <w:lvlText w:val="%1."/>
      <w:rPr>
        <w:color w:val="3370ff"/>
      </w:rPr>
    </w:lvl>
  </w:abstractNum>
  <w:abstractNum w:abstractNumId="783064">
    <w:lvl>
      <w:start w:val="3"/>
      <w:numFmt w:val="decimal"/>
      <w:suff w:val="tab"/>
      <w:lvlText w:val="%1."/>
      <w:rPr>
        <w:color w:val="3370ff"/>
      </w:rPr>
    </w:lvl>
  </w:abstractNum>
  <w:abstractNum w:abstractNumId="783065">
    <w:lvl>
      <w:start w:val="4"/>
      <w:numFmt w:val="decimal"/>
      <w:suff w:val="tab"/>
      <w:lvlText w:val="%1."/>
      <w:rPr>
        <w:color w:val="3370ff"/>
      </w:rPr>
    </w:lvl>
  </w:abstractNum>
  <w:abstractNum w:abstractNumId="783066">
    <w:lvl>
      <w:start w:val="5"/>
      <w:numFmt w:val="decimal"/>
      <w:suff w:val="tab"/>
      <w:lvlText w:val="%1."/>
      <w:rPr>
        <w:color w:val="3370ff"/>
      </w:rPr>
    </w:lvl>
  </w:abstractNum>
  <w:abstractNum w:abstractNumId="783067">
    <w:lvl>
      <w:start w:val="1"/>
      <w:numFmt w:val="decimal"/>
      <w:suff w:val="tab"/>
      <w:lvlText w:val="%1."/>
      <w:rPr>
        <w:color w:val="3370ff"/>
      </w:rPr>
    </w:lvl>
  </w:abstractNum>
  <w:abstractNum w:abstractNumId="783068">
    <w:lvl>
      <w:start w:val="2"/>
      <w:numFmt w:val="decimal"/>
      <w:suff w:val="tab"/>
      <w:lvlText w:val="%1."/>
      <w:rPr>
        <w:color w:val="3370ff"/>
      </w:rPr>
    </w:lvl>
  </w:abstractNum>
  <w:abstractNum w:abstractNumId="783069">
    <w:lvl>
      <w:start w:val="3"/>
      <w:numFmt w:val="decimal"/>
      <w:suff w:val="tab"/>
      <w:lvlText w:val="%1."/>
      <w:rPr>
        <w:color w:val="3370ff"/>
      </w:rPr>
    </w:lvl>
  </w:abstractNum>
  <w:abstractNum w:abstractNumId="783070">
    <w:lvl>
      <w:start w:val="1"/>
      <w:numFmt w:val="decimal"/>
      <w:suff w:val="tab"/>
      <w:lvlText w:val="%1."/>
      <w:rPr>
        <w:color w:val="3370ff"/>
      </w:rPr>
    </w:lvl>
  </w:abstractNum>
  <w:abstractNum w:abstractNumId="783071">
    <w:lvl>
      <w:start w:val="2"/>
      <w:numFmt w:val="decimal"/>
      <w:suff w:val="tab"/>
      <w:lvlText w:val="%1."/>
      <w:rPr>
        <w:color w:val="3370ff"/>
      </w:rPr>
    </w:lvl>
  </w:abstractNum>
  <w:abstractNum w:abstractNumId="783072">
    <w:lvl>
      <w:start w:val="3"/>
      <w:numFmt w:val="decimal"/>
      <w:suff w:val="tab"/>
      <w:lvlText w:val="%1."/>
      <w:rPr>
        <w:color w:val="3370ff"/>
      </w:rPr>
    </w:lvl>
  </w:abstractNum>
  <w:abstractNum w:abstractNumId="783073">
    <w:lvl>
      <w:start w:val="4"/>
      <w:numFmt w:val="decimal"/>
      <w:suff w:val="tab"/>
      <w:lvlText w:val="%1."/>
      <w:rPr>
        <w:color w:val="3370ff"/>
      </w:rPr>
    </w:lvl>
  </w:abstractNum>
  <w:abstractNum w:abstractNumId="783074">
    <w:lvl>
      <w:start w:val="5"/>
      <w:numFmt w:val="decimal"/>
      <w:suff w:val="tab"/>
      <w:lvlText w:val="%1."/>
      <w:rPr>
        <w:color w:val="3370ff"/>
      </w:rPr>
    </w:lvl>
  </w:abstractNum>
  <w:num w:numId="1">
    <w:abstractNumId w:val="783042"/>
  </w:num>
  <w:num w:numId="2">
    <w:abstractNumId w:val="783043"/>
  </w:num>
  <w:num w:numId="3">
    <w:abstractNumId w:val="783044"/>
  </w:num>
  <w:num w:numId="4">
    <w:abstractNumId w:val="783045"/>
  </w:num>
  <w:num w:numId="5">
    <w:abstractNumId w:val="783046"/>
  </w:num>
  <w:num w:numId="6">
    <w:abstractNumId w:val="783047"/>
  </w:num>
  <w:num w:numId="7">
    <w:abstractNumId w:val="783048"/>
  </w:num>
  <w:num w:numId="8">
    <w:abstractNumId w:val="783049"/>
  </w:num>
  <w:num w:numId="9">
    <w:abstractNumId w:val="783050"/>
  </w:num>
  <w:num w:numId="10">
    <w:abstractNumId w:val="783051"/>
  </w:num>
  <w:num w:numId="11">
    <w:abstractNumId w:val="783052"/>
  </w:num>
  <w:num w:numId="12">
    <w:abstractNumId w:val="783053"/>
  </w:num>
  <w:num w:numId="13">
    <w:abstractNumId w:val="783054"/>
  </w:num>
  <w:num w:numId="14">
    <w:abstractNumId w:val="783055"/>
  </w:num>
  <w:num w:numId="15">
    <w:abstractNumId w:val="783056"/>
  </w:num>
  <w:num w:numId="16">
    <w:abstractNumId w:val="783057"/>
  </w:num>
  <w:num w:numId="17">
    <w:abstractNumId w:val="783058"/>
  </w:num>
  <w:num w:numId="18">
    <w:abstractNumId w:val="783059"/>
  </w:num>
  <w:num w:numId="19">
    <w:abstractNumId w:val="783060"/>
  </w:num>
  <w:num w:numId="20">
    <w:abstractNumId w:val="783061"/>
  </w:num>
  <w:num w:numId="21">
    <w:abstractNumId w:val="783062"/>
  </w:num>
  <w:num w:numId="22">
    <w:abstractNumId w:val="783063"/>
  </w:num>
  <w:num w:numId="23">
    <w:abstractNumId w:val="783064"/>
  </w:num>
  <w:num w:numId="24">
    <w:abstractNumId w:val="783065"/>
  </w:num>
  <w:num w:numId="25">
    <w:abstractNumId w:val="783066"/>
  </w:num>
  <w:num w:numId="26">
    <w:abstractNumId w:val="783067"/>
  </w:num>
  <w:num w:numId="27">
    <w:abstractNumId w:val="783068"/>
  </w:num>
  <w:num w:numId="28">
    <w:abstractNumId w:val="783069"/>
  </w:num>
  <w:num w:numId="29">
    <w:abstractNumId w:val="783070"/>
  </w:num>
  <w:num w:numId="30">
    <w:abstractNumId w:val="783071"/>
  </w:num>
  <w:num w:numId="31">
    <w:abstractNumId w:val="783072"/>
  </w:num>
  <w:num w:numId="32">
    <w:abstractNumId w:val="783073"/>
  </w:num>
  <w:num w:numId="33">
    <w:abstractNumId w:val="78307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2026-09-12T07:34:29Z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{"Label":"1","ContentProducer":"001191110102MACQD9K64010000","ProduceID":"7684548879006469076","ReservedCode1":"","ContentPropagator":"","PropagateID":"","ReservedCode2":""}</vt:lpwstr>
  </property>
</Properties>
</file>