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A股市场轻量化人工智能选股与全链路工程架构系统开发方案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A股市场作为一个充满活力且微观结构极为复杂的金融生态系统，长期以来呈现出典型的高噪声、收益率厚尾分布以及受政策扰动显著的非线性波动特征。本报告旨在系统性地论述并设计一套面向A股市场的轻量化、低执行成本的人工智能选股工具。</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系统彻底摒弃了昂贵的高频数据专线与极度耗费算力的超大型私有化深度学习模型训练，转而采用开源免费的数据接口与极具性价比的商用大语言模型（LLM）API。系统专注于“当下市场”的全息数据摄取，构建包含宏观环境与行业轮动感知、多维度AI策略并发筛查（涵盖自然语言解析的消息面、模式识别驱动的技术面、以及短线涨停情绪面）的综合型智能投研决策中枢。</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全息数据源体系与底层特征工程基座</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为了大幅度降低开发与运行成本，本系统的数据摄取层全面转向开源与免费的金融数据框架，剔除了所有需要高昂授权费用的商业数据源。</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在系统的信息源接入规范中，数据维度被划分为三大核心层级：</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数据维度层级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核心数据指标与特征描述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数据来源与采集机制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对应支撑的AI功能模块</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宏观、宽基与行业数据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上证指数、各行业ETF的开高低收、分钟级K线；Shibor利率、北向资金流向。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采用免费开源框架AKShare，支持A股实时K线、历史K线及分钟K线获取，完全满足初学者和中小项目的需求，替代需高额付费的Tushare。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宏观环境情绪感知、行业轮动与仓位决策系统。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非结构化文本数据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证监会公告、权威咨询平台的宏观定调与产业政策新闻；财报摘要。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基础Python爬虫（如BeautifulSoup/Requests）结合公开RSS源。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消息面选股与大语言模型事件驱动策略。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中长期技术面与盘口特征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个股复权后的历史日线交易数据；换手率、涨停封单额、资金净流入等衍生指标。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AKShare开源接口每日定时拉取。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技术形态识别与短线情绪连板预测。</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在数据预处理阶段，系统自动剔除不具备普遍交易规律的标的（如新股、次新股、长期停牌股及ST股）。所有的价格与成交量数据将进行基础的标准化处理，以便直接输送给轻量级算法与大模型API。</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核心功能一：宏观情绪感知与行业轮动轮动决策引擎</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A股特有的政策市与资金市特征，决定了在系统性杀跌的环境中，任何单一选股策略的胜率都会被极度压缩。为了降低开发难度，系统摒弃了复杂的隐马尔可夫模型与强化学习，改用“大模型RAG解析 + 均线动量打分”的轻量化双引擎来决定仓位与主攻方向。</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首先，在宏观政策与流动性感知上，系统采用 DeepSeek API 结合本地知识库（RAG 技术）对新闻文本进行解析。DeepSeek 等现代大模型展现了强大的文本理解能力，能够有效量化政策信号强弱及其对市场的影响，提取政策关键词并分析情感倾向。更为重要的是，DeepSeek API 的调用成本极低（例如，其缓存命中情况下的输入价格低至0.07美元/百万tokens，输出价格为1.10美元/百万tokens或更低），极其适合系统进行高频的自动化宏观文本分析</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在确立了宏观安全边际后，系统引入了一套易于编码的“均线策略识别趋势强度”算法来捕捉A股频繁的行业轮动。系统通过提取各大行业指数的短中长期均线（如10、20、60、120日），计算均线的扩散间距与时序变化得分：</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如果多条均线均出现上升且间距扩大，则计高分，代表该行业中短期上涨特征极度明显。</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结合资金流波动率指标，筛选出资金行为趋于一致（波动收敛）的板块。</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系统将在这套逻辑下，每日自动锁定“趋势明确+资金共识”的前5大核心行业板块，指导后续的个股筛选只在这些强势板块中进行，从而大幅提高命中率。</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核心功能二：多维度交易策略选股筛查集群</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在确定了核心板块与仓位上限后，系统的并行的三大AI选股策略将从消息面、技术面与短线情绪面进行标的筛查。</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策略体系2.1：基于大模型API的消息面事件驱动选股</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本功能模块旨在通过低成本的API调用，先于个人投资者解析海量消息面并锁定受益标的。</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系统每日盘前或盘中抓取最新的财经快讯与行业政策，直接批量打包发送至 DeepSeek 接口。AI模型通过Prompt指令被要求：</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精准提取文本中的利好/利空属性。</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关联具体的A股上市公司。</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给出该事件对个股短期表现的情感打分（0-100分）。</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系统自动将得分超过80分的新闻关联个股纳入当天的“消息面备选池”，无需开发者自行构建复杂的产业链知识图谱或训练本地NLP模型。</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策略体系2.2：基于AI图表模式匹配的技术面选股</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为了规避训练复杂的卷积神经网络（CNN-LSTM）带来的巨大算力开销和过拟合难题，技术面选股转而采用更具实操性的“AI图表模式匹配”路线。</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基于过去海量的历史股价数据，通过AI算法预先提取并分类出数百种典型的上涨与下跌形态（如双底、突破前期高点、多头排列等）。在每日复盘时，AI能够通过对比当下个股走势与历史模式的相似度，自动识别股价可能上涨或下跌的模式，从而在早期阶段为实盘交易确认潜在的投资机会。这种关注过去多次重现的股价走势的“图表模式分析”，计算量小且对初学者与实战交易十分直观友好。</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策略体系2.3：短线情绪面与“涨停接力”量化筛选</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A股独特的“涨跌幅限制”催生了极具特色的短线“打板”生态。系统无需购买昂贵的Level-2极速数据，仅利用免费行情接口中的日线/分钟线快照，即可实现对短线情绪的高效分析。</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系统每日统计昨日涨停的股票梯队，量化评估热点板块的资金集中度与换手效率，快速识别涨停梯队中的强势标的。核心提取特征包括：</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时间特征</w:t>
      </w:r>
      <w:r w:rsidDel="00000000" w:rsidR="00000000" w:rsidRPr="00000000">
        <w:rPr>
          <w:rFonts w:ascii="Google Sans" w:cs="Google Sans" w:eastAsia="Google Sans" w:hAnsi="Google Sans"/>
          <w:color w:val="1f1f1f"/>
          <w:rtl w:val="0"/>
        </w:rPr>
        <w:t xml:space="preserve">：利用分钟K线获取昨日首次触及涨停板的时间。早盘涨停的个股将被赋予更高的溢价权重。</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微观流动性</w:t>
      </w:r>
      <w:r w:rsidDel="00000000" w:rsidR="00000000" w:rsidRPr="00000000">
        <w:rPr>
          <w:rFonts w:ascii="Google Sans" w:cs="Google Sans" w:eastAsia="Google Sans" w:hAnsi="Google Sans"/>
          <w:color w:val="1f1f1f"/>
          <w:rtl w:val="0"/>
        </w:rPr>
        <w:t xml:space="preserve">：提取收盘时涨停板排队封单总额与流通市值的比例，过滤掉封单极弱的标的。</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换手率评估</w:t>
      </w:r>
      <w:r w:rsidDel="00000000" w:rsidR="00000000" w:rsidRPr="00000000">
        <w:rPr>
          <w:rFonts w:ascii="Google Sans" w:cs="Google Sans" w:eastAsia="Google Sans" w:hAnsi="Google Sans"/>
          <w:color w:val="1f1f1f"/>
          <w:rtl w:val="0"/>
        </w:rPr>
        <w:t xml:space="preserve">：量化昨日涨停时的换手率是否充足，识别良性的“换手接力板”而非随时可能崩盘的无量一字板。</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综合上述量价数据与情绪指标，系统通过基础的机器学习模型（如轻量级的随机森林或逻辑回归，甚至加权打分公式）对标的进行排序，每日早盘输出具备极强短线爆发力的“接力候选池”。</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核心功能三：极简风控系统与可视化平台部署</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为确保该选股工具的易用性与生存能力，系统配备了实用的风控与可视化界面。</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补充功能3.1：基于ATR的自适应风控系统</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系统摒弃了复杂的组合VaR风险价值计算，采用简单高效的自适应吊灯止损机制（Chandelier Exit）。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系统根据个股的平均真实波幅（ATR）计算合理的止损距离。随着选出的股票股价创出新高，系统自动上移止盈止损线。这种风控机制计算极为轻量，既能保护既得利润，又能给予强势股在其正常波动率范围内自由震荡的空间，避免被洗盘出局。</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补充功能3.2：轻量级交互式选股可视化操作平台</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后端采用高性能的异步框架FastAPI提供数据接口，前端深度融合ECharts等开源数据可视化组件，构建出极简直观的操作台。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用户能够在界面上实时查看AI每日推荐的股票列表。通过可视化的图表模式，用户可以直观看到AI标注出的技术突破点、宏观文本情感得分以及所属的轮动行业归属。系统将所有算力与展示资源倾注于“当下选股建议”与“逻辑解释”这一核心诉求上，成为个人投资者极具性价比的实战利器。</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开发方案通过引入AKShare开源数据接口与高性价比的DeepSeek大语言模型API，大幅削减了底层数据获取与模型训练的资金及算力成本。以宏观RAG与均线轮动为导向，结合AI图表模式与基础短线情绪量化的策略矩阵，使得这套AI选股工具不仅在工程开发上易于实现，更能切实帮助投资者在复杂的A股市场中快速捕捉热点并辅以严密的纪律风控。</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深度学习在股票投资中的应用, 访问时间为 四月 6, 2026， </w:t>
      </w:r>
      <w:hyperlink r:id="rId6">
        <w:r w:rsidDel="00000000" w:rsidR="00000000" w:rsidRPr="00000000">
          <w:rPr>
            <w:rFonts w:ascii="Google Sans" w:cs="Google Sans" w:eastAsia="Google Sans" w:hAnsi="Google Sans"/>
            <w:color w:val="0000ee"/>
            <w:sz w:val="24"/>
            <w:szCs w:val="24"/>
            <w:u w:val="single"/>
            <w:rtl w:val="0"/>
          </w:rPr>
          <w:t xml:space="preserve">https://bimsa.net/doc/publication/1519.pdf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imsa.net/doc/publication/151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