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研究所/中心</w:t>
            </w:r>
          </w:p>
        </w:tc>
        <w:tc>
          <w:tcPr>
            <w:tcW w:w="5466" w:type="dxa"/>
          </w:tcPr>
          <w:p>
            <w:pPr>
              <w:jc w:val="center"/>
              <w:rPr>
                <w:rFonts w:ascii="微软雅黑" w:hAnsi="微软雅黑" w:eastAsia="微软雅黑"/>
              </w:rPr>
            </w:pPr>
            <w:r>
              <w:rPr>
                <w:rFonts w:hint="eastAsia" w:ascii="微软雅黑" w:hAnsi="微软雅黑" w:eastAsia="微软雅黑"/>
              </w:rPr>
              <w:t>可视计算研究中心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成果（论文）名（英文）</w:t>
            </w:r>
          </w:p>
        </w:tc>
        <w:tc>
          <w:tcPr>
            <w:tcW w:w="5466" w:type="dxa"/>
          </w:tcPr>
          <w:p>
            <w:pPr>
              <w:jc w:val="center"/>
              <w:rPr>
                <w:rFonts w:ascii="微软雅黑" w:hAnsi="微软雅黑" w:eastAsia="微软雅黑"/>
              </w:rPr>
            </w:pPr>
            <w:r>
              <w:rPr>
                <w:rFonts w:ascii="微软雅黑" w:hAnsi="微软雅黑" w:eastAsia="微软雅黑"/>
              </w:rPr>
              <w:t>LOGAN: Unpaired Shape Transform in Latent Overcomplete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年份</w:t>
            </w:r>
          </w:p>
        </w:tc>
        <w:tc>
          <w:tcPr>
            <w:tcW w:w="5466" w:type="dxa"/>
          </w:tcPr>
          <w:p>
            <w:pPr>
              <w:jc w:val="center"/>
              <w:rPr>
                <w:rFonts w:ascii="微软雅黑" w:hAnsi="微软雅黑" w:eastAsia="微软雅黑"/>
              </w:rPr>
            </w:pPr>
            <w:r>
              <w:rPr>
                <w:rFonts w:ascii="微软雅黑" w:hAnsi="微软雅黑" w:eastAsia="微软雅黑"/>
              </w:rPr>
              <w:t>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刊物名（英文）</w:t>
            </w:r>
          </w:p>
        </w:tc>
        <w:tc>
          <w:tcPr>
            <w:tcW w:w="5466" w:type="dxa"/>
          </w:tcPr>
          <w:p>
            <w:pPr>
              <w:jc w:val="center"/>
              <w:rPr>
                <w:rFonts w:ascii="微软雅黑" w:hAnsi="微软雅黑" w:eastAsia="微软雅黑"/>
              </w:rPr>
            </w:pPr>
            <w:r>
              <w:rPr>
                <w:rFonts w:ascii="微软雅黑" w:hAnsi="微软雅黑" w:eastAsia="微软雅黑"/>
              </w:rPr>
              <w:t>ACM Transactions on Graphics (Proceedings of SIGGRAPH ASIA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作者（多个作者按顺序用“,”隔开）（英文）</w:t>
            </w:r>
          </w:p>
        </w:tc>
        <w:tc>
          <w:tcPr>
            <w:tcW w:w="5466" w:type="dxa"/>
          </w:tcPr>
          <w:p>
            <w:pPr>
              <w:jc w:val="center"/>
              <w:rPr>
                <w:rFonts w:ascii="微软雅黑" w:hAnsi="微软雅黑" w:eastAsia="微软雅黑"/>
                <w:vertAlign w:val="superscript"/>
              </w:rPr>
            </w:pPr>
            <w:r>
              <w:rPr>
                <w:rFonts w:ascii="微软雅黑" w:hAnsi="微软雅黑" w:eastAsia="微软雅黑"/>
                <w:shd w:val="clear" w:color="auto" w:fill="FFFFFF"/>
              </w:rPr>
              <w:t>Kangxue Yin1, Zhiqin Chen1, Hui Huang2, Daniel Cohen-Or2,3, Hao Zhang1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全部作者单位（英文）</w:t>
            </w:r>
          </w:p>
        </w:tc>
        <w:tc>
          <w:tcPr>
            <w:tcW w:w="5466" w:type="dxa"/>
          </w:tcPr>
          <w:p>
            <w:pPr>
              <w:jc w:val="center"/>
              <w:rPr>
                <w:rFonts w:ascii="微软雅黑" w:hAnsi="微软雅黑" w:eastAsia="微软雅黑"/>
              </w:rPr>
            </w:pPr>
            <w:r>
              <w:rPr>
                <w:rFonts w:ascii="微软雅黑" w:hAnsi="微软雅黑" w:eastAsia="微软雅黑"/>
              </w:rPr>
              <w:t>Simon Fraser University,Shenzhen University, Tel Aviv University</w:t>
            </w:r>
          </w:p>
        </w:tc>
      </w:tr>
    </w:tbl>
    <w:p>
      <w:pPr>
        <w:widowControl/>
        <w:shd w:val="clear" w:color="auto" w:fill="FFFFFF"/>
        <w:jc w:val="center"/>
        <w:outlineLvl w:val="2"/>
        <w:rPr>
          <w:rFonts w:ascii="Arial" w:hAnsi="Arial" w:eastAsia="宋体" w:cs="Arial"/>
          <w:b/>
          <w:bCs/>
          <w:color w:val="930040"/>
          <w:kern w:val="0"/>
          <w:sz w:val="48"/>
          <w:szCs w:val="48"/>
        </w:rPr>
      </w:pPr>
    </w:p>
    <w:p>
      <w:pPr>
        <w:widowControl/>
        <w:jc w:val="left"/>
        <w:rPr>
          <w:rFonts w:ascii="Arial" w:hAnsi="Arial" w:eastAsia="宋体" w:cs="Arial"/>
          <w:b/>
          <w:bCs/>
          <w:color w:val="930040"/>
          <w:kern w:val="0"/>
          <w:sz w:val="48"/>
          <w:szCs w:val="48"/>
        </w:rPr>
      </w:pPr>
      <w:r>
        <w:rPr>
          <w:rFonts w:ascii="Arial" w:hAnsi="Arial" w:eastAsia="宋体" w:cs="Arial"/>
          <w:b/>
          <w:bCs/>
          <w:color w:val="930040"/>
          <w:kern w:val="0"/>
          <w:sz w:val="48"/>
          <w:szCs w:val="48"/>
        </w:rPr>
        <w:br w:type="page"/>
      </w:r>
    </w:p>
    <w:p>
      <w:pPr>
        <w:pStyle w:val="2"/>
        <w:shd w:val="clear" w:color="auto" w:fill="FFFFFF"/>
        <w:spacing w:before="0" w:beforeAutospacing="0" w:after="0" w:afterAutospacing="0"/>
        <w:jc w:val="center"/>
        <w:rPr>
          <w:rFonts w:ascii="Arial" w:hAnsi="Arial" w:cs="Arial"/>
          <w:color w:val="930040"/>
          <w:sz w:val="48"/>
          <w:szCs w:val="48"/>
        </w:rPr>
      </w:pPr>
      <w:r>
        <w:rPr>
          <w:rFonts w:ascii="Arial" w:hAnsi="Arial" w:cs="Arial"/>
          <w:color w:val="930040"/>
          <w:sz w:val="48"/>
          <w:szCs w:val="48"/>
        </w:rPr>
        <w:t>LOGAN: Unpaired Shape Transform in Latent Overcomplete Space</w:t>
      </w:r>
    </w:p>
    <w:p>
      <w:pPr>
        <w:pStyle w:val="5"/>
        <w:shd w:val="clear" w:color="auto" w:fill="FFFFFF"/>
        <w:spacing w:before="0" w:beforeAutospacing="0" w:after="0" w:afterAutospacing="0"/>
        <w:jc w:val="center"/>
        <w:rPr>
          <w:rFonts w:ascii="Helvetica" w:hAnsi="Helvetica" w:cs="Helvetica"/>
          <w:color w:val="000000"/>
          <w:sz w:val="18"/>
          <w:szCs w:val="18"/>
        </w:rPr>
      </w:pPr>
      <w:r>
        <w:rPr>
          <w:rStyle w:val="9"/>
          <w:rFonts w:ascii="Helvetica" w:hAnsi="Helvetica" w:cs="Helvetica"/>
          <w:color w:val="000000"/>
          <w:sz w:val="27"/>
          <w:szCs w:val="27"/>
        </w:rPr>
        <w:t>ACM Transactions on Graphics (Proceedings of SIGGRAPH ASIA 2019)</w:t>
      </w:r>
    </w:p>
    <w:p>
      <w:pPr>
        <w:pStyle w:val="5"/>
        <w:shd w:val="clear" w:color="auto" w:fill="FFFFFF"/>
        <w:spacing w:before="0" w:beforeAutospacing="0" w:after="0" w:afterAutospacing="0"/>
        <w:rPr>
          <w:rFonts w:ascii="Helvetica" w:hAnsi="Helvetica" w:cs="Helvetica"/>
          <w:color w:val="000000"/>
          <w:sz w:val="18"/>
          <w:szCs w:val="18"/>
        </w:rPr>
      </w:pPr>
    </w:p>
    <w:p>
      <w:pPr>
        <w:pStyle w:val="5"/>
        <w:shd w:val="clear" w:color="auto" w:fill="FFFFFF"/>
        <w:spacing w:before="0" w:beforeAutospacing="0" w:after="0" w:afterAutospacing="0"/>
        <w:jc w:val="center"/>
        <w:rPr>
          <w:rFonts w:ascii="Helvetica" w:hAnsi="Helvetica" w:cs="Helvetica"/>
          <w:color w:val="000000"/>
          <w:sz w:val="18"/>
          <w:szCs w:val="18"/>
        </w:rPr>
      </w:pPr>
      <w:r>
        <w:rPr>
          <w:rFonts w:ascii="Helvetica" w:hAnsi="Helvetica" w:cs="Helvetica"/>
          <w:color w:val="000000"/>
          <w:sz w:val="21"/>
          <w:szCs w:val="21"/>
        </w:rPr>
        <w:t>Kangxue Yin</w:t>
      </w:r>
      <w:r>
        <w:rPr>
          <w:rFonts w:ascii="Helvetica" w:hAnsi="Helvetica" w:cs="Helvetica"/>
          <w:color w:val="000000"/>
          <w:sz w:val="21"/>
          <w:szCs w:val="21"/>
          <w:vertAlign w:val="superscript"/>
        </w:rPr>
        <w:t>1</w:t>
      </w:r>
      <w:r>
        <w:rPr>
          <w:rFonts w:ascii="Helvetica" w:hAnsi="Helvetica" w:cs="Helvetica"/>
          <w:color w:val="000000"/>
          <w:sz w:val="21"/>
          <w:szCs w:val="21"/>
        </w:rPr>
        <w:t>    Zhiqin Chen</w:t>
      </w:r>
      <w:r>
        <w:rPr>
          <w:rFonts w:ascii="Helvetica" w:hAnsi="Helvetica" w:cs="Helvetica"/>
          <w:color w:val="000000"/>
          <w:sz w:val="21"/>
          <w:szCs w:val="21"/>
          <w:vertAlign w:val="superscript"/>
        </w:rPr>
        <w:t>1</w:t>
      </w:r>
      <w:r>
        <w:rPr>
          <w:rFonts w:ascii="Helvetica" w:hAnsi="Helvetica" w:cs="Helvetica"/>
          <w:color w:val="000000"/>
          <w:sz w:val="21"/>
          <w:szCs w:val="21"/>
        </w:rPr>
        <w:t>    </w:t>
      </w:r>
      <w:r>
        <w:fldChar w:fldCharType="begin"/>
      </w:r>
      <w:r>
        <w:instrText xml:space="preserve"> HYPERLINK "https://vcc.tech/~huihuang" \t "_blank" </w:instrText>
      </w:r>
      <w:r>
        <w:fldChar w:fldCharType="separate"/>
      </w:r>
      <w:r>
        <w:rPr>
          <w:rStyle w:val="11"/>
          <w:rFonts w:ascii="Helvetica" w:hAnsi="Helvetica" w:cs="Helvetica"/>
          <w:sz w:val="21"/>
          <w:szCs w:val="21"/>
        </w:rPr>
        <w:t>Hui Huang</w:t>
      </w:r>
      <w:r>
        <w:rPr>
          <w:rStyle w:val="11"/>
          <w:rFonts w:ascii="Helvetica" w:hAnsi="Helvetica" w:cs="Helvetica"/>
          <w:sz w:val="21"/>
          <w:szCs w:val="21"/>
        </w:rPr>
        <w:fldChar w:fldCharType="end"/>
      </w:r>
      <w:r>
        <w:rPr>
          <w:rFonts w:ascii="Helvetica" w:hAnsi="Helvetica" w:cs="Helvetica"/>
          <w:color w:val="000000"/>
          <w:sz w:val="21"/>
          <w:szCs w:val="21"/>
          <w:vertAlign w:val="superscript"/>
        </w:rPr>
        <w:t>2</w:t>
      </w:r>
      <w:r>
        <w:rPr>
          <w:rFonts w:ascii="Helvetica" w:hAnsi="Helvetica" w:cs="Helvetica"/>
          <w:color w:val="000000"/>
          <w:sz w:val="21"/>
          <w:szCs w:val="21"/>
        </w:rPr>
        <w:t>    </w:t>
      </w:r>
      <w:r>
        <w:fldChar w:fldCharType="begin"/>
      </w:r>
      <w:r>
        <w:instrText xml:space="preserve"> HYPERLINK "http://www.math.tau.ac.il/~dcor/" \t "_blank" </w:instrText>
      </w:r>
      <w:r>
        <w:fldChar w:fldCharType="separate"/>
      </w:r>
      <w:r>
        <w:rPr>
          <w:rStyle w:val="11"/>
          <w:rFonts w:ascii="Helvetica" w:hAnsi="Helvetica" w:cs="Helvetica"/>
          <w:sz w:val="21"/>
          <w:szCs w:val="21"/>
        </w:rPr>
        <w:t>Daniel Cohen-Or</w:t>
      </w:r>
      <w:r>
        <w:rPr>
          <w:rStyle w:val="11"/>
          <w:rFonts w:ascii="Helvetica" w:hAnsi="Helvetica" w:cs="Helvetica"/>
          <w:sz w:val="21"/>
          <w:szCs w:val="21"/>
        </w:rPr>
        <w:fldChar w:fldCharType="end"/>
      </w:r>
      <w:r>
        <w:rPr>
          <w:rFonts w:ascii="Helvetica" w:hAnsi="Helvetica" w:cs="Helvetica"/>
          <w:color w:val="000000"/>
          <w:sz w:val="21"/>
          <w:szCs w:val="21"/>
          <w:vertAlign w:val="superscript"/>
        </w:rPr>
        <w:t>2,3</w:t>
      </w:r>
      <w:r>
        <w:rPr>
          <w:rFonts w:ascii="Helvetica" w:hAnsi="Helvetica" w:cs="Helvetica"/>
          <w:color w:val="000000"/>
          <w:sz w:val="21"/>
          <w:szCs w:val="21"/>
        </w:rPr>
        <w:t>    </w:t>
      </w:r>
      <w:r>
        <w:fldChar w:fldCharType="begin"/>
      </w:r>
      <w:r>
        <w:instrText xml:space="preserve"> HYPERLINK "https://www2.cs.sfu.ca/~haoz/" \t "_blank" </w:instrText>
      </w:r>
      <w:r>
        <w:fldChar w:fldCharType="separate"/>
      </w:r>
      <w:r>
        <w:rPr>
          <w:rStyle w:val="11"/>
          <w:rFonts w:ascii="Helvetica" w:hAnsi="Helvetica" w:cs="Helvetica"/>
          <w:sz w:val="21"/>
          <w:szCs w:val="21"/>
        </w:rPr>
        <w:t>Hao Zhang</w:t>
      </w:r>
      <w:r>
        <w:rPr>
          <w:rStyle w:val="11"/>
          <w:rFonts w:ascii="Helvetica" w:hAnsi="Helvetica" w:cs="Helvetica"/>
          <w:sz w:val="21"/>
          <w:szCs w:val="21"/>
        </w:rPr>
        <w:fldChar w:fldCharType="end"/>
      </w:r>
      <w:r>
        <w:rPr>
          <w:rFonts w:ascii="Helvetica" w:hAnsi="Helvetica" w:cs="Helvetica"/>
          <w:color w:val="000000"/>
          <w:sz w:val="21"/>
          <w:szCs w:val="21"/>
          <w:vertAlign w:val="superscript"/>
        </w:rPr>
        <w:t>1</w:t>
      </w:r>
    </w:p>
    <w:p>
      <w:pPr>
        <w:pStyle w:val="5"/>
        <w:shd w:val="clear" w:color="auto" w:fill="FFFFFF"/>
        <w:spacing w:before="0" w:beforeAutospacing="0" w:after="0" w:afterAutospacing="0"/>
        <w:jc w:val="center"/>
        <w:rPr>
          <w:rFonts w:ascii="Helvetica" w:hAnsi="Helvetica" w:cs="Helvetica"/>
          <w:color w:val="000000"/>
          <w:sz w:val="18"/>
          <w:szCs w:val="18"/>
        </w:rPr>
      </w:pPr>
      <w:r>
        <w:rPr>
          <w:rFonts w:ascii="Helvetica" w:hAnsi="Helvetica" w:cs="Helvetica"/>
          <w:color w:val="000000"/>
          <w:sz w:val="21"/>
          <w:szCs w:val="21"/>
          <w:vertAlign w:val="superscript"/>
        </w:rPr>
        <w:t>1</w:t>
      </w:r>
      <w:r>
        <w:rPr>
          <w:rFonts w:ascii="Helvetica" w:hAnsi="Helvetica" w:cs="Helvetica"/>
          <w:color w:val="000000"/>
          <w:sz w:val="21"/>
          <w:szCs w:val="21"/>
        </w:rPr>
        <w:t>Simon Fraser University    </w:t>
      </w:r>
      <w:r>
        <w:rPr>
          <w:rFonts w:ascii="Helvetica" w:hAnsi="Helvetica" w:cs="Helvetica"/>
          <w:color w:val="000000"/>
          <w:sz w:val="21"/>
          <w:szCs w:val="21"/>
          <w:vertAlign w:val="superscript"/>
        </w:rPr>
        <w:t>2</w:t>
      </w:r>
      <w:r>
        <w:rPr>
          <w:rFonts w:ascii="Helvetica" w:hAnsi="Helvetica" w:cs="Helvetica"/>
          <w:color w:val="000000"/>
          <w:sz w:val="21"/>
          <w:szCs w:val="21"/>
        </w:rPr>
        <w:t>Shenzhen University    </w:t>
      </w:r>
      <w:r>
        <w:rPr>
          <w:rFonts w:ascii="Helvetica" w:hAnsi="Helvetica" w:cs="Helvetica"/>
          <w:color w:val="000000"/>
          <w:sz w:val="21"/>
          <w:szCs w:val="21"/>
          <w:vertAlign w:val="superscript"/>
        </w:rPr>
        <w:t>3</w:t>
      </w:r>
      <w:r>
        <w:rPr>
          <w:rFonts w:ascii="Helvetica" w:hAnsi="Helvetica" w:cs="Helvetica"/>
          <w:color w:val="000000"/>
          <w:sz w:val="21"/>
          <w:szCs w:val="21"/>
        </w:rPr>
        <w:t>Tel Aviv University</w:t>
      </w:r>
    </w:p>
    <w:p>
      <w:pPr>
        <w:widowControl/>
        <w:shd w:val="clear" w:color="auto" w:fill="FFFFFF"/>
        <w:jc w:val="center"/>
        <w:rPr>
          <w:rFonts w:ascii="Helvetica" w:hAnsi="Helvetica" w:eastAsia="宋体" w:cs="Helvetica"/>
          <w:color w:val="000000"/>
          <w:kern w:val="0"/>
          <w:sz w:val="18"/>
          <w:szCs w:val="18"/>
        </w:rPr>
      </w:pPr>
    </w:p>
    <w:p>
      <w:pPr>
        <w:widowControl/>
        <w:shd w:val="clear" w:color="auto" w:fill="FFFFFF"/>
        <w:jc w:val="center"/>
        <w:rPr>
          <w:rFonts w:ascii="Helvetica" w:hAnsi="Helvetica" w:eastAsia="宋体" w:cs="Helvetica"/>
          <w:color w:val="000000"/>
          <w:kern w:val="0"/>
          <w:sz w:val="18"/>
          <w:szCs w:val="18"/>
        </w:rPr>
      </w:pPr>
      <w:r>
        <w:drawing>
          <wp:inline distT="0" distB="0" distL="0" distR="0">
            <wp:extent cx="5274310" cy="8534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85344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t>Fig. 1. We present LOGAN, a deep neural network which learns general-purpose shape transforms from unpaired domains. By altering only the two input data domains for training, without changing the network architecture or any hyper-parameters, LOGAN can transform between chairs and tables, from cross-sectional profiles to surfaces, as well as adding arms to chairs. It can also learn both style-preserving content transfer (letters R → P, A → H, in different font styles) and content-preserving style transfer (wide to narrow S, thick to thin I , thin to thick G, and italic to non-italic A.)</w:t>
      </w:r>
      <w:r>
        <w:rPr>
          <w:rFonts w:ascii="Helvetica" w:hAnsi="Helvetica" w:eastAsia="宋体" w:cs="Helvetica"/>
          <w:color w:val="000000"/>
          <w:kern w:val="0"/>
          <w:szCs w:val="21"/>
        </w:rPr>
        <w:br w:type="textWrapping"/>
      </w:r>
    </w:p>
    <w:p>
      <w:pPr>
        <w:widowControl/>
        <w:shd w:val="clear" w:color="auto" w:fill="FFFFFF"/>
        <w:jc w:val="center"/>
        <w:rPr>
          <w:rFonts w:hint="eastAsia" w:ascii="Helvetica" w:hAnsi="Helvetica" w:eastAsia="宋体" w:cs="Helvetica"/>
          <w:color w:val="000000"/>
          <w:kern w:val="0"/>
          <w:sz w:val="18"/>
          <w:szCs w:val="18"/>
          <w:lang w:eastAsia="zh-CN"/>
        </w:rPr>
      </w:pPr>
      <w:r>
        <w:rPr>
          <w:rFonts w:ascii="Helvetica" w:hAnsi="Helvetica" w:eastAsia="宋体" w:cs="Helvetica"/>
          <w:color w:val="000000"/>
          <w:kern w:val="0"/>
          <w:szCs w:val="21"/>
        </w:rPr>
        <w:br w:type="textWrapping"/>
      </w:r>
      <w:r>
        <w:rPr>
          <w:rFonts w:hint="eastAsia" w:ascii="Helvetica" w:hAnsi="Helvetica" w:eastAsia="宋体" w:cs="Helvetica"/>
          <w:color w:val="000000"/>
          <w:kern w:val="0"/>
          <w:sz w:val="18"/>
          <w:szCs w:val="18"/>
          <w:lang w:eastAsia="zh-CN"/>
        </w:rPr>
        <w:drawing>
          <wp:inline distT="0" distB="0" distL="114300" distR="114300">
            <wp:extent cx="3710305" cy="1816735"/>
            <wp:effectExtent l="0" t="0" r="10795" b="12065"/>
            <wp:docPr id="1" name="图片 1" descr="酒店房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酒店房价1"/>
                    <pic:cNvPicPr>
                      <a:picLocks noChangeAspect="1"/>
                    </pic:cNvPicPr>
                  </pic:nvPicPr>
                  <pic:blipFill>
                    <a:blip r:embed="rId5"/>
                    <a:stretch>
                      <a:fillRect/>
                    </a:stretch>
                  </pic:blipFill>
                  <pic:spPr>
                    <a:xfrm>
                      <a:off x="0" y="0"/>
                      <a:ext cx="3710305" cy="1816735"/>
                    </a:xfrm>
                    <a:prstGeom prst="rect">
                      <a:avLst/>
                    </a:prstGeom>
                  </pic:spPr>
                </pic:pic>
              </a:graphicData>
            </a:graphic>
          </wp:inline>
        </w:drawing>
      </w:r>
    </w:p>
    <w:p>
      <w:pPr>
        <w:widowControl/>
        <w:shd w:val="clear" w:color="auto" w:fill="FFFFFF"/>
        <w:jc w:val="center"/>
        <w:rPr>
          <w:rFonts w:hint="default" w:ascii="Helvetica" w:hAnsi="Helvetica" w:eastAsia="宋体" w:cs="Helvetica"/>
          <w:color w:val="000000"/>
          <w:kern w:val="0"/>
          <w:sz w:val="18"/>
          <w:szCs w:val="18"/>
          <w:lang w:val="en-US" w:eastAsia="zh-CN"/>
        </w:rPr>
      </w:pPr>
      <w:r>
        <w:rPr>
          <w:rFonts w:hint="eastAsia" w:ascii="Helvetica" w:hAnsi="Helvetica" w:eastAsia="宋体" w:cs="Helvetica"/>
          <w:color w:val="000000"/>
          <w:kern w:val="0"/>
          <w:sz w:val="18"/>
          <w:szCs w:val="18"/>
          <w:lang w:val="en-US" w:eastAsia="zh-CN"/>
        </w:rPr>
        <w:t>演示图片</w:t>
      </w:r>
      <w:bookmarkStart w:id="1" w:name="_GoBack"/>
      <w:bookmarkEnd w:id="1"/>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b/>
          <w:bCs/>
          <w:color w:val="000000"/>
          <w:kern w:val="0"/>
          <w:sz w:val="27"/>
          <w:szCs w:val="27"/>
        </w:rPr>
        <w:t>Abstract</w:t>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t>We introduce LOGAN, a deep neural network aimed at learning </w:t>
      </w:r>
      <w:r>
        <w:rPr>
          <w:rFonts w:ascii="Helvetica" w:hAnsi="Helvetica" w:eastAsia="宋体" w:cs="Helvetica"/>
          <w:i/>
          <w:iCs/>
          <w:color w:val="000000"/>
          <w:kern w:val="0"/>
          <w:szCs w:val="21"/>
        </w:rPr>
        <w:t>general-purpose</w:t>
      </w:r>
      <w:r>
        <w:rPr>
          <w:rFonts w:ascii="Helvetica" w:hAnsi="Helvetica" w:eastAsia="宋体" w:cs="Helvetica"/>
          <w:color w:val="000000"/>
          <w:kern w:val="0"/>
          <w:szCs w:val="21"/>
        </w:rPr>
        <w:t> shape transforms from </w:t>
      </w:r>
      <w:r>
        <w:rPr>
          <w:rFonts w:ascii="Helvetica" w:hAnsi="Helvetica" w:eastAsia="宋体" w:cs="Helvetica"/>
          <w:i/>
          <w:iCs/>
          <w:color w:val="000000"/>
          <w:kern w:val="0"/>
          <w:szCs w:val="21"/>
        </w:rPr>
        <w:t>unpaired</w:t>
      </w:r>
      <w:r>
        <w:rPr>
          <w:rFonts w:ascii="Helvetica" w:hAnsi="Helvetica" w:eastAsia="宋体" w:cs="Helvetica"/>
          <w:color w:val="000000"/>
          <w:kern w:val="0"/>
          <w:szCs w:val="21"/>
        </w:rPr>
        <w:t> domains. The network is trained on two sets of shapes, e.g., tables and chairs, while there is neither a pairing between shapes from the domains as supervision nor any point-wise correspondence between any shapes. Once trained, LOGAN takes a shape from one domain and transforms it into the other. Our network consists of an autoencoder to encode shapes from the two input domains into a </w:t>
      </w:r>
      <w:r>
        <w:rPr>
          <w:rFonts w:ascii="Helvetica" w:hAnsi="Helvetica" w:eastAsia="宋体" w:cs="Helvetica"/>
          <w:i/>
          <w:iCs/>
          <w:color w:val="000000"/>
          <w:kern w:val="0"/>
          <w:szCs w:val="21"/>
        </w:rPr>
        <w:t>common latent</w:t>
      </w:r>
      <w:r>
        <w:rPr>
          <w:rFonts w:ascii="Helvetica" w:hAnsi="Helvetica" w:eastAsia="宋体" w:cs="Helvetica"/>
          <w:color w:val="000000"/>
          <w:kern w:val="0"/>
          <w:szCs w:val="21"/>
        </w:rPr>
        <w:t> space, where the latent codes </w:t>
      </w:r>
      <w:r>
        <w:rPr>
          <w:rFonts w:ascii="Helvetica" w:hAnsi="Helvetica" w:eastAsia="宋体" w:cs="Helvetica"/>
          <w:i/>
          <w:iCs/>
          <w:color w:val="000000"/>
          <w:kern w:val="0"/>
          <w:szCs w:val="21"/>
        </w:rPr>
        <w:t>concatenate multi-scale</w:t>
      </w:r>
      <w:r>
        <w:rPr>
          <w:rFonts w:ascii="Helvetica" w:hAnsi="Helvetica" w:eastAsia="宋体" w:cs="Helvetica"/>
          <w:color w:val="000000"/>
          <w:kern w:val="0"/>
          <w:szCs w:val="21"/>
        </w:rPr>
        <w:t> shape features, resulting in an </w:t>
      </w:r>
      <w:r>
        <w:rPr>
          <w:rFonts w:ascii="Helvetica" w:hAnsi="Helvetica" w:eastAsia="宋体" w:cs="Helvetica"/>
          <w:i/>
          <w:iCs/>
          <w:color w:val="000000"/>
          <w:kern w:val="0"/>
          <w:szCs w:val="21"/>
        </w:rPr>
        <w:t>overcomplete</w:t>
      </w:r>
      <w:r>
        <w:rPr>
          <w:rFonts w:ascii="Helvetica" w:hAnsi="Helvetica" w:eastAsia="宋体" w:cs="Helvetica"/>
          <w:color w:val="000000"/>
          <w:kern w:val="0"/>
          <w:szCs w:val="21"/>
        </w:rPr>
        <w:t> representation. The translator is based on a generative adversarial network (GAN), operating in the latent space, where an adversarial loss enforces cross-domain translation while a </w:t>
      </w:r>
      <w:r>
        <w:rPr>
          <w:rFonts w:ascii="Helvetica" w:hAnsi="Helvetica" w:eastAsia="宋体" w:cs="Helvetica"/>
          <w:i/>
          <w:iCs/>
          <w:color w:val="000000"/>
          <w:kern w:val="0"/>
          <w:szCs w:val="21"/>
        </w:rPr>
        <w:t>feature preservation loss</w:t>
      </w:r>
      <w:r>
        <w:rPr>
          <w:rFonts w:ascii="Helvetica" w:hAnsi="Helvetica" w:eastAsia="宋体" w:cs="Helvetica"/>
          <w:color w:val="000000"/>
          <w:kern w:val="0"/>
          <w:szCs w:val="21"/>
        </w:rPr>
        <w:t> ensures that the right shape features are preserved for a natural shape transform. We conduct ablation studies to validate each of our key network designs and demonstrate superior capabilities in unpaired shape transforms on a variety of examples over baselines and state-of-the-art approaches. We show that LOGAN is able to learn what shape features to preserve during shape translation, either local or non-local, whether content or style, depending solely on the input domains for training.</w:t>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drawing>
          <wp:inline distT="0" distB="0" distL="0" distR="0">
            <wp:extent cx="5274310" cy="942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94234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2. Overview of our network architecture, which consists of an autoencoder (a) to encode shapes from two input domains into a common latent space which is overcomplete, and a GAN-based translator network (b) designed with an adversarial loss and a loss to enforce feature preservation.</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drawing>
          <wp:inline distT="0" distB="0" distL="0" distR="0">
            <wp:extent cx="5274310" cy="13982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139827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4. Architecture of our multi-scale, overcomplete autoencoder. We use the set abstraction layers of PointNet++ [Qi et al. 2017b] to produce point features in different scales and aggregate them into four sub-vectors: z</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z</w:t>
      </w:r>
      <w:r>
        <w:rPr>
          <w:rFonts w:ascii="Helvetica" w:hAnsi="Helvetica" w:cs="Helvetica"/>
          <w:color w:val="000000"/>
          <w:shd w:val="clear" w:color="auto" w:fill="FFFFFF"/>
          <w:vertAlign w:val="subscript"/>
        </w:rPr>
        <w:t>2</w:t>
      </w:r>
      <w:r>
        <w:rPr>
          <w:rFonts w:ascii="Helvetica" w:hAnsi="Helvetica" w:cs="Helvetica"/>
          <w:color w:val="000000"/>
          <w:szCs w:val="21"/>
          <w:shd w:val="clear" w:color="auto" w:fill="FFFFFF"/>
        </w:rPr>
        <w:t>, z</w:t>
      </w:r>
      <w:r>
        <w:rPr>
          <w:rFonts w:ascii="Helvetica" w:hAnsi="Helvetica" w:cs="Helvetica"/>
          <w:color w:val="000000"/>
          <w:shd w:val="clear" w:color="auto" w:fill="FFFFFF"/>
          <w:vertAlign w:val="subscript"/>
        </w:rPr>
        <w:t>3</w:t>
      </w:r>
      <w:r>
        <w:rPr>
          <w:rFonts w:ascii="Helvetica" w:hAnsi="Helvetica" w:cs="Helvetica"/>
          <w:color w:val="000000"/>
          <w:szCs w:val="21"/>
          <w:shd w:val="clear" w:color="auto" w:fill="FFFFFF"/>
        </w:rPr>
        <w:t>, and z</w:t>
      </w:r>
      <w:r>
        <w:rPr>
          <w:rFonts w:ascii="Helvetica" w:hAnsi="Helvetica" w:cs="Helvetica"/>
          <w:color w:val="000000"/>
          <w:shd w:val="clear" w:color="auto" w:fill="FFFFFF"/>
          <w:vertAlign w:val="subscript"/>
        </w:rPr>
        <w:t>4</w:t>
      </w:r>
      <w:r>
        <w:rPr>
          <w:rFonts w:ascii="Helvetica" w:hAnsi="Helvetica" w:cs="Helvetica"/>
          <w:color w:val="000000"/>
          <w:szCs w:val="21"/>
          <w:shd w:val="clear" w:color="auto" w:fill="FFFFFF"/>
        </w:rPr>
        <w:t>. The four sub-vectors are padded with zeros and summed up into a single 256-dimensional latent vector z that is overcomplete; the z vector can also be seen as a </w:t>
      </w:r>
      <w:r>
        <w:rPr>
          <w:rStyle w:val="10"/>
          <w:rFonts w:ascii="Helvetica" w:hAnsi="Helvetica" w:cs="Helvetica"/>
          <w:color w:val="000000"/>
          <w:szCs w:val="21"/>
          <w:shd w:val="clear" w:color="auto" w:fill="FFFFFF"/>
        </w:rPr>
        <w:t>concatenation</w:t>
      </w:r>
      <w:r>
        <w:rPr>
          <w:rFonts w:ascii="Helvetica" w:hAnsi="Helvetica" w:cs="Helvetica"/>
          <w:color w:val="000000"/>
          <w:szCs w:val="21"/>
          <w:shd w:val="clear" w:color="auto" w:fill="FFFFFF"/>
        </w:rPr>
        <w:t> of the other four sub-vectors. During training, we feed all the five 256-dimensional vectors to the decoder. In the decoder, the blue bars represent fully-connected layers; grey bars represent ReLU layers.</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tbl>
      <w:tblPr>
        <w:tblStyle w:val="6"/>
        <w:tblW w:w="7298" w:type="dxa"/>
        <w:tblCellSpacing w:w="0" w:type="dxa"/>
        <w:tblInd w:w="0" w:type="dxa"/>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Layout w:type="autofit"/>
        <w:tblCellMar>
          <w:top w:w="180" w:type="dxa"/>
          <w:left w:w="180" w:type="dxa"/>
          <w:bottom w:w="180" w:type="dxa"/>
          <w:right w:w="180" w:type="dxa"/>
        </w:tblCellMar>
      </w:tblPr>
      <w:tblGrid>
        <w:gridCol w:w="4057"/>
        <w:gridCol w:w="4639"/>
      </w:tblGrid>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CellMar>
            <w:top w:w="180" w:type="dxa"/>
            <w:left w:w="180" w:type="dxa"/>
            <w:bottom w:w="180" w:type="dxa"/>
            <w:right w:w="180" w:type="dxa"/>
          </w:tblCellMar>
        </w:tblPrEx>
        <w:trPr>
          <w:trHeight w:val="2484" w:hRule="atLeast"/>
          <w:tblCellSpacing w:w="0" w:type="dxa"/>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386965" cy="85471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02123" cy="860188"/>
                          </a:xfrm>
                          <a:prstGeom prst="rect">
                            <a:avLst/>
                          </a:prstGeom>
                          <a:noFill/>
                          <a:ln>
                            <a:noFill/>
                          </a:ln>
                        </pic:spPr>
                      </pic:pic>
                    </a:graphicData>
                  </a:graphic>
                </wp:inline>
              </w:drawing>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766060" cy="13468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84695" cy="1356240"/>
                          </a:xfrm>
                          <a:prstGeom prst="rect">
                            <a:avLst/>
                          </a:prstGeom>
                          <a:noFill/>
                          <a:ln>
                            <a:noFill/>
                          </a:ln>
                        </pic:spPr>
                      </pic:pic>
                    </a:graphicData>
                  </a:graphic>
                </wp:inline>
              </w:drawing>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CellMar>
            <w:top w:w="180" w:type="dxa"/>
            <w:left w:w="180" w:type="dxa"/>
            <w:bottom w:w="180" w:type="dxa"/>
            <w:right w:w="180" w:type="dxa"/>
          </w:tblCellMar>
        </w:tblPrEx>
        <w:trPr>
          <w:trHeight w:val="539" w:hRule="atLeast"/>
          <w:tblCellSpacing w:w="0" w:type="dxa"/>
        </w:trPr>
        <w:tc>
          <w:tcPr>
            <w:tcW w:w="0" w:type="auto"/>
            <w:tcBorders>
              <w:top w:val="outset" w:color="CCCCCC" w:sz="6" w:space="0"/>
              <w:left w:val="outset" w:color="CCCCCC" w:sz="6" w:space="0"/>
              <w:bottom w:val="outset" w:color="CCCCCC" w:sz="6" w:space="0"/>
              <w:right w:val="outset" w:color="CCCCCC" w:sz="6" w:space="0"/>
            </w:tcBorders>
            <w:shd w:val="clear" w:color="auto" w:fill="FFFFFF"/>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6. Architecture of our translator network. The blue bars represent fullyconnected layers; orange bars represent BN-ReLU layers.</w:t>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7. Architecture of the upsampling layer of our network after shape translation.We predict </w:t>
            </w:r>
            <w:r>
              <w:rPr>
                <w:rFonts w:ascii="Helvetica" w:hAnsi="Helvetica" w:eastAsia="宋体" w:cs="Helvetica"/>
                <w:i/>
                <w:iCs/>
                <w:color w:val="000000"/>
                <w:kern w:val="0"/>
                <w:sz w:val="18"/>
                <w:szCs w:val="18"/>
              </w:rPr>
              <w:t>m</w:t>
            </w:r>
            <w:r>
              <w:rPr>
                <w:rFonts w:ascii="Helvetica" w:hAnsi="Helvetica" w:eastAsia="宋体" w:cs="Helvetica"/>
                <w:color w:val="000000"/>
                <w:kern w:val="0"/>
                <w:sz w:val="18"/>
                <w:szCs w:val="18"/>
              </w:rPr>
              <w:t> local displacement vectors for each of the </w:t>
            </w:r>
            <w:r>
              <w:rPr>
                <w:rFonts w:ascii="Helvetica" w:hAnsi="Helvetica" w:eastAsia="宋体" w:cs="Helvetica"/>
                <w:i/>
                <w:iCs/>
                <w:color w:val="000000"/>
                <w:kern w:val="0"/>
                <w:sz w:val="18"/>
                <w:szCs w:val="18"/>
              </w:rPr>
              <w:t>n</w:t>
            </w:r>
            <w:r>
              <w:rPr>
                <w:rFonts w:ascii="Helvetica" w:hAnsi="Helvetica" w:eastAsia="宋体" w:cs="Helvetica"/>
                <w:color w:val="000000"/>
                <w:kern w:val="0"/>
                <w:sz w:val="18"/>
                <w:szCs w:val="18"/>
              </w:rPr>
              <w:t> points in the sparse point cloud, which results in a dense set of </w:t>
            </w:r>
            <w:r>
              <w:rPr>
                <w:rFonts w:ascii="Helvetica" w:hAnsi="Helvetica" w:eastAsia="宋体" w:cs="Helvetica"/>
                <w:i/>
                <w:iCs/>
                <w:color w:val="000000"/>
                <w:kern w:val="0"/>
                <w:sz w:val="18"/>
                <w:szCs w:val="18"/>
              </w:rPr>
              <w:t>mn</w:t>
            </w:r>
            <w:r>
              <w:rPr>
                <w:rFonts w:ascii="Helvetica" w:hAnsi="Helvetica" w:eastAsia="宋体" w:cs="Helvetica"/>
                <w:color w:val="000000"/>
                <w:kern w:val="0"/>
                <w:sz w:val="18"/>
                <w:szCs w:val="18"/>
              </w:rPr>
              <w:t> points.</w:t>
            </w:r>
          </w:p>
        </w:tc>
      </w:tr>
    </w:tbl>
    <w:p>
      <w:pPr>
        <w:widowControl/>
        <w:shd w:val="clear" w:color="auto" w:fill="FFFFFF"/>
        <w:jc w:val="left"/>
        <w:rPr>
          <w:rFonts w:ascii="Helvetica" w:hAnsi="Helvetica" w:eastAsia="宋体" w:cs="Helvetica"/>
          <w:color w:val="000000"/>
          <w:kern w:val="0"/>
          <w:szCs w:val="21"/>
        </w:rPr>
      </w:pPr>
    </w:p>
    <w:p>
      <w:pPr>
        <w:widowControl/>
        <w:shd w:val="clear" w:color="auto" w:fill="FFFFFF"/>
        <w:jc w:val="left"/>
        <w:rPr>
          <w:rFonts w:ascii="Helvetica" w:hAnsi="Helvetica" w:eastAsia="宋体" w:cs="Helvetica"/>
          <w:color w:val="000000"/>
          <w:kern w:val="0"/>
          <w:szCs w:val="21"/>
        </w:rPr>
      </w:pP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r>
        <w:drawing>
          <wp:inline distT="0" distB="0" distL="0" distR="0">
            <wp:extent cx="5274310" cy="42894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4289425"/>
                    </a:xfrm>
                    <a:prstGeom prst="rect">
                      <a:avLst/>
                    </a:prstGeom>
                    <a:noFill/>
                    <a:ln>
                      <a:noFill/>
                    </a:ln>
                  </pic:spPr>
                </pic:pic>
              </a:graphicData>
            </a:graphic>
          </wp:inline>
        </w:drawing>
      </w:r>
    </w:p>
    <w:p>
      <w:pPr>
        <w:widowControl/>
        <w:shd w:val="clear" w:color="auto" w:fill="FFFFFF"/>
        <w:jc w:val="left"/>
        <w:rPr>
          <w:rFonts w:ascii="Helvetica" w:hAnsi="Helvetica" w:eastAsia="宋体" w:cs="Helvetica"/>
          <w:color w:val="000000"/>
          <w:kern w:val="0"/>
          <w:szCs w:val="21"/>
        </w:rPr>
      </w:pP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8. Comparing chair-table translation results using different network configurations. Top four rows: chair → table. Rest: table → chair. (a) Test input. (b) LOGAN results with and without upsampling. (c) Retrieved training shapes from the </w:t>
      </w:r>
      <w:r>
        <w:rPr>
          <w:rStyle w:val="10"/>
          <w:rFonts w:ascii="Helvetica" w:hAnsi="Helvetica" w:cs="Helvetica"/>
          <w:color w:val="000000"/>
          <w:szCs w:val="21"/>
          <w:shd w:val="clear" w:color="auto" w:fill="FFFFFF"/>
        </w:rPr>
        <w:t>target</w:t>
      </w:r>
      <w:r>
        <w:rPr>
          <w:rFonts w:ascii="Helvetica" w:hAnsi="Helvetica" w:cs="Helvetica"/>
          <w:color w:val="000000"/>
          <w:szCs w:val="21"/>
          <w:shd w:val="clear" w:color="auto" w:fill="FFFFFF"/>
        </w:rPr>
        <w:t> domain which are closest to the test input (left) and to our translator output (right). The retrieval was based on EMD between point clouds at 2,048 point resolution. Note that the chair dataset from ShapeNet has some benches mixed in, which are retrieved as “tables.” (d) Baseline AE 1 as autoencoder + our translator network. (e) Baseline AE 2 (</w:t>
      </w:r>
      <w:r>
        <w:rPr>
          <w:rStyle w:val="10"/>
          <w:rFonts w:ascii="Helvetica" w:hAnsi="Helvetica" w:cs="Helvetica"/>
          <w:color w:val="000000"/>
          <w:szCs w:val="21"/>
          <w:shd w:val="clear" w:color="auto" w:fill="FFFFFF"/>
        </w:rPr>
        <w:t>λ</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 0) + our translator network. (f) Our autoencoder (</w:t>
      </w:r>
      <w:r>
        <w:rPr>
          <w:rStyle w:val="10"/>
          <w:rFonts w:ascii="Helvetica" w:hAnsi="Helvetica" w:cs="Helvetica"/>
          <w:color w:val="000000"/>
          <w:szCs w:val="21"/>
          <w:shd w:val="clear" w:color="auto" w:fill="FFFFFF"/>
        </w:rPr>
        <w:t>λ</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 0.1) + WGAN &amp; Cycle loss. (g) Our autoencoder (</w:t>
      </w:r>
      <w:r>
        <w:rPr>
          <w:rStyle w:val="10"/>
          <w:rFonts w:ascii="Helvetica" w:hAnsi="Helvetica" w:cs="Helvetica"/>
          <w:color w:val="000000"/>
          <w:szCs w:val="21"/>
          <w:shd w:val="clear" w:color="auto" w:fill="FFFFFF"/>
        </w:rPr>
        <w:t>λ</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 0.1) + WGAN &amp; feature preservation (FP) loss.</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tbl>
      <w:tblPr>
        <w:tblStyle w:val="6"/>
        <w:tblW w:w="8196" w:type="dxa"/>
        <w:jc w:val="center"/>
        <w:tblCellSpacing w:w="0" w:type="dxa"/>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Layout w:type="autofit"/>
        <w:tblCellMar>
          <w:top w:w="180" w:type="dxa"/>
          <w:left w:w="180" w:type="dxa"/>
          <w:bottom w:w="180" w:type="dxa"/>
          <w:right w:w="180" w:type="dxa"/>
        </w:tblCellMar>
      </w:tblPr>
      <w:tblGrid>
        <w:gridCol w:w="4020"/>
        <w:gridCol w:w="4533"/>
      </w:tblGrid>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CellMar>
            <w:top w:w="180" w:type="dxa"/>
            <w:left w:w="180" w:type="dxa"/>
            <w:bottom w:w="180" w:type="dxa"/>
            <w:right w:w="180" w:type="dxa"/>
          </w:tblCellMar>
        </w:tblPrEx>
        <w:trPr>
          <w:trHeight w:val="2208"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303780" cy="171640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14981" cy="1724734"/>
                          </a:xfrm>
                          <a:prstGeom prst="rect">
                            <a:avLst/>
                          </a:prstGeom>
                          <a:noFill/>
                          <a:ln>
                            <a:noFill/>
                          </a:ln>
                        </pic:spPr>
                      </pic:pic>
                    </a:graphicData>
                  </a:graphic>
                </wp:inline>
              </w:drawing>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630805" cy="17024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39001" cy="1707756"/>
                          </a:xfrm>
                          <a:prstGeom prst="rect">
                            <a:avLst/>
                          </a:prstGeom>
                          <a:noFill/>
                          <a:ln>
                            <a:noFill/>
                          </a:ln>
                        </pic:spPr>
                      </pic:pic>
                    </a:graphicData>
                  </a:graphic>
                </wp:inline>
              </w:drawing>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CellMar>
            <w:top w:w="180" w:type="dxa"/>
            <w:left w:w="180" w:type="dxa"/>
            <w:bottom w:w="180" w:type="dxa"/>
            <w:right w:w="180" w:type="dxa"/>
          </w:tblCellMar>
        </w:tblPrEx>
        <w:trPr>
          <w:trHeight w:val="545"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10. Unpaired shape transforms between armchairs and armless chairs. The first two rows show results of armrest removal by LOGAN, while the last two rows show insertion. On the right, we show the mesh editing results guided by the learned point cloud transforms.</w:t>
            </w:r>
          </w:p>
        </w:tc>
        <w:tc>
          <w:tcPr>
            <w:tcW w:w="0" w:type="auto"/>
            <w:tcBorders>
              <w:top w:val="outset" w:color="CCCCCC" w:sz="6" w:space="0"/>
              <w:left w:val="outset" w:color="CCCCCC" w:sz="6" w:space="0"/>
              <w:bottom w:val="outset" w:color="CCCCCC" w:sz="6" w:space="0"/>
              <w:right w:val="outset" w:color="CCCCCC" w:sz="6" w:space="0"/>
            </w:tcBorders>
            <w:shd w:val="clear" w:color="auto" w:fill="FFFFFF"/>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11. Unpaired shape transforms between tall and short tables. Left: increasing height. Right: decreasing height.</w:t>
            </w:r>
          </w:p>
        </w:tc>
      </w:tr>
    </w:tbl>
    <w:p>
      <w:pPr>
        <w:widowControl/>
        <w:shd w:val="clear" w:color="auto" w:fill="FFFFFF"/>
        <w:jc w:val="left"/>
        <w:rPr>
          <w:rFonts w:ascii="Helvetica" w:hAnsi="Helvetica" w:eastAsia="宋体" w:cs="Helvetica"/>
          <w:color w:val="000000"/>
          <w:kern w:val="0"/>
          <w:sz w:val="18"/>
          <w:szCs w:val="18"/>
        </w:rPr>
      </w:pP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tbl>
      <w:tblPr>
        <w:tblStyle w:val="6"/>
        <w:tblW w:w="8206" w:type="dxa"/>
        <w:jc w:val="center"/>
        <w:tblCellSpacing w:w="0" w:type="dxa"/>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Layout w:type="autofit"/>
        <w:tblCellMar>
          <w:top w:w="180" w:type="dxa"/>
          <w:left w:w="180" w:type="dxa"/>
          <w:bottom w:w="180" w:type="dxa"/>
          <w:right w:w="180" w:type="dxa"/>
        </w:tblCellMar>
      </w:tblPr>
      <w:tblGrid>
        <w:gridCol w:w="4569"/>
        <w:gridCol w:w="4127"/>
      </w:tblGrid>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CellMar>
            <w:top w:w="180" w:type="dxa"/>
            <w:left w:w="180" w:type="dxa"/>
            <w:bottom w:w="180" w:type="dxa"/>
            <w:right w:w="180" w:type="dxa"/>
          </w:tblCellMar>
        </w:tblPrEx>
        <w:trPr>
          <w:trHeight w:val="3689"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382520" cy="2400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92588" cy="2410565"/>
                          </a:xfrm>
                          <a:prstGeom prst="rect">
                            <a:avLst/>
                          </a:prstGeom>
                          <a:noFill/>
                          <a:ln>
                            <a:noFill/>
                          </a:ln>
                        </pic:spPr>
                      </pic:pic>
                    </a:graphicData>
                  </a:graphic>
                </wp:inline>
              </w:drawing>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538730" cy="22961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45301" cy="2302294"/>
                          </a:xfrm>
                          <a:prstGeom prst="rect">
                            <a:avLst/>
                          </a:prstGeom>
                          <a:noFill/>
                          <a:ln>
                            <a:noFill/>
                          </a:ln>
                        </pic:spPr>
                      </pic:pic>
                    </a:graphicData>
                  </a:graphic>
                </wp:inline>
              </w:drawing>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CellMar>
            <w:top w:w="180" w:type="dxa"/>
            <w:left w:w="180" w:type="dxa"/>
            <w:bottom w:w="180" w:type="dxa"/>
            <w:right w:w="180" w:type="dxa"/>
          </w:tblCellMar>
        </w:tblPrEx>
        <w:trPr>
          <w:trHeight w:val="918"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12. Comparisons on content-preserving style transfer, i.e., </w:t>
            </w:r>
            <w:r>
              <w:rPr>
                <w:rFonts w:ascii="Helvetica" w:hAnsi="Helvetica" w:eastAsia="宋体" w:cs="Helvetica"/>
                <w:i/>
                <w:iCs/>
                <w:color w:val="000000"/>
                <w:kern w:val="0"/>
                <w:sz w:val="18"/>
                <w:szCs w:val="18"/>
              </w:rPr>
              <w:t>regularA/HitalicA/ H, thinG/R-thickG/R,</w:t>
            </w:r>
            <w:r>
              <w:rPr>
                <w:rFonts w:ascii="Helvetica" w:hAnsi="Helvetica" w:eastAsia="宋体" w:cs="Helvetica"/>
                <w:color w:val="000000"/>
                <w:kern w:val="0"/>
                <w:sz w:val="18"/>
                <w:szCs w:val="18"/>
              </w:rPr>
              <w:t> and </w:t>
            </w:r>
            <w:r>
              <w:rPr>
                <w:rFonts w:ascii="Helvetica" w:hAnsi="Helvetica" w:eastAsia="宋体" w:cs="Helvetica"/>
                <w:i/>
                <w:iCs/>
                <w:color w:val="000000"/>
                <w:kern w:val="0"/>
                <w:sz w:val="18"/>
                <w:szCs w:val="18"/>
              </w:rPr>
              <w:t>wideM/N-narrowM/N</w:t>
            </w:r>
            <w:r>
              <w:rPr>
                <w:rFonts w:ascii="Helvetica" w:hAnsi="Helvetica" w:eastAsia="宋体" w:cs="Helvetica"/>
                <w:color w:val="000000"/>
                <w:kern w:val="0"/>
                <w:sz w:val="18"/>
                <w:szCs w:val="18"/>
              </w:rPr>
              <w:t> translations, by different methods. First two rows: regular-to-italic; middle two rows: thin-tothick; last two rows: wide-to-narrow. From left to right: input letter images; corresponding input point clouds; output point clouds from LOGAN; images reconstructed from our results; output images of CycleGAN; outputs from UNIT [Liu et al. 2017]; outputs from MUNIT [Huang et al. 2018]. For </w:t>
            </w:r>
            <w:r>
              <w:rPr>
                <w:rFonts w:ascii="Helvetica" w:hAnsi="Helvetica" w:eastAsia="宋体" w:cs="Helvetica"/>
                <w:i/>
                <w:iCs/>
                <w:color w:val="000000"/>
                <w:kern w:val="0"/>
                <w:sz w:val="18"/>
                <w:szCs w:val="18"/>
              </w:rPr>
              <w:t>wideM/N-narrowM/N</w:t>
            </w:r>
            <w:r>
              <w:rPr>
                <w:rFonts w:ascii="Helvetica" w:hAnsi="Helvetica" w:eastAsia="宋体" w:cs="Helvetica"/>
                <w:color w:val="000000"/>
                <w:kern w:val="0"/>
                <w:sz w:val="18"/>
                <w:szCs w:val="18"/>
              </w:rPr>
              <w:t> we align the letters by height for better visualization.</w:t>
            </w:r>
          </w:p>
        </w:tc>
        <w:tc>
          <w:tcPr>
            <w:tcW w:w="0" w:type="auto"/>
            <w:tcBorders>
              <w:top w:val="outset" w:color="CCCCCC" w:sz="6" w:space="0"/>
              <w:left w:val="outset" w:color="CCCCCC" w:sz="6" w:space="0"/>
              <w:bottom w:val="outset" w:color="CCCCCC" w:sz="6" w:space="0"/>
              <w:right w:val="outset" w:color="CCCCCC" w:sz="6" w:space="0"/>
            </w:tcBorders>
            <w:shd w:val="clear" w:color="auto" w:fill="FFFFFF"/>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13. Comparisons on style-preserving content transfer, i.e., </w:t>
            </w:r>
            <w:r>
              <w:rPr>
                <w:rFonts w:ascii="Helvetica" w:hAnsi="Helvetica" w:eastAsia="宋体" w:cs="Helvetica"/>
                <w:i/>
                <w:iCs/>
                <w:color w:val="000000"/>
                <w:kern w:val="0"/>
                <w:sz w:val="18"/>
                <w:szCs w:val="18"/>
              </w:rPr>
              <w:t>A-H, G-R,</w:t>
            </w:r>
            <w:r>
              <w:rPr>
                <w:rFonts w:ascii="Helvetica" w:hAnsi="Helvetica" w:eastAsia="宋体" w:cs="Helvetica"/>
                <w:color w:val="000000"/>
                <w:kern w:val="0"/>
                <w:sz w:val="18"/>
                <w:szCs w:val="18"/>
              </w:rPr>
              <w:t> and </w:t>
            </w:r>
            <w:r>
              <w:rPr>
                <w:rFonts w:ascii="Helvetica" w:hAnsi="Helvetica" w:eastAsia="宋体" w:cs="Helvetica"/>
                <w:i/>
                <w:iCs/>
                <w:color w:val="000000"/>
                <w:kern w:val="0"/>
                <w:sz w:val="18"/>
                <w:szCs w:val="18"/>
              </w:rPr>
              <w:t>M-N</w:t>
            </w:r>
            <w:r>
              <w:rPr>
                <w:rFonts w:ascii="Helvetica" w:hAnsi="Helvetica" w:eastAsia="宋体" w:cs="Helvetica"/>
                <w:color w:val="000000"/>
                <w:kern w:val="0"/>
                <w:sz w:val="18"/>
                <w:szCs w:val="18"/>
              </w:rPr>
              <w:t> translations, by different methods, including ground truth.</w:t>
            </w:r>
          </w:p>
        </w:tc>
      </w:tr>
    </w:tbl>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p>
    <w:p>
      <w:pPr>
        <w:widowControl/>
        <w:shd w:val="clear" w:color="auto" w:fill="FFFFFF"/>
        <w:jc w:val="left"/>
        <w:rPr>
          <w:rFonts w:ascii="Helvetica" w:hAnsi="Helvetica" w:eastAsia="宋体" w:cs="Helvetica"/>
          <w:color w:val="000000"/>
          <w:kern w:val="0"/>
          <w:sz w:val="18"/>
          <w:szCs w:val="18"/>
        </w:rPr>
      </w:pPr>
      <w:r>
        <w:drawing>
          <wp:inline distT="0" distB="0" distL="0" distR="0">
            <wp:extent cx="5274310" cy="29552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5529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15. Comparisons between various network configurations, (supervised) P2P-NET, and ground truth targets, on shape transform examples from P2P-NET: skeleton→shape (rows 1-2), scan→surface (rows 3-4), and (cross-sectional) profiles→surface (rows 5-6). All point clouds have 2,048 points.</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p>
    <w:p>
      <w:pPr>
        <w:widowControl/>
        <w:shd w:val="clear" w:color="auto" w:fill="FFFFFF"/>
        <w:jc w:val="left"/>
        <w:rPr>
          <w:rFonts w:hint="eastAsia" w:ascii="Helvetica" w:hAnsi="Helvetica" w:eastAsia="宋体" w:cs="Helvetica"/>
          <w:color w:val="000000"/>
          <w:kern w:val="0"/>
          <w:sz w:val="18"/>
          <w:szCs w:val="18"/>
        </w:rPr>
      </w:pPr>
    </w:p>
    <w:p>
      <w:pPr>
        <w:pStyle w:val="5"/>
        <w:shd w:val="clear" w:color="auto" w:fill="FFFFFF"/>
        <w:spacing w:before="0" w:beforeAutospacing="0" w:after="0" w:afterAutospacing="0"/>
        <w:rPr>
          <w:rFonts w:ascii="Helvetica" w:hAnsi="Helvetica" w:cs="Helvetica"/>
          <w:color w:val="000000"/>
          <w:sz w:val="18"/>
          <w:szCs w:val="18"/>
        </w:rPr>
      </w:pPr>
      <w:r>
        <w:rPr>
          <w:rStyle w:val="9"/>
          <w:rFonts w:ascii="Helvetica" w:hAnsi="Helvetica" w:cs="Helvetica"/>
          <w:color w:val="000000"/>
          <w:sz w:val="27"/>
          <w:szCs w:val="27"/>
        </w:rPr>
        <w:t>Data &amp; Code</w:t>
      </w:r>
    </w:p>
    <w:p>
      <w:pPr>
        <w:pStyle w:val="5"/>
        <w:shd w:val="clear" w:color="auto" w:fill="FFFFFF"/>
        <w:spacing w:before="0" w:beforeAutospacing="0" w:after="0" w:afterAutospacing="0"/>
        <w:jc w:val="both"/>
        <w:rPr>
          <w:rFonts w:ascii="Helvetica" w:hAnsi="Helvetica" w:cs="Helvetica"/>
          <w:color w:val="FF9900"/>
          <w:sz w:val="18"/>
          <w:szCs w:val="18"/>
        </w:rPr>
      </w:pPr>
      <w:r>
        <w:rPr>
          <w:rStyle w:val="9"/>
          <w:rFonts w:ascii="Helvetica" w:hAnsi="Helvetica" w:cs="Helvetica"/>
          <w:color w:val="E56600"/>
          <w:sz w:val="18"/>
          <w:szCs w:val="18"/>
        </w:rPr>
        <w:t>Note that the DATA and CODE are free for Research and Education Use ONLY. </w:t>
      </w:r>
    </w:p>
    <w:p>
      <w:pPr>
        <w:pStyle w:val="5"/>
        <w:shd w:val="clear" w:color="auto" w:fill="FFFFFF"/>
        <w:spacing w:before="0" w:beforeAutospacing="0" w:after="0" w:afterAutospacing="0"/>
        <w:jc w:val="both"/>
        <w:rPr>
          <w:rFonts w:ascii="Helvetica" w:hAnsi="Helvetica" w:cs="Helvetica"/>
          <w:color w:val="FF9900"/>
          <w:sz w:val="18"/>
          <w:szCs w:val="18"/>
        </w:rPr>
      </w:pPr>
      <w:r>
        <w:rPr>
          <w:rStyle w:val="9"/>
          <w:rFonts w:ascii="Helvetica" w:hAnsi="Helvetica" w:cs="Helvetica"/>
          <w:color w:val="E56600"/>
          <w:sz w:val="18"/>
          <w:szCs w:val="18"/>
        </w:rPr>
        <w:t>Please cite our paper (add the bibtex below) if you use any part of our ALGORITHM, CODE, DATA or RESULTS in any publication.</w:t>
      </w:r>
    </w:p>
    <w:p>
      <w:pPr>
        <w:shd w:val="clear" w:color="auto" w:fill="FFFFFF"/>
        <w:rPr>
          <w:rFonts w:ascii="Helvetica" w:hAnsi="Helvetica" w:cs="Helvetica"/>
          <w:color w:val="000000"/>
          <w:sz w:val="18"/>
          <w:szCs w:val="18"/>
        </w:rPr>
      </w:pPr>
      <w:r>
        <w:rPr>
          <w:rStyle w:val="9"/>
          <w:rFonts w:ascii="Helvetica" w:hAnsi="Helvetica" w:cs="Helvetica"/>
          <w:color w:val="000000"/>
          <w:sz w:val="18"/>
          <w:szCs w:val="18"/>
        </w:rPr>
        <w:t>Link：</w:t>
      </w:r>
      <w:r>
        <w:rPr>
          <w:rFonts w:ascii="Helvetica" w:hAnsi="Helvetica" w:cs="Helvetica"/>
          <w:b/>
          <w:bCs/>
          <w:color w:val="000000"/>
          <w:sz w:val="18"/>
          <w:szCs w:val="18"/>
        </w:rPr>
        <w:fldChar w:fldCharType="begin"/>
      </w:r>
      <w:r>
        <w:rPr>
          <w:rFonts w:ascii="Helvetica" w:hAnsi="Helvetica" w:cs="Helvetica"/>
          <w:b/>
          <w:bCs/>
          <w:color w:val="000000"/>
          <w:sz w:val="18"/>
          <w:szCs w:val="18"/>
        </w:rPr>
        <w:instrText xml:space="preserve"> HYPERLINK "https://github.com/kangxue/LOGAN" \t "_blank" </w:instrText>
      </w:r>
      <w:r>
        <w:rPr>
          <w:rFonts w:ascii="Helvetica" w:hAnsi="Helvetica" w:cs="Helvetica"/>
          <w:b/>
          <w:bCs/>
          <w:color w:val="000000"/>
          <w:sz w:val="18"/>
          <w:szCs w:val="18"/>
        </w:rPr>
        <w:fldChar w:fldCharType="separate"/>
      </w:r>
      <w:r>
        <w:rPr>
          <w:rStyle w:val="11"/>
          <w:rFonts w:ascii="Helvetica" w:hAnsi="Helvetica" w:cs="Helvetica"/>
          <w:b/>
          <w:bCs/>
          <w:sz w:val="18"/>
          <w:szCs w:val="18"/>
          <w:u w:val="none"/>
        </w:rPr>
        <w:t>https://github.com/kangxue/LOGAN </w:t>
      </w:r>
      <w:r>
        <w:rPr>
          <w:rFonts w:ascii="Helvetica" w:hAnsi="Helvetica" w:cs="Helvetica"/>
          <w:b/>
          <w:bCs/>
          <w:color w:val="000000"/>
          <w:sz w:val="18"/>
          <w:szCs w:val="18"/>
        </w:rPr>
        <w:fldChar w:fldCharType="end"/>
      </w:r>
    </w:p>
    <w:p>
      <w:pPr>
        <w:pStyle w:val="5"/>
        <w:shd w:val="clear" w:color="auto" w:fill="FFFFFF"/>
        <w:spacing w:before="0" w:beforeAutospacing="0" w:after="0" w:afterAutospacing="0"/>
        <w:rPr>
          <w:rFonts w:ascii="Helvetica" w:hAnsi="Helvetica" w:cs="Helvetica"/>
          <w:color w:val="000000"/>
          <w:sz w:val="18"/>
          <w:szCs w:val="18"/>
        </w:rPr>
      </w:pPr>
    </w:p>
    <w:p>
      <w:pPr>
        <w:pStyle w:val="5"/>
        <w:shd w:val="clear" w:color="auto" w:fill="FFFFFF"/>
        <w:spacing w:before="0" w:beforeAutospacing="0" w:after="0" w:afterAutospacing="0"/>
        <w:rPr>
          <w:rFonts w:hint="eastAsia" w:ascii="Helvetica" w:hAnsi="Helvetica" w:cs="Helvetica"/>
          <w:color w:val="000000"/>
          <w:sz w:val="18"/>
          <w:szCs w:val="18"/>
        </w:rPr>
      </w:pPr>
    </w:p>
    <w:p>
      <w:pPr>
        <w:pStyle w:val="5"/>
        <w:shd w:val="clear" w:color="auto" w:fill="FFFFFF"/>
        <w:spacing w:before="0" w:beforeAutospacing="0" w:after="0" w:afterAutospacing="0"/>
        <w:rPr>
          <w:rFonts w:ascii="Helvetica" w:hAnsi="Helvetica" w:cs="Helvetica"/>
          <w:color w:val="000000"/>
          <w:sz w:val="18"/>
          <w:szCs w:val="18"/>
        </w:rPr>
      </w:pPr>
      <w:r>
        <w:rPr>
          <w:rStyle w:val="9"/>
          <w:rFonts w:ascii="Helvetica" w:hAnsi="Helvetica" w:cs="Helvetica"/>
          <w:color w:val="000000"/>
          <w:sz w:val="27"/>
          <w:szCs w:val="27"/>
        </w:rPr>
        <w:t>Acknowledgements</w:t>
      </w:r>
    </w:p>
    <w:p>
      <w:pPr>
        <w:pStyle w:val="5"/>
        <w:shd w:val="clear" w:color="auto" w:fill="FFFFFF"/>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The authors would like to thank the anonymous reviewers for their valuable comments. Thanks also go to Haipeng Li and Ali Mahdavi- Amiri for their discussions, and Akshay Gadi Patil for proofreading. This work was supported by NSERC Canada (611370), gift funds from Adobe, NSF China (61761146002,61861130365), GD Science and Technology Program (2015A030312015), LHTD (20170003), ISF (2366/16), and ISF-NSFC Joint Research Program (2472/17).</w:t>
      </w:r>
    </w:p>
    <w:p>
      <w:pPr>
        <w:pStyle w:val="5"/>
        <w:shd w:val="clear" w:color="auto" w:fill="FFFFFF"/>
        <w:spacing w:before="0" w:beforeAutospacing="0" w:after="0" w:afterAutospacing="0"/>
        <w:rPr>
          <w:rFonts w:ascii="Helvetica" w:hAnsi="Helvetica" w:cs="Helvetica"/>
          <w:color w:val="000000"/>
          <w:sz w:val="18"/>
          <w:szCs w:val="18"/>
        </w:rPr>
      </w:pPr>
    </w:p>
    <w:p>
      <w:pPr>
        <w:pStyle w:val="5"/>
        <w:shd w:val="clear" w:color="auto" w:fill="FFFFFF"/>
        <w:spacing w:before="0" w:beforeAutospacing="0" w:after="0" w:afterAutospacing="0"/>
        <w:rPr>
          <w:rFonts w:hint="eastAsia" w:ascii="Helvetica" w:hAnsi="Helvetica" w:cs="Helvetica"/>
          <w:color w:val="000000"/>
          <w:sz w:val="18"/>
          <w:szCs w:val="18"/>
        </w:rPr>
      </w:pPr>
    </w:p>
    <w:p>
      <w:pPr>
        <w:pStyle w:val="5"/>
        <w:shd w:val="clear" w:color="auto" w:fill="FFFFFF"/>
        <w:spacing w:before="0" w:beforeAutospacing="0" w:after="0" w:afterAutospacing="0"/>
        <w:rPr>
          <w:rFonts w:ascii="Helvetica" w:hAnsi="Helvetica" w:cs="Helvetica"/>
          <w:color w:val="000000"/>
          <w:sz w:val="18"/>
          <w:szCs w:val="18"/>
        </w:rPr>
      </w:pPr>
      <w:r>
        <w:rPr>
          <w:rStyle w:val="9"/>
          <w:rFonts w:ascii="Helvetica" w:hAnsi="Helvetica" w:cs="Helvetica"/>
          <w:color w:val="000000"/>
          <w:sz w:val="27"/>
          <w:szCs w:val="27"/>
        </w:rPr>
        <w:t>Bibtex</w:t>
      </w:r>
      <w:r>
        <w:rPr>
          <w:rFonts w:ascii="Helvetica" w:hAnsi="Helvetica" w:cs="Helvetica"/>
          <w:color w:val="000000"/>
          <w:sz w:val="18"/>
          <w:szCs w:val="18"/>
        </w:rPr>
        <w:br w:type="textWrapping"/>
      </w:r>
      <w:r>
        <w:rPr>
          <w:rFonts w:ascii="Helvetica" w:hAnsi="Helvetica" w:cs="Helvetica"/>
          <w:color w:val="000000"/>
          <w:sz w:val="18"/>
          <w:szCs w:val="18"/>
        </w:rPr>
        <w:t>@article{LOGAN19,</w:t>
      </w:r>
      <w:r>
        <w:rPr>
          <w:rFonts w:ascii="Helvetica" w:hAnsi="Helvetica" w:cs="Helvetica"/>
          <w:color w:val="000000"/>
          <w:sz w:val="18"/>
          <w:szCs w:val="18"/>
        </w:rPr>
        <w:br w:type="textWrapping"/>
      </w:r>
      <w:r>
        <w:rPr>
          <w:rFonts w:ascii="Helvetica" w:hAnsi="Helvetica" w:cs="Helvetica"/>
          <w:color w:val="000000"/>
          <w:sz w:val="18"/>
          <w:szCs w:val="18"/>
        </w:rPr>
        <w:t>title = {LOGAN: Unpaired Shape Transform in Latent Overcomplete Space},</w:t>
      </w:r>
      <w:r>
        <w:rPr>
          <w:rFonts w:ascii="Helvetica" w:hAnsi="Helvetica" w:cs="Helvetica"/>
          <w:color w:val="000000"/>
          <w:sz w:val="18"/>
          <w:szCs w:val="18"/>
        </w:rPr>
        <w:br w:type="textWrapping"/>
      </w:r>
      <w:r>
        <w:rPr>
          <w:rFonts w:ascii="Helvetica" w:hAnsi="Helvetica" w:cs="Helvetica"/>
          <w:color w:val="000000"/>
          <w:sz w:val="18"/>
          <w:szCs w:val="18"/>
        </w:rPr>
        <w:t>author = {Kangxue Yin and Zhiqin Chen and Hui Huang and Daniel Cohen-Or and Hao Zhang},</w:t>
      </w:r>
      <w:r>
        <w:rPr>
          <w:rFonts w:ascii="Helvetica" w:hAnsi="Helvetica" w:cs="Helvetica"/>
          <w:color w:val="000000"/>
          <w:sz w:val="18"/>
          <w:szCs w:val="18"/>
        </w:rPr>
        <w:br w:type="textWrapping"/>
      </w:r>
      <w:r>
        <w:rPr>
          <w:rFonts w:ascii="Helvetica" w:hAnsi="Helvetica" w:cs="Helvetica"/>
          <w:color w:val="000000"/>
          <w:sz w:val="18"/>
          <w:szCs w:val="18"/>
        </w:rPr>
        <w:t>journal = {ACM Transactions on Graphics (Proceedings of SIGGRAPH ASIA 2019)},</w:t>
      </w:r>
      <w:r>
        <w:rPr>
          <w:rFonts w:ascii="Helvetica" w:hAnsi="Helvetica" w:cs="Helvetica"/>
          <w:color w:val="000000"/>
          <w:sz w:val="18"/>
          <w:szCs w:val="18"/>
        </w:rPr>
        <w:br w:type="textWrapping"/>
      </w:r>
      <w:r>
        <w:rPr>
          <w:rFonts w:ascii="Helvetica" w:hAnsi="Helvetica" w:cs="Helvetica"/>
          <w:color w:val="000000"/>
          <w:sz w:val="18"/>
          <w:szCs w:val="18"/>
        </w:rPr>
        <w:t>volume = {38},</w:t>
      </w:r>
      <w:r>
        <w:rPr>
          <w:rFonts w:ascii="Helvetica" w:hAnsi="Helvetica" w:cs="Helvetica"/>
          <w:color w:val="000000"/>
          <w:sz w:val="18"/>
          <w:szCs w:val="18"/>
        </w:rPr>
        <w:br w:type="textWrapping"/>
      </w:r>
      <w:r>
        <w:rPr>
          <w:rFonts w:ascii="Helvetica" w:hAnsi="Helvetica" w:cs="Helvetica"/>
          <w:color w:val="000000"/>
          <w:sz w:val="18"/>
          <w:szCs w:val="18"/>
        </w:rPr>
        <w:t>number = {6},</w:t>
      </w:r>
      <w:r>
        <w:rPr>
          <w:rFonts w:ascii="Helvetica" w:hAnsi="Helvetica" w:cs="Helvetica"/>
          <w:color w:val="000000"/>
          <w:sz w:val="18"/>
          <w:szCs w:val="18"/>
        </w:rPr>
        <w:br w:type="textWrapping"/>
      </w:r>
      <w:r>
        <w:rPr>
          <w:rFonts w:ascii="Helvetica" w:hAnsi="Helvetica" w:cs="Helvetica"/>
          <w:color w:val="000000"/>
          <w:sz w:val="18"/>
          <w:szCs w:val="18"/>
        </w:rPr>
        <w:t>pages = {198:1--198:13},  </w:t>
      </w:r>
      <w:r>
        <w:rPr>
          <w:rFonts w:ascii="Helvetica" w:hAnsi="Helvetica" w:cs="Helvetica"/>
          <w:color w:val="000000"/>
          <w:sz w:val="18"/>
          <w:szCs w:val="18"/>
        </w:rPr>
        <w:br w:type="textWrapping"/>
      </w:r>
      <w:r>
        <w:rPr>
          <w:rFonts w:ascii="Helvetica" w:hAnsi="Helvetica" w:cs="Helvetica"/>
          <w:color w:val="000000"/>
          <w:sz w:val="18"/>
          <w:szCs w:val="18"/>
        </w:rPr>
        <w:t>year = {2019},</w:t>
      </w:r>
      <w:r>
        <w:rPr>
          <w:rFonts w:ascii="Helvetica" w:hAnsi="Helvetica" w:cs="Helvetica"/>
          <w:color w:val="000000"/>
          <w:sz w:val="18"/>
          <w:szCs w:val="18"/>
        </w:rPr>
        <w:br w:type="textWrapping"/>
      </w:r>
      <w:r>
        <w:rPr>
          <w:rFonts w:ascii="Helvetica" w:hAnsi="Helvetica" w:cs="Helvetica"/>
          <w:color w:val="000000"/>
          <w:sz w:val="18"/>
          <w:szCs w:val="18"/>
        </w:rPr>
        <w:t>} </w:t>
      </w:r>
    </w:p>
    <w:p>
      <w:pPr>
        <w:widowControl/>
        <w:shd w:val="clear" w:color="auto" w:fill="FFFFFF"/>
        <w:jc w:val="left"/>
        <w:rPr>
          <w:rFonts w:ascii="Helvetica" w:hAnsi="Helvetica" w:eastAsia="宋体" w:cs="Helvetica"/>
          <w:color w:val="000000"/>
          <w:kern w:val="0"/>
          <w:sz w:val="18"/>
          <w:szCs w:val="18"/>
        </w:rPr>
      </w:pPr>
    </w:p>
    <w:p>
      <w:pPr>
        <w:widowControl/>
        <w:shd w:val="clear" w:color="auto" w:fill="FFFFFF"/>
        <w:spacing w:before="525" w:after="150"/>
        <w:jc w:val="left"/>
        <w:outlineLvl w:val="2"/>
        <w:rPr>
          <w:rFonts w:ascii="Arial" w:hAnsi="Arial" w:eastAsia="宋体" w:cs="Arial"/>
          <w:b/>
          <w:bCs/>
          <w:color w:val="930040"/>
          <w:kern w:val="0"/>
          <w:sz w:val="24"/>
          <w:szCs w:val="24"/>
        </w:rPr>
      </w:pPr>
      <w:bookmarkStart w:id="0" w:name="_Hlk87430755"/>
      <w:r>
        <w:rPr>
          <w:rFonts w:ascii="Arial" w:hAnsi="Arial" w:eastAsia="宋体" w:cs="Arial"/>
          <w:b/>
          <w:bCs/>
          <w:color w:val="930040"/>
          <w:kern w:val="0"/>
          <w:sz w:val="24"/>
          <w:szCs w:val="24"/>
        </w:rPr>
        <w:t>Downloads</w:t>
      </w:r>
    </w:p>
    <w:p>
      <w:pPr>
        <w:widowControl/>
        <w:shd w:val="clear" w:color="auto" w:fill="FFFFFF"/>
        <w:spacing w:before="525" w:after="150"/>
        <w:jc w:val="left"/>
        <w:outlineLvl w:val="2"/>
        <w:rPr>
          <w:rFonts w:ascii="Arial" w:hAnsi="Arial" w:eastAsia="宋体" w:cs="Arial"/>
          <w:b/>
          <w:bCs/>
          <w:color w:val="930040"/>
          <w:kern w:val="0"/>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研究所/中心</w:t>
            </w:r>
          </w:p>
        </w:tc>
        <w:tc>
          <w:tcPr>
            <w:tcW w:w="5466" w:type="dxa"/>
          </w:tcPr>
          <w:p>
            <w:pPr>
              <w:jc w:val="center"/>
              <w:rPr>
                <w:rFonts w:ascii="微软雅黑" w:hAnsi="微软雅黑" w:eastAsia="微软雅黑"/>
              </w:rPr>
            </w:pPr>
            <w:r>
              <w:rPr>
                <w:rFonts w:hint="eastAsia" w:ascii="微软雅黑" w:hAnsi="微软雅黑" w:eastAsia="微软雅黑"/>
              </w:rPr>
              <w:t>可视计算研究中心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成果（论文）名（英文）</w:t>
            </w:r>
          </w:p>
        </w:tc>
        <w:tc>
          <w:tcPr>
            <w:tcW w:w="5466" w:type="dxa"/>
          </w:tcPr>
          <w:p>
            <w:pPr>
              <w:jc w:val="center"/>
              <w:rPr>
                <w:rFonts w:ascii="微软雅黑" w:hAnsi="微软雅黑" w:eastAsia="微软雅黑"/>
              </w:rPr>
            </w:pPr>
            <w:r>
              <w:rPr>
                <w:rFonts w:ascii="微软雅黑" w:hAnsi="微软雅黑" w:eastAsia="微软雅黑"/>
              </w:rPr>
              <w:t>LOGAN: Unpaired Shape Transform in Latent Overcomplete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年份</w:t>
            </w:r>
          </w:p>
        </w:tc>
        <w:tc>
          <w:tcPr>
            <w:tcW w:w="5466" w:type="dxa"/>
          </w:tcPr>
          <w:p>
            <w:pPr>
              <w:jc w:val="center"/>
              <w:rPr>
                <w:rFonts w:ascii="微软雅黑" w:hAnsi="微软雅黑" w:eastAsia="微软雅黑"/>
              </w:rPr>
            </w:pPr>
            <w:r>
              <w:rPr>
                <w:rFonts w:ascii="微软雅黑" w:hAnsi="微软雅黑" w:eastAsia="微软雅黑"/>
              </w:rPr>
              <w:t>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刊物名（英文）</w:t>
            </w:r>
          </w:p>
        </w:tc>
        <w:tc>
          <w:tcPr>
            <w:tcW w:w="5466" w:type="dxa"/>
          </w:tcPr>
          <w:p>
            <w:pPr>
              <w:jc w:val="center"/>
              <w:rPr>
                <w:rFonts w:ascii="微软雅黑" w:hAnsi="微软雅黑" w:eastAsia="微软雅黑"/>
              </w:rPr>
            </w:pPr>
            <w:r>
              <w:rPr>
                <w:rFonts w:ascii="微软雅黑" w:hAnsi="微软雅黑" w:eastAsia="微软雅黑"/>
              </w:rPr>
              <w:t>ACM Transactions on Graphics (Proceedings of SIGGRAPH ASIA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作者（多个作者按顺序用“,”隔开）（英文）</w:t>
            </w:r>
          </w:p>
        </w:tc>
        <w:tc>
          <w:tcPr>
            <w:tcW w:w="5466" w:type="dxa"/>
          </w:tcPr>
          <w:p>
            <w:pPr>
              <w:jc w:val="center"/>
              <w:rPr>
                <w:rFonts w:ascii="微软雅黑" w:hAnsi="微软雅黑" w:eastAsia="微软雅黑"/>
                <w:vertAlign w:val="superscript"/>
              </w:rPr>
            </w:pPr>
            <w:r>
              <w:rPr>
                <w:rFonts w:ascii="微软雅黑" w:hAnsi="微软雅黑" w:eastAsia="微软雅黑"/>
                <w:shd w:val="clear" w:color="auto" w:fill="FFFFFF"/>
              </w:rPr>
              <w:t>Kangxue Yin1, Zhiqin Chen1, Hui Huang2, Daniel Cohen-Or2,3, Hao Zhang1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全部作者单位（英文）</w:t>
            </w:r>
          </w:p>
        </w:tc>
        <w:tc>
          <w:tcPr>
            <w:tcW w:w="5466" w:type="dxa"/>
          </w:tcPr>
          <w:p>
            <w:pPr>
              <w:jc w:val="center"/>
              <w:rPr>
                <w:rFonts w:ascii="微软雅黑" w:hAnsi="微软雅黑" w:eastAsia="微软雅黑"/>
              </w:rPr>
            </w:pPr>
            <w:r>
              <w:rPr>
                <w:rFonts w:ascii="微软雅黑" w:hAnsi="微软雅黑" w:eastAsia="微软雅黑"/>
              </w:rPr>
              <w:t>Simon Fraser University,Shenzhen University, Tel Aviv University</w:t>
            </w:r>
          </w:p>
        </w:tc>
      </w:tr>
    </w:tbl>
    <w:p>
      <w:pPr>
        <w:widowControl/>
        <w:shd w:val="clear" w:color="auto" w:fill="FFFFFF"/>
        <w:jc w:val="center"/>
        <w:outlineLvl w:val="2"/>
        <w:rPr>
          <w:rFonts w:ascii="Arial" w:hAnsi="Arial" w:eastAsia="宋体" w:cs="Arial"/>
          <w:b/>
          <w:bCs/>
          <w:color w:val="930040"/>
          <w:kern w:val="0"/>
          <w:sz w:val="48"/>
          <w:szCs w:val="48"/>
        </w:rPr>
      </w:pPr>
    </w:p>
    <w:bookmarkEnd w:id="0"/>
    <w:p>
      <w:pPr>
        <w:widowControl/>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E8F"/>
    <w:rsid w:val="00013B92"/>
    <w:rsid w:val="0005315C"/>
    <w:rsid w:val="0006592F"/>
    <w:rsid w:val="001670EC"/>
    <w:rsid w:val="00167E13"/>
    <w:rsid w:val="001C1593"/>
    <w:rsid w:val="00327AC7"/>
    <w:rsid w:val="003970FD"/>
    <w:rsid w:val="00521766"/>
    <w:rsid w:val="0067261F"/>
    <w:rsid w:val="00737E5D"/>
    <w:rsid w:val="009B1F4F"/>
    <w:rsid w:val="00A57CD4"/>
    <w:rsid w:val="00AE4378"/>
    <w:rsid w:val="00B45BFA"/>
    <w:rsid w:val="00BA29CB"/>
    <w:rsid w:val="00C13F0C"/>
    <w:rsid w:val="00C93470"/>
    <w:rsid w:val="00EB3E8F"/>
    <w:rsid w:val="03CA7AD6"/>
    <w:rsid w:val="0E7C5591"/>
    <w:rsid w:val="38BE5ACC"/>
    <w:rsid w:val="55421FE0"/>
    <w:rsid w:val="63C14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2"/>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jc w:val="left"/>
    </w:pPr>
    <w:rPr>
      <w:sz w:val="18"/>
      <w:szCs w:val="18"/>
    </w:rPr>
  </w:style>
  <w:style w:type="paragraph" w:styleId="4">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Emphasis"/>
    <w:basedOn w:val="8"/>
    <w:qFormat/>
    <w:uiPriority w:val="20"/>
    <w:rPr>
      <w:i/>
      <w:iCs/>
    </w:rPr>
  </w:style>
  <w:style w:type="character" w:styleId="11">
    <w:name w:val="Hyperlink"/>
    <w:basedOn w:val="8"/>
    <w:semiHidden/>
    <w:unhideWhenUsed/>
    <w:qFormat/>
    <w:uiPriority w:val="99"/>
    <w:rPr>
      <w:color w:val="0000FF"/>
      <w:u w:val="single"/>
    </w:rPr>
  </w:style>
  <w:style w:type="character" w:customStyle="1" w:styleId="12">
    <w:name w:val="标题 3 字符"/>
    <w:basedOn w:val="8"/>
    <w:link w:val="2"/>
    <w:qFormat/>
    <w:uiPriority w:val="9"/>
    <w:rPr>
      <w:rFonts w:ascii="宋体" w:hAnsi="宋体" w:eastAsia="宋体" w:cs="宋体"/>
      <w:b/>
      <w:bCs/>
      <w:kern w:val="0"/>
      <w:sz w:val="27"/>
      <w:szCs w:val="27"/>
    </w:rPr>
  </w:style>
  <w:style w:type="character" w:customStyle="1" w:styleId="13">
    <w:name w:val="页眉 字符"/>
    <w:basedOn w:val="8"/>
    <w:link w:val="4"/>
    <w:qFormat/>
    <w:uiPriority w:val="99"/>
    <w:rPr>
      <w:sz w:val="18"/>
      <w:szCs w:val="18"/>
    </w:rPr>
  </w:style>
  <w:style w:type="character" w:customStyle="1" w:styleId="14">
    <w:name w:val="页脚 字符"/>
    <w:basedOn w:val="8"/>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1092</Words>
  <Characters>6230</Characters>
  <Lines>51</Lines>
  <Paragraphs>14</Paragraphs>
  <TotalTime>1</TotalTime>
  <ScaleCrop>false</ScaleCrop>
  <LinksUpToDate>false</LinksUpToDate>
  <CharactersWithSpaces>7308</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2021-11-10T02:43:00Z</dcterms:created>
  <dc:creator>周 漾</dc:creator>
  <cp:lastModifiedBy>圆梦TA</cp:lastModifiedBy>
  <dcterms:modified xsi:type="dcterms:W3CDTF">2021-12-24T11:29:49Z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F5D9AC0AF657499895934CD67E210244</vt:lpwstr>
  </property>
</Properties>
</file>