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产品经理：依据本产品的商业背景和定位，吸取已有教育网站的成熟经验，结合地方特点和用户特征，设计符合青少年儿童学习模式的产品。</w:t>
      </w:r>
    </w:p>
    <w:p>
      <w:pPr>
        <w:ind w:left="420" w:leftChars="20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儿童代表：有较多游戏和学习经历的儿童代表，帮助分析儿童群体的兴趣特征；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家长代表：有让孩子学习编程想法的家长代表，帮助分析孩子学习目标和重点，孩子的兴趣特征等；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工作人员自带；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00</w:t>
      </w:r>
      <w:bookmarkStart w:id="0" w:name="_GoBack"/>
      <w:bookmarkEnd w:id="0"/>
      <w:r>
        <w:rPr>
          <w:rFonts w:hint="eastAsia"/>
          <w:sz w:val="28"/>
          <w:szCs w:val="28"/>
        </w:rPr>
        <w:t>平米以内的固定工作场地；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0BC4267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0</TotalTime>
  <ScaleCrop>false</ScaleCrop>
  <LinksUpToDate>false</LinksUpToDate>
  <CharactersWithSpaces>260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Mr.小恒</cp:lastModifiedBy>
  <dcterms:modified xsi:type="dcterms:W3CDTF">2019-03-22T01:34:40Z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