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少儿编程APP</w:t>
      </w:r>
      <w:r>
        <w:rPr>
          <w:rFonts w:hint="eastAsia"/>
          <w:sz w:val="28"/>
          <w:szCs w:val="28"/>
        </w:rPr>
        <w:t>主要服务两类用户：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中小学生家长</w:t>
      </w:r>
    </w:p>
    <w:p>
      <w:pPr>
        <w:pStyle w:val="12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中小学生家长</w:t>
      </w: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望子成龙望女成凤，不希望自己的孩子输在起跑线上。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没</w:t>
      </w:r>
      <w:r>
        <w:rPr>
          <w:rFonts w:hint="eastAsia"/>
          <w:sz w:val="28"/>
          <w:szCs w:val="28"/>
        </w:rPr>
        <w:t>有生活费额度限制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可以为了孩子付出很多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中小学生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此时心智并未完成发展成熟，需要家长的监督和教育，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很成熟，人小鬼大，熟练使用各种APP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此款APP完全符合中小学生的特点，画面的美感与游戏同时兼具，在吸引眼球的同时，留住客户。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F08"/>
    <w:multiLevelType w:val="singleLevel"/>
    <w:tmpl w:val="14472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7FC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6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自然卷i</cp:lastModifiedBy>
  <dcterms:modified xsi:type="dcterms:W3CDTF">2019-03-22T01:00:39Z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