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全双工对话系统对外客显竞争力指标Excel打分表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表格说明</w:t>
      </w:r>
      <w:r>
        <w:rPr>
          <w:rFonts w:eastAsia="等线" w:ascii="Arial" w:cs="Arial" w:hAnsi="Arial"/>
          <w:sz w:val="22"/>
        </w:rPr>
        <w:t>：总分100分，核心指标权重倾斜，适配客户侧评测、供应商对比、产品宣讲；可直接复制全表粘贴至Excel，单元格自动对齐；行业基准线为2026年3月业界头部/及格线标准，实测列用于填写实际数据和打分结果。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核心标注</w:t>
      </w:r>
      <w:r>
        <w:rPr>
          <w:rFonts w:eastAsia="等线" w:ascii="Arial" w:cs="Arial" w:hAnsi="Arial"/>
          <w:sz w:val="22"/>
        </w:rPr>
        <w:t>：★=客户核心关注项，▲=行业准入门槛项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一级指标分类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权重总分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二级细分指标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单项分值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★▲标注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打分标准（优/良/及格</w:t>
            </w:r>
            <w:r>
              <w:rPr>
                <w:rFonts w:eastAsia="等线" w:ascii="Arial" w:cs="Arial" w:hAnsi="Arial"/>
                <w:sz w:val="22"/>
              </w:rPr>
              <w:t>/差）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2026业界基准线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实测数据填写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实测打分</w:t>
            </w: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实时性与打断能力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35分（核心项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端到端首包延迟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优：&lt;300ms（10分）；良：300-600ms（7分）；</w:t>
            </w:r>
            <w:r>
              <w:rPr>
                <w:rFonts w:eastAsia="等线" w:ascii="Arial" w:cs="Arial" w:hAnsi="Arial"/>
                <w:sz w:val="22"/>
              </w:rPr>
              <w:t>及格：600-1000ms（4分）；差：&gt;1000ms（0-2分）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头部≤300ms，及格≤1000ms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打断停止延迟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优：&lt;200ms（10分）；良：200-400ms（7分）；</w:t>
            </w:r>
            <w:r>
              <w:rPr>
                <w:rFonts w:eastAsia="等线" w:ascii="Arial" w:cs="Arial" w:hAnsi="Arial"/>
                <w:sz w:val="22"/>
              </w:rPr>
              <w:t>及格：400-800ms（4分）；差：&gt;800ms（0-2分）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头部≤200ms，及格≤800ms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打断成功率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优：≥95%（8分）；良：90-95%（6分）；及格：80-90%（3分）</w:t>
            </w:r>
            <w:r>
              <w:rPr>
                <w:rFonts w:eastAsia="等线" w:ascii="Arial" w:cs="Arial" w:hAnsi="Arial"/>
                <w:sz w:val="22"/>
              </w:rPr>
              <w:t>；差：&lt;80%（0-2分）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头部≥9</w:t>
            </w:r>
            <w:r>
              <w:rPr>
                <w:rFonts w:eastAsia="等线" w:ascii="Arial" w:cs="Arial" w:hAnsi="Arial"/>
                <w:sz w:val="22"/>
              </w:rPr>
              <w:t>5%，及格≥80%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误打断率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优：&lt;1%（7分）；良：1-3%（5分）；及格：3-5%</w:t>
            </w:r>
            <w:r>
              <w:rPr>
                <w:rFonts w:eastAsia="等线" w:ascii="Arial" w:cs="Arial" w:hAnsi="Arial"/>
                <w:sz w:val="22"/>
              </w:rPr>
              <w:t>（3分）；差：&gt;5%（0-2分）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头部≤1%，及格≤5%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对话自然度与拟人感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TTS自然度MOS评分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优：≥4.5分（7分</w:t>
            </w:r>
            <w:r>
              <w:rPr>
                <w:rFonts w:eastAsia="等线" w:ascii="Arial" w:cs="Arial" w:hAnsi="Arial"/>
                <w:sz w:val="22"/>
              </w:rPr>
              <w:t>）；良：4.0-4.4分（5分）；及格：3.5-3.9分（3分）；差：</w:t>
            </w:r>
            <w:r>
              <w:rPr>
                <w:rFonts w:eastAsia="等线" w:ascii="Arial" w:cs="Arial" w:hAnsi="Arial"/>
                <w:sz w:val="22"/>
              </w:rPr>
              <w:t>&lt;3.5分（0-2分）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头部≥4.5，及格</w:t>
            </w:r>
            <w:r>
              <w:rPr>
                <w:rFonts w:eastAsia="等线" w:ascii="Arial" w:cs="Arial" w:hAnsi="Arial"/>
                <w:sz w:val="22"/>
              </w:rPr>
              <w:t>≥3.5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情感/</w:t>
            </w:r>
            <w:r>
              <w:rPr>
                <w:rFonts w:eastAsia="等线" w:ascii="Arial" w:cs="Arial" w:hAnsi="Arial"/>
                <w:sz w:val="22"/>
              </w:rPr>
              <w:t>风格可控性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优：全风格可控+自然停顿</w:t>
            </w:r>
            <w:r>
              <w:rPr>
                <w:rFonts w:eastAsia="等线" w:ascii="Arial" w:cs="Arial" w:hAnsi="Arial"/>
                <w:sz w:val="22"/>
              </w:rPr>
              <w:t>（5分）；良：基础情感可控（3分）；差：机械无情感（0-1</w:t>
            </w:r>
            <w:r>
              <w:rPr>
                <w:rFonts w:eastAsia="等线" w:ascii="Arial" w:cs="Arial" w:hAnsi="Arial"/>
                <w:sz w:val="22"/>
              </w:rPr>
              <w:t>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头部支持指令化情感控制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人机对话节奏匹配</w:t>
            </w:r>
            <w:r>
              <w:rPr>
                <w:rFonts w:eastAsia="等线" w:ascii="Arial" w:cs="Arial" w:hAnsi="Arial"/>
                <w:sz w:val="22"/>
              </w:rPr>
              <w:t>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优：无缝接话不冷场（8分）；良</w:t>
            </w:r>
            <w:r>
              <w:rPr>
                <w:rFonts w:eastAsia="等线" w:ascii="Arial" w:cs="Arial" w:hAnsi="Arial"/>
                <w:sz w:val="22"/>
              </w:rPr>
              <w:t>：偶尔生硬（5分）；差：明显机械卡顿（0-2分）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头部贴近人类自然对话节奏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上下文与记忆能力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0分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多轮对话记忆长度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优：≥10轮/8k Token（7分）；良：5-10轮/4-8</w:t>
            </w:r>
            <w:r>
              <w:rPr>
                <w:rFonts w:eastAsia="等线" w:ascii="Arial" w:cs="Arial" w:hAnsi="Arial"/>
                <w:sz w:val="22"/>
              </w:rPr>
              <w:t>k Token（5分）；及格：3-5轮/2-4k Token（3分）；差：&lt;3</w:t>
            </w:r>
            <w:r>
              <w:rPr>
                <w:rFonts w:eastAsia="等线" w:ascii="Arial" w:cs="Arial" w:hAnsi="Arial"/>
                <w:sz w:val="22"/>
              </w:rPr>
              <w:t>轮（0-2分）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头部≥10轮，及格≥3轮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打断后上下文恢复准确率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优：≥95%（7分）；良：90-95%（5分）；及格：80-</w:t>
            </w:r>
            <w:r>
              <w:rPr>
                <w:rFonts w:eastAsia="等线" w:ascii="Arial" w:cs="Arial" w:hAnsi="Arial"/>
                <w:sz w:val="22"/>
              </w:rPr>
              <w:t>90%（3分）；差：&lt;80%（0-2分）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头部≥</w:t>
            </w:r>
            <w:r>
              <w:rPr>
                <w:rFonts w:eastAsia="等线" w:ascii="Arial" w:cs="Arial" w:hAnsi="Arial"/>
                <w:sz w:val="22"/>
              </w:rPr>
              <w:t>95%，及格≥80%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槽位信息填充</w:t>
            </w:r>
            <w:r>
              <w:rPr>
                <w:rFonts w:eastAsia="等线" w:ascii="Arial" w:cs="Arial" w:hAnsi="Arial"/>
                <w:sz w:val="22"/>
              </w:rPr>
              <w:t>稳定性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优：打断/插话不丢失（6分</w:t>
            </w:r>
            <w:r>
              <w:rPr>
                <w:rFonts w:eastAsia="等线" w:ascii="Arial" w:cs="Arial" w:hAnsi="Arial"/>
                <w:sz w:val="22"/>
              </w:rPr>
              <w:t>）；良：偶尔丢失（4分）；差：频繁丢失（0-2分）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头部信息零丢失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抗噪与远场鲁棒性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噪音环境识别准确率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</w:t>
            </w:r>
            <w:r>
              <w:rPr>
                <w:rFonts w:eastAsia="等线" w:ascii="Arial" w:cs="Arial" w:hAnsi="Arial"/>
                <w:sz w:val="22"/>
              </w:rPr>
              <w:t>：SNR≤0dB稳定（6分）；良：SNR≥5dB稳定（4分）；及格：仅安静环境</w:t>
            </w:r>
            <w:r>
              <w:rPr>
                <w:rFonts w:eastAsia="等线" w:ascii="Arial" w:cs="Arial" w:hAnsi="Arial"/>
                <w:sz w:val="22"/>
              </w:rPr>
              <w:t>可用（0-2分）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头部支持0dB低信噪比场景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VAD语音检测灵敏度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优：≥99%，延迟&lt;50ms（6分）；良：</w:t>
            </w:r>
            <w:r>
              <w:rPr>
                <w:rFonts w:eastAsia="等线" w:ascii="Arial" w:cs="Arial" w:hAnsi="Arial"/>
                <w:sz w:val="22"/>
              </w:rPr>
              <w:t>95-99%（4分）；差：&lt;95%（0-2分）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头部准确率≥99%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部署与商业化能力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端侧/边缘部署能力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优：手机/嵌入式端实时（5分</w:t>
            </w:r>
            <w:r>
              <w:rPr>
                <w:rFonts w:eastAsia="等线" w:ascii="Arial" w:cs="Arial" w:hAnsi="Arial"/>
                <w:sz w:val="22"/>
              </w:rPr>
              <w:t>）；良：云端GPU可跑（3分）；差：仅高端集群（0-2分）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头部支持端侧轻量化部署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推理成本与并发吞吐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优：低成本高并发（4分）；良：中等成本（2</w:t>
            </w:r>
            <w:r>
              <w:rPr>
                <w:rFonts w:eastAsia="等线" w:ascii="Arial" w:cs="Arial" w:hAnsi="Arial"/>
                <w:sz w:val="22"/>
              </w:rPr>
              <w:t>分）；差：成本高昂（0-1分）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开源模型成本远低于闭源API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私有化/定制化能力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优：支持私有化+全定制（4分）；良：仅API调用</w:t>
            </w:r>
            <w:r>
              <w:rPr>
                <w:rFonts w:eastAsia="等线" w:ascii="Arial" w:cs="Arial" w:hAnsi="Arial"/>
                <w:sz w:val="22"/>
              </w:rPr>
              <w:t>（2分）；差：不可定制（0-1分）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企业客户优先要求私有化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总分合计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实测总分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Excel使用附加说明（可放表格下方）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复制粘贴技巧</w:t>
      </w:r>
      <w:r>
        <w:rPr>
          <w:rFonts w:eastAsia="等线" w:ascii="Arial" w:cs="Arial" w:hAnsi="Arial"/>
          <w:sz w:val="22"/>
        </w:rPr>
        <w:t>：选中整个表格区域（含表头），直接复制，打开Excel右键粘贴，选择“保留源格式”，列宽可自动适配，无需手动调整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评级标准</w:t>
      </w:r>
      <w:r>
        <w:rPr>
          <w:rFonts w:eastAsia="等线" w:ascii="Arial" w:cs="Arial" w:hAnsi="Arial"/>
          <w:sz w:val="22"/>
        </w:rPr>
        <w:t>：总分≥90分（业界顶尖，GPT-4o/MiniCPM-o级别）；80-89分（优秀，商用头部产品）；70-79分（合格，满足基础全双工需求）；＜70分（未达标，半双工/伪全双工）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客户侧重点</w:t>
      </w:r>
      <w:r>
        <w:rPr>
          <w:rFonts w:eastAsia="等线" w:ascii="Arial" w:cs="Arial" w:hAnsi="Arial"/>
          <w:sz w:val="22"/>
        </w:rPr>
        <w:t>：对外演示时，重点标注★项实测数据，直接对比行业基准线，突出核心优势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2026行业现状备注</w:t>
      </w:r>
      <w:r>
        <w:rPr>
          <w:rFonts w:eastAsia="等线" w:ascii="Arial" w:cs="Arial" w:hAnsi="Arial"/>
          <w:sz w:val="22"/>
        </w:rPr>
        <w:t>：原生全双工为当前主流，伪全双工已属于淘汰方案；开源模型性能已追平闭源，私有化部署成为企业客户核心诉求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37078">
    <w:lvl>
      <w:numFmt w:val="bullet"/>
      <w:suff w:val="tab"/>
      <w:lvlText w:val="•"/>
      <w:rPr>
        <w:color w:val="3370ff"/>
      </w:rPr>
    </w:lvl>
  </w:abstractNum>
  <w:abstractNum w:abstractNumId="3037079">
    <w:lvl>
      <w:numFmt w:val="bullet"/>
      <w:suff w:val="tab"/>
      <w:lvlText w:val="•"/>
      <w:rPr>
        <w:color w:val="3370ff"/>
      </w:rPr>
    </w:lvl>
  </w:abstractNum>
  <w:abstractNum w:abstractNumId="3037080">
    <w:lvl>
      <w:numFmt w:val="bullet"/>
      <w:suff w:val="tab"/>
      <w:lvlText w:val="•"/>
      <w:rPr>
        <w:color w:val="3370ff"/>
      </w:rPr>
    </w:lvl>
  </w:abstractNum>
  <w:abstractNum w:abstractNumId="3037081">
    <w:lvl>
      <w:numFmt w:val="bullet"/>
      <w:suff w:val="tab"/>
      <w:lvlText w:val="•"/>
      <w:rPr>
        <w:color w:val="3370ff"/>
      </w:rPr>
    </w:lvl>
  </w:abstractNum>
  <w:num w:numId="1">
    <w:abstractNumId w:val="3037078"/>
  </w:num>
  <w:num w:numId="2">
    <w:abstractNumId w:val="3037079"/>
  </w:num>
  <w:num w:numId="3">
    <w:abstractNumId w:val="3037080"/>
  </w:num>
  <w:num w:numId="4">
    <w:abstractNumId w:val="30370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2026-03-06T04:33:56Z</dcterms:created>
  <dc:creator>Apache POI</dc:creator>
</cp:coreProperties>
</file>