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黑体" w:hAnsi="黑体"/>
          <w:b/>
          <w:color w:val="1E3C72"/>
          <w:sz w:val="36"/>
          <w:rFonts w:ascii="黑体" w:eastAsia="黑体" w:hAnsi="黑体"/>
        </w:rPr>
        <w:t>唐代三大诗人诗歌风格异同比较研究</w:t>
        <w:br/>
        <w:t>——李白、杜甫与白居易</w:t>
      </w:r>
    </w:p>
    <w:p>
      <w:pPr>
        <w:spacing w:before="240" w:after="120"/>
      </w:pPr>
      <w:r>
        <w:rPr>
          <w:rFonts w:ascii="黑体" w:hAnsi="黑体"/>
          <w:b/>
          <w:color w:val="1E3C72"/>
          <w:sz w:val="28"/>
          <w:rFonts w:ascii="黑体" w:eastAsia="黑体" w:hAnsi="黑体"/>
        </w:rPr>
        <w:t>一、 引言</w:t>
      </w:r>
    </w:p>
    <w:p>
      <w:pPr>
        <w:spacing w:line="300" w:lineRule="auto" w:after="120"/>
      </w:pPr>
      <w:r>
        <w:rPr>
          <w:rFonts w:ascii="宋体" w:hAnsi="宋体"/>
          <w:b w:val="0"/>
          <w:color w:val="333333"/>
          <w:sz w:val="21"/>
          <w:rFonts w:ascii="宋体" w:eastAsia="宋体" w:hAnsi="宋体"/>
        </w:rPr>
        <w:t>唐代是中国古典诗歌发展的鼎盛时期，而李白、杜甫与白居易则是这一辉煌时期最具代表性的三位辉煌巨匠。李白被尊为“诗仙”，是盛唐浪漫主义诗歌的巅峰代表；杜甫被尊为“诗圣”与“诗史”，是盛唐向中唐过渡时期现实主义诗歌的集大成者；白居易则被誉为“诗魔”与“诗王”，倡导新乐府运动，将中唐现实主义诗歌推向了通俗化与社会化的新高度。深入比较三人的诗歌风格异同，对于理解唐诗演进脉络及中国古典文学的美学成就具有重要意义。</w:t>
      </w:r>
    </w:p>
    <w:p>
      <w:pPr>
        <w:spacing w:before="280" w:after="120"/>
      </w:pPr>
      <w:r>
        <w:rPr>
          <w:rFonts w:ascii="黑体" w:hAnsi="黑体"/>
          <w:b/>
          <w:color w:val="1E3C72"/>
          <w:sz w:val="28"/>
          <w:rFonts w:ascii="黑体" w:eastAsia="黑体" w:hAnsi="黑体"/>
        </w:rPr>
        <w:t>二、 三大诗人诗歌风格异同综合对比表</w:t>
      </w:r>
    </w:p>
    <w:tbl>
      <w:tblPr>
        <w:tblW w:type="auto" w:w="0"/>
        <w:jc w:val="center"/>
        <w:tblLook w:firstColumn="1" w:firstRow="1" w:lastColumn="0" w:lastRow="0" w:noHBand="0" w:noVBand="1" w:val="04A0"/>
      </w:tblPr>
      <w:tblGrid>
        <w:gridCol w:w="2340"/>
        <w:gridCol w:w="2340"/>
        <w:gridCol w:w="2340"/>
        <w:gridCol w:w="2340"/>
      </w:tblGrid>
      <w:tr>
        <w:tc>
          <w:tcPr>
            <w:tcW w:type="dxa" w:w="2340"/>
            <w:shd w:fill="1E3C72"/>
          </w:tcPr>
          <w:p>
            <w:pPr>
              <w:jc w:val="center"/>
            </w:pPr>
            <w:r>
              <w:rPr>
                <w:rFonts w:ascii="黑体" w:hAnsi="黑体"/>
                <w:b/>
                <w:color w:val="FFFFFF"/>
                <w:sz w:val="20"/>
                <w:rFonts w:ascii="黑体" w:eastAsia="黑体" w:hAnsi="黑体"/>
              </w:rPr>
              <w:t>比较维度</w:t>
            </w:r>
          </w:p>
        </w:tc>
        <w:tc>
          <w:tcPr>
            <w:tcW w:type="dxa" w:w="2340"/>
            <w:shd w:fill="1E3C72"/>
          </w:tcPr>
          <w:p>
            <w:pPr>
              <w:jc w:val="center"/>
            </w:pPr>
            <w:r>
              <w:rPr>
                <w:rFonts w:ascii="黑体" w:hAnsi="黑体"/>
                <w:b/>
                <w:color w:val="FFFFFF"/>
                <w:sz w:val="20"/>
                <w:rFonts w:ascii="黑体" w:eastAsia="黑体" w:hAnsi="黑体"/>
              </w:rPr>
              <w:t>李白（诗仙）</w:t>
            </w:r>
          </w:p>
        </w:tc>
        <w:tc>
          <w:tcPr>
            <w:tcW w:type="dxa" w:w="2340"/>
            <w:shd w:fill="1E3C72"/>
          </w:tcPr>
          <w:p>
            <w:pPr>
              <w:jc w:val="center"/>
            </w:pPr>
            <w:r>
              <w:rPr>
                <w:rFonts w:ascii="黑体" w:hAnsi="黑体"/>
                <w:b/>
                <w:color w:val="FFFFFF"/>
                <w:sz w:val="20"/>
                <w:rFonts w:ascii="黑体" w:eastAsia="黑体" w:hAnsi="黑体"/>
              </w:rPr>
              <w:t>杜甫（诗圣）</w:t>
            </w:r>
          </w:p>
        </w:tc>
        <w:tc>
          <w:tcPr>
            <w:tcW w:type="dxa" w:w="2340"/>
            <w:shd w:fill="1E3C72"/>
          </w:tcPr>
          <w:p>
            <w:pPr>
              <w:jc w:val="center"/>
            </w:pPr>
            <w:r>
              <w:rPr>
                <w:rFonts w:ascii="黑体" w:hAnsi="黑体"/>
                <w:b/>
                <w:color w:val="FFFFFF"/>
                <w:sz w:val="20"/>
                <w:rFonts w:ascii="黑体" w:eastAsia="黑体" w:hAnsi="黑体"/>
              </w:rPr>
              <w:t>白居易（诗魔）</w:t>
            </w:r>
          </w:p>
        </w:tc>
      </w:tr>
      <w:tr>
        <w:tc>
          <w:tcPr>
            <w:tcW w:type="dxa" w:w="2340"/>
            <w:shd w:fill="F2F5FA"/>
          </w:tcPr>
          <w:p>
            <w:r>
              <w:rPr>
                <w:rFonts w:ascii="黑体" w:hAnsi="黑体"/>
                <w:b w:val="0"/>
                <w:color w:val="333333"/>
                <w:sz w:val="19"/>
                <w:rFonts w:ascii="黑体" w:eastAsia="黑体" w:hAnsi="黑体"/>
              </w:rPr>
              <w:t>美学基调</w:t>
            </w:r>
          </w:p>
        </w:tc>
        <w:tc>
          <w:tcPr>
            <w:tcW w:type="dxa" w:w="2340"/>
            <w:shd w:fill="F2F5FA"/>
          </w:tcPr>
          <w:p>
            <w:r>
              <w:rPr>
                <w:rFonts w:ascii="宋体" w:hAnsi="宋体"/>
                <w:b w:val="0"/>
                <w:color w:val="333333"/>
                <w:sz w:val="19"/>
                <w:rFonts w:ascii="宋体" w:eastAsia="宋体" w:hAnsi="宋体"/>
              </w:rPr>
              <w:t>豪放飘逸、雄奇瑰丽、超凡脱俗</w:t>
            </w:r>
          </w:p>
        </w:tc>
        <w:tc>
          <w:tcPr>
            <w:tcW w:type="dxa" w:w="2340"/>
            <w:shd w:fill="F2F5FA"/>
          </w:tcPr>
          <w:p>
            <w:r>
              <w:rPr>
                <w:rFonts w:ascii="宋体" w:hAnsi="宋体"/>
                <w:b w:val="0"/>
                <w:color w:val="333333"/>
                <w:sz w:val="19"/>
                <w:rFonts w:ascii="宋体" w:eastAsia="宋体" w:hAnsi="宋体"/>
              </w:rPr>
              <w:t>沉郁顿挫、凝重苍凉、严谨深沉</w:t>
            </w:r>
          </w:p>
        </w:tc>
        <w:tc>
          <w:tcPr>
            <w:tcW w:type="dxa" w:w="2340"/>
            <w:shd w:fill="F2F5FA"/>
          </w:tcPr>
          <w:p>
            <w:r>
              <w:rPr>
                <w:rFonts w:ascii="宋体" w:hAnsi="宋体"/>
                <w:b w:val="0"/>
                <w:color w:val="333333"/>
                <w:sz w:val="19"/>
                <w:rFonts w:ascii="宋体" w:eastAsia="宋体" w:hAnsi="宋体"/>
              </w:rPr>
              <w:t>平易通俗、朴实流畅、讽谕写实</w:t>
            </w:r>
          </w:p>
        </w:tc>
      </w:tr>
      <w:tr>
        <w:tc>
          <w:tcPr>
            <w:tcW w:type="dxa" w:w="2340"/>
          </w:tcPr>
          <w:p>
            <w:r>
              <w:rPr>
                <w:rFonts w:ascii="黑体" w:hAnsi="黑体"/>
                <w:b w:val="0"/>
                <w:color w:val="333333"/>
                <w:sz w:val="19"/>
                <w:rFonts w:ascii="黑体" w:eastAsia="黑体" w:hAnsi="黑体"/>
              </w:rPr>
              <w:t>核心题材</w:t>
            </w:r>
          </w:p>
        </w:tc>
        <w:tc>
          <w:tcPr>
            <w:tcW w:type="dxa" w:w="2340"/>
          </w:tcPr>
          <w:p>
            <w:r>
              <w:rPr>
                <w:rFonts w:ascii="宋体" w:hAnsi="宋体"/>
                <w:b w:val="0"/>
                <w:color w:val="333333"/>
                <w:sz w:val="19"/>
                <w:rFonts w:ascii="宋体" w:eastAsia="宋体" w:hAnsi="宋体"/>
              </w:rPr>
              <w:t>理想追求、山水游仙、饮酒抒怀、个人抱负</w:t>
            </w:r>
          </w:p>
        </w:tc>
        <w:tc>
          <w:tcPr>
            <w:tcW w:type="dxa" w:w="2340"/>
          </w:tcPr>
          <w:p>
            <w:r>
              <w:rPr>
                <w:rFonts w:ascii="宋体" w:hAnsi="宋体"/>
                <w:b w:val="0"/>
                <w:color w:val="333333"/>
                <w:sz w:val="19"/>
                <w:rFonts w:ascii="宋体" w:eastAsia="宋体" w:hAnsi="宋体"/>
              </w:rPr>
              <w:t>家国离乱、社会疾苦、时代变迁、民生百态</w:t>
            </w:r>
          </w:p>
        </w:tc>
        <w:tc>
          <w:tcPr>
            <w:tcW w:type="dxa" w:w="2340"/>
          </w:tcPr>
          <w:p>
            <w:r>
              <w:rPr>
                <w:rFonts w:ascii="宋体" w:hAnsi="宋体"/>
                <w:b w:val="0"/>
                <w:color w:val="333333"/>
                <w:sz w:val="19"/>
                <w:rFonts w:ascii="宋体" w:eastAsia="宋体" w:hAnsi="宋体"/>
              </w:rPr>
              <w:t>新乐府讽谕、中隐闲适、感伤长恨、社会底层</w:t>
            </w:r>
          </w:p>
        </w:tc>
      </w:tr>
      <w:tr>
        <w:tc>
          <w:tcPr>
            <w:tcW w:type="dxa" w:w="2340"/>
            <w:shd w:fill="F2F5FA"/>
          </w:tcPr>
          <w:p>
            <w:r>
              <w:rPr>
                <w:rFonts w:ascii="黑体" w:hAnsi="黑体"/>
                <w:b w:val="0"/>
                <w:color w:val="333333"/>
                <w:sz w:val="19"/>
                <w:rFonts w:ascii="黑体" w:eastAsia="黑体" w:hAnsi="黑体"/>
              </w:rPr>
              <w:t>语言风格</w:t>
            </w:r>
          </w:p>
        </w:tc>
        <w:tc>
          <w:tcPr>
            <w:tcW w:type="dxa" w:w="2340"/>
            <w:shd w:fill="F2F5FA"/>
          </w:tcPr>
          <w:p>
            <w:r>
              <w:rPr>
                <w:rFonts w:ascii="宋体" w:hAnsi="宋体"/>
                <w:b w:val="0"/>
                <w:color w:val="333333"/>
                <w:sz w:val="19"/>
                <w:rFonts w:ascii="宋体" w:eastAsia="宋体" w:hAnsi="宋体"/>
              </w:rPr>
              <w:t>清新自然、天然去雕饰、意象雄奇</w:t>
            </w:r>
          </w:p>
        </w:tc>
        <w:tc>
          <w:tcPr>
            <w:tcW w:type="dxa" w:w="2340"/>
            <w:shd w:fill="F2F5FA"/>
          </w:tcPr>
          <w:p>
            <w:r>
              <w:rPr>
                <w:rFonts w:ascii="宋体" w:hAnsi="宋体"/>
                <w:b w:val="0"/>
                <w:color w:val="333333"/>
                <w:sz w:val="19"/>
                <w:rFonts w:ascii="宋体" w:eastAsia="宋体" w:hAnsi="宋体"/>
              </w:rPr>
              <w:t>炼字精严、沉郁顿挫、对仗工整、杜律精绝</w:t>
            </w:r>
          </w:p>
        </w:tc>
        <w:tc>
          <w:tcPr>
            <w:tcW w:type="dxa" w:w="2340"/>
            <w:shd w:fill="F2F5FA"/>
          </w:tcPr>
          <w:p>
            <w:r>
              <w:rPr>
                <w:rFonts w:ascii="宋体" w:hAnsi="宋体"/>
                <w:b w:val="0"/>
                <w:color w:val="333333"/>
                <w:sz w:val="19"/>
                <w:rFonts w:ascii="宋体" w:eastAsia="宋体" w:hAnsi="宋体"/>
              </w:rPr>
              <w:t>老妪能解、平易近人、叙事清晰、明白如话</w:t>
            </w:r>
          </w:p>
        </w:tc>
      </w:tr>
      <w:tr>
        <w:tc>
          <w:tcPr>
            <w:tcW w:type="dxa" w:w="2340"/>
          </w:tcPr>
          <w:p>
            <w:r>
              <w:rPr>
                <w:rFonts w:ascii="黑体" w:hAnsi="黑体"/>
                <w:b w:val="0"/>
                <w:color w:val="333333"/>
                <w:sz w:val="19"/>
                <w:rFonts w:ascii="黑体" w:eastAsia="黑体" w:hAnsi="黑体"/>
              </w:rPr>
              <w:t>表现手法</w:t>
            </w:r>
          </w:p>
        </w:tc>
        <w:tc>
          <w:tcPr>
            <w:tcW w:type="dxa" w:w="2340"/>
          </w:tcPr>
          <w:p>
            <w:r>
              <w:rPr>
                <w:rFonts w:ascii="宋体" w:hAnsi="宋体"/>
                <w:b w:val="0"/>
                <w:color w:val="333333"/>
                <w:sz w:val="19"/>
                <w:rFonts w:ascii="宋体" w:eastAsia="宋体" w:hAnsi="宋体"/>
              </w:rPr>
              <w:t>夸张与奇特想象、浪漫主义虚构、情绪爆发</w:t>
            </w:r>
          </w:p>
        </w:tc>
        <w:tc>
          <w:tcPr>
            <w:tcW w:type="dxa" w:w="2340"/>
          </w:tcPr>
          <w:p>
            <w:r>
              <w:rPr>
                <w:rFonts w:ascii="宋体" w:hAnsi="宋体"/>
                <w:b w:val="0"/>
                <w:color w:val="333333"/>
                <w:sz w:val="19"/>
                <w:rFonts w:ascii="宋体" w:eastAsia="宋体" w:hAnsi="宋体"/>
              </w:rPr>
              <w:t>情景交融、对比鲜明、现实主义写实、格律严密</w:t>
            </w:r>
          </w:p>
        </w:tc>
        <w:tc>
          <w:tcPr>
            <w:tcW w:type="dxa" w:w="2340"/>
          </w:tcPr>
          <w:p>
            <w:r>
              <w:rPr>
                <w:rFonts w:ascii="宋体" w:hAnsi="宋体"/>
                <w:b w:val="0"/>
                <w:color w:val="333333"/>
                <w:sz w:val="19"/>
                <w:rFonts w:ascii="宋体" w:eastAsia="宋体" w:hAnsi="宋体"/>
              </w:rPr>
              <w:t>直书其事、细节描写、对比讽刺、重在讽谕写实</w:t>
            </w:r>
          </w:p>
        </w:tc>
      </w:tr>
      <w:tr>
        <w:tc>
          <w:tcPr>
            <w:tcW w:type="dxa" w:w="2340"/>
            <w:shd w:fill="F2F5FA"/>
          </w:tcPr>
          <w:p>
            <w:r>
              <w:rPr>
                <w:rFonts w:ascii="黑体" w:hAnsi="黑体"/>
                <w:b w:val="0"/>
                <w:color w:val="333333"/>
                <w:sz w:val="19"/>
                <w:rFonts w:ascii="黑体" w:eastAsia="黑体" w:hAnsi="黑体"/>
              </w:rPr>
              <w:t>思想内核</w:t>
            </w:r>
          </w:p>
        </w:tc>
        <w:tc>
          <w:tcPr>
            <w:tcW w:type="dxa" w:w="2340"/>
            <w:shd w:fill="F2F5FA"/>
          </w:tcPr>
          <w:p>
            <w:r>
              <w:rPr>
                <w:rFonts w:ascii="宋体" w:hAnsi="宋体"/>
                <w:b w:val="0"/>
                <w:color w:val="333333"/>
                <w:sz w:val="19"/>
                <w:rFonts w:ascii="宋体" w:eastAsia="宋体" w:hAnsi="宋体"/>
              </w:rPr>
              <w:t>追求个人自由、昂扬自信、道家超脱</w:t>
            </w:r>
          </w:p>
        </w:tc>
        <w:tc>
          <w:tcPr>
            <w:tcW w:type="dxa" w:w="2340"/>
            <w:shd w:fill="F2F5FA"/>
          </w:tcPr>
          <w:p>
            <w:r>
              <w:rPr>
                <w:rFonts w:ascii="宋体" w:hAnsi="宋体"/>
                <w:b w:val="0"/>
                <w:color w:val="333333"/>
                <w:sz w:val="19"/>
                <w:rFonts w:ascii="宋体" w:eastAsia="宋体" w:hAnsi="宋体"/>
              </w:rPr>
              <w:t>忧国忧民、儒家仁政爱物、奉儒守官</w:t>
            </w:r>
          </w:p>
        </w:tc>
        <w:tc>
          <w:tcPr>
            <w:tcW w:type="dxa" w:w="2340"/>
            <w:shd w:fill="F2F5FA"/>
          </w:tcPr>
          <w:p>
            <w:r>
              <w:rPr>
                <w:rFonts w:ascii="宋体" w:hAnsi="宋体"/>
                <w:b w:val="0"/>
                <w:color w:val="333333"/>
                <w:sz w:val="19"/>
                <w:rFonts w:ascii="宋体" w:eastAsia="宋体" w:hAnsi="宋体"/>
              </w:rPr>
              <w:t>兼济天下（讽谕）与独善其身（闲适）结合</w:t>
            </w:r>
          </w:p>
        </w:tc>
      </w:tr>
    </w:tbl>
    <w:p>
      <w:pPr>
        <w:spacing w:before="320" w:after="120"/>
      </w:pPr>
      <w:r>
        <w:rPr>
          <w:rFonts w:ascii="黑体" w:hAnsi="黑体"/>
          <w:b/>
          <w:color w:val="1E3C72"/>
          <w:sz w:val="28"/>
          <w:rFonts w:ascii="黑体" w:eastAsia="黑体" w:hAnsi="黑体"/>
        </w:rPr>
        <w:t>三、 诗歌风格异同之具体作品举例分析</w:t>
      </w:r>
    </w:p>
    <w:p>
      <w:pPr>
        <w:spacing w:before="160" w:after="80"/>
      </w:pPr>
      <w:r>
        <w:rPr>
          <w:rFonts w:ascii="黑体" w:hAnsi="黑体"/>
          <w:b/>
          <w:color w:val="2980B9"/>
          <w:sz w:val="24"/>
          <w:rFonts w:ascii="黑体" w:eastAsia="黑体" w:hAnsi="黑体"/>
        </w:rPr>
        <w:t>1. 李白：豪放飘逸与浪漫想象（“诗仙”）</w:t>
      </w:r>
    </w:p>
    <w:p>
      <w:pPr>
        <w:spacing w:line="300" w:lineRule="auto" w:after="120"/>
      </w:pPr>
      <w:r>
        <w:rPr>
          <w:rFonts w:ascii="宋体" w:hAnsi="宋体"/>
          <w:b w:val="0"/>
          <w:color w:val="333333"/>
          <w:sz w:val="21"/>
          <w:rFonts w:ascii="宋体" w:eastAsia="宋体" w:hAnsi="宋体"/>
        </w:rPr>
        <w:t>李白诗歌的核心特征在于“豪放飘逸”。他善于运用极其夸张的想象、雄奇的意象与爆发式的抒情，表达对个人自由的强烈追求与对理想的执着。其语言不受格律严苛束缚，追求“清水出芙蓉，天然去雕饰”的自然之美。</w:t>
      </w:r>
    </w:p>
    <w:p>
      <w:pPr>
        <w:spacing w:line="288" w:lineRule="auto" w:after="120"/>
        <w:ind w:left="432"/>
      </w:pPr>
      <w:r>
        <w:rPr>
          <w:rFonts w:ascii="楷体" w:hAnsi="楷体"/>
          <w:b w:val="0"/>
          <w:color w:val="282828"/>
          <w:sz w:val="20"/>
          <w:rFonts w:ascii="楷体" w:eastAsia="楷体" w:hAnsi="楷体"/>
        </w:rPr>
        <w:t>【经典诗句举例】</w:t>
        <w:br/>
        <w:t>• 《将进酒》：“君不见黄河之水天上来，奔流到海不复回。君不见高堂明镜悲白发，朝如青丝暮成雪。”</w:t>
        <w:br/>
        <w:t>• 《蜀道难》：“蜀道之难，难于上青天！”</w:t>
        <w:br/>
        <w:t>• 《独坐敬亭山》：“相看两不厌，只有敬亭山。”</w:t>
        <w:br/>
        <w:br/>
        <w:t>【风格解析】</w:t>
        <w:br/>
        <w:t>《将进酒》开篇以“黄河之水天上来”极其奇特的空间夸张与时间凝练，展现出磅礴的气势与宏大的宇宙感。“朝如青丝暮成雪”则将人生苦短的悲叹化为极具张力的浪漫抒情，随后以“天生我材必有用，千金散尽还复来”展现出狂放自信的个性。《独坐敬亭山》则展现其飘逸超脱、物我合一的道家审美境界。</w:t>
      </w:r>
    </w:p>
    <w:p>
      <w:pPr>
        <w:spacing w:before="240" w:after="80"/>
      </w:pPr>
      <w:r>
        <w:rPr>
          <w:rFonts w:ascii="黑体" w:hAnsi="黑体"/>
          <w:b/>
          <w:color w:val="2980B9"/>
          <w:sz w:val="24"/>
          <w:rFonts w:ascii="黑体" w:eastAsia="黑体" w:hAnsi="黑体"/>
        </w:rPr>
        <w:t>2. 杜甫：沉郁顿挫与现实关怀（“诗圣”、“诗史”）</w:t>
      </w:r>
    </w:p>
    <w:p>
      <w:pPr>
        <w:spacing w:line="300" w:lineRule="auto" w:after="120"/>
      </w:pPr>
      <w:r>
        <w:rPr>
          <w:rFonts w:ascii="宋体" w:hAnsi="宋体"/>
          <w:b w:val="0"/>
          <w:color w:val="333333"/>
          <w:sz w:val="21"/>
          <w:rFonts w:ascii="宋体" w:eastAsia="宋体" w:hAnsi="宋体"/>
        </w:rPr>
        <w:t>杜甫诗歌的核心特征在于“沉郁顿挫”。他深具儒家“民胞物与”与“忧国忧民”思想，将个人命运深刻融于安史之乱的社会动荡中。杜诗结构严密、格律精严，炼字极为讲究（“为人性僻耽佳句，语不惊人死不休”），被称为“诗史”。</w:t>
      </w:r>
    </w:p>
    <w:p>
      <w:pPr>
        <w:spacing w:line="288" w:lineRule="auto" w:after="120"/>
        <w:ind w:left="432"/>
      </w:pPr>
      <w:r>
        <w:rPr>
          <w:rFonts w:ascii="楷体" w:hAnsi="楷体"/>
          <w:b w:val="0"/>
          <w:color w:val="282828"/>
          <w:sz w:val="20"/>
          <w:rFonts w:ascii="楷体" w:eastAsia="楷体" w:hAnsi="楷体"/>
        </w:rPr>
        <w:t>【经典诗句举例】</w:t>
        <w:br/>
        <w:t>• 《春望》：“国破山河在，城春草木深。感时花溅泪，恨别鸟惊心。”</w:t>
        <w:br/>
        <w:t>• 《茅屋为秋风所破歌》：“安得广厦千万间，大庇天下寒士俱欢颜！风雨不动安如山。”</w:t>
        <w:br/>
        <w:t>• 《登高》：“无边落木萧萧下，不尽长江滚滚来。万里悲秋常作客，百年多病独登台。”</w:t>
        <w:br/>
        <w:br/>
        <w:t>【风格解析】</w:t>
        <w:br/>
        <w:t>《春望》通过“国破”与“城春”的强烈对比，寄托家国破碎的沉重痛楚；“感时花溅泪”将主观情感赋予客观景物，沉郁凝重。《茅屋为秋风所破歌》在自身屋破受冻的困境中，超越个人悲欢，发出“大庇天下寒士”的博爱呐喊，体现了现实主义的崇高人道主义精神。《登高》对仗工整极至，苍凉高远。</w:t>
      </w:r>
    </w:p>
    <w:p>
      <w:pPr>
        <w:spacing w:before="240" w:after="80"/>
      </w:pPr>
      <w:r>
        <w:rPr>
          <w:rFonts w:ascii="黑体" w:hAnsi="黑体"/>
          <w:b/>
          <w:color w:val="2980B9"/>
          <w:sz w:val="24"/>
          <w:rFonts w:ascii="黑体" w:eastAsia="黑体" w:hAnsi="黑体"/>
        </w:rPr>
        <w:t>3. 白居易：平易通俗与民生写实（“诗魔”、“诗王”）</w:t>
      </w:r>
    </w:p>
    <w:p>
      <w:pPr>
        <w:spacing w:line="300" w:lineRule="auto" w:after="120"/>
      </w:pPr>
      <w:r>
        <w:rPr>
          <w:rFonts w:ascii="宋体" w:hAnsi="宋体"/>
          <w:b w:val="0"/>
          <w:color w:val="333333"/>
          <w:sz w:val="21"/>
          <w:rFonts w:ascii="宋体" w:eastAsia="宋体" w:hAnsi="宋体"/>
        </w:rPr>
        <w:t>白居易诗歌的核心特征在于“平易通俗与社会讽谕”。他倡导新乐府运动，提出“文章合为时而著，歌诗合为事而作”的现实主义创作主张。其诗风平易近人，相传“老妪能解”，深刻反映中唐时期的民生百态与底层苦难。</w:t>
      </w:r>
    </w:p>
    <w:p>
      <w:pPr>
        <w:spacing w:line="288" w:lineRule="auto" w:after="120"/>
        <w:ind w:left="432"/>
      </w:pPr>
      <w:r>
        <w:rPr>
          <w:rFonts w:ascii="楷体" w:hAnsi="楷体"/>
          <w:b w:val="0"/>
          <w:color w:val="282828"/>
          <w:sz w:val="20"/>
          <w:rFonts w:ascii="楷体" w:eastAsia="楷体" w:hAnsi="楷体"/>
        </w:rPr>
        <w:t>【经典诗句举例】</w:t>
        <w:br/>
        <w:t>• 《卖炭翁》：“卖炭翁，伐薪烧炭南山中。满面尘灰烟火色，两鬓苍苍十指黑。”</w:t>
        <w:br/>
        <w:t>• 《观刈麦》：“听妇前致词，言采其获齿。妇人抱子在旁，右手秉遗穗。”</w:t>
        <w:br/>
        <w:t>• 《琵琶行》：“同是天涯沦落人，相逢何必曾相识。”</w:t>
        <w:br/>
        <w:br/>
        <w:t>【风格解析】</w:t>
        <w:br/>
        <w:t>《卖炭翁》通过对老翁外貌（满面尘灰、十指黑）与心理（“心忧炭贱愿天寒”）的精准细节刻画，直书宫市掠夺的残酷现实，语言如话、讽刺犀利。《观刈麦》则真实记录农民在酷暑中辛勤劳作却依然贫困的现状，表达强烈的自我反思。其闲适与感伤长篇（如《长恨歌》《琵琶行》）又具极高的叙事与抒情艺术。</w:t>
      </w:r>
    </w:p>
    <w:p>
      <w:pPr>
        <w:spacing w:before="320" w:after="120"/>
      </w:pPr>
      <w:r>
        <w:rPr>
          <w:rFonts w:ascii="黑体" w:hAnsi="黑体"/>
          <w:b/>
          <w:color w:val="1E3C72"/>
          <w:sz w:val="28"/>
          <w:rFonts w:ascii="黑体" w:eastAsia="黑体" w:hAnsi="黑体"/>
        </w:rPr>
        <w:t>四、 三大诗人诗歌风格之共同点（同中见异）</w:t>
      </w:r>
    </w:p>
    <w:p>
      <w:pPr>
        <w:spacing w:line="300" w:lineRule="auto" w:after="120"/>
      </w:pPr>
      <w:r>
        <w:rPr>
          <w:rFonts w:ascii="宋体" w:hAnsi="宋体"/>
          <w:b w:val="0"/>
          <w:color w:val="333333"/>
          <w:sz w:val="21"/>
          <w:rFonts w:ascii="宋体" w:eastAsia="宋体" w:hAnsi="宋体"/>
        </w:rPr>
        <w:t>尽管李、杜、白三人在审美倾向与艺术表现上各有千秋，但作为唐代诗歌巅峰的代表，他们在艺术创作与思想品格上展现出深刻的共同点：</w:t>
        <w:br/>
        <w:br/>
        <w:t>1. 深刻的时代烙印与真挚情感：三人都以极高的艺术敏锐度记录了唐代由盛转衰的历史进程与社会变革，无论是李白的理想抱负、杜甫的家国离乱，还是白居易的民生关怀，均饱含对国家命运与人类生活的真挚情感。</w:t>
        <w:br/>
        <w:t>2. 语言锤炼的极致追求：李白的“天然去雕饰”、杜甫的“语不惊人死不休”、白居易的“老妪能解”，表面上手法不同，但本质上都是对诗歌语言锤炼与表达效果的至高追求。</w:t>
        <w:br/>
        <w:t>3. 现实与崇高品格的交融：三位诗人均具备强烈的社会责任感与独立人格，其作品在展现高超艺术技巧的同时，更蕴含着崇高的人文关怀与深远的美学价值。</w:t>
      </w:r>
    </w:p>
    <w:p>
      <w:pPr>
        <w:spacing w:before="320" w:after="120"/>
      </w:pPr>
      <w:r>
        <w:rPr>
          <w:rFonts w:ascii="黑体" w:hAnsi="黑体"/>
          <w:b/>
          <w:color w:val="1E3C72"/>
          <w:sz w:val="28"/>
          <w:rFonts w:ascii="黑体" w:eastAsia="黑体" w:hAnsi="黑体"/>
        </w:rPr>
        <w:t>五、 结语</w:t>
      </w:r>
    </w:p>
    <w:p>
      <w:pPr>
        <w:spacing w:line="300" w:lineRule="auto" w:after="120"/>
      </w:pPr>
      <w:r>
        <w:rPr>
          <w:rFonts w:ascii="宋体" w:hAnsi="宋体"/>
          <w:b w:val="0"/>
          <w:color w:val="333333"/>
          <w:sz w:val="21"/>
          <w:rFonts w:ascii="宋体" w:eastAsia="宋体" w:hAnsi="宋体"/>
        </w:rPr>
        <w:t>李白之“豪放飘逸”、杜甫之“沉郁顿挫”与白居易之“平易通俗”，共同构筑了中国古典诗歌史上最璀璨的美学天际线。李白代表了浪漫主义的精神飞扬，杜甫奠定了现实主义的精神基石，而白居易则完成了诗歌走向大众与社会现实的普及深化。三者互为补充、相得益彰，共同成就了唐诗不可逾越的高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