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EA1C" w14:textId="77777777" w:rsidR="00D5761E" w:rsidRDefault="00000000">
      <w:pPr>
        <w:spacing w:after="0"/>
        <w:ind w:left="340"/>
      </w:pPr>
      <w:r>
        <w:rPr>
          <w:rFonts w:ascii="微软雅黑" w:eastAsia="微软雅黑" w:hAnsi="微软雅黑" w:cs="微软雅黑"/>
          <w:sz w:val="86"/>
        </w:rPr>
        <w:t>中国人民银行</w:t>
      </w:r>
    </w:p>
    <w:p w14:paraId="536E1F2B" w14:textId="77777777" w:rsidR="00D5761E" w:rsidRDefault="00000000">
      <w:pPr>
        <w:spacing w:after="0"/>
        <w:ind w:right="212"/>
        <w:jc w:val="right"/>
      </w:pPr>
      <w:r>
        <w:rPr>
          <w:rFonts w:ascii="微软雅黑" w:eastAsia="微软雅黑" w:hAnsi="微软雅黑" w:cs="微软雅黑"/>
          <w:sz w:val="90"/>
        </w:rPr>
        <w:t>文件</w:t>
      </w:r>
    </w:p>
    <w:p w14:paraId="42AE9D25" w14:textId="77777777" w:rsidR="00D5761E" w:rsidRDefault="00000000">
      <w:pPr>
        <w:spacing w:after="97"/>
        <w:ind w:left="308"/>
      </w:pPr>
      <w:r>
        <w:rPr>
          <w:rFonts w:ascii="微软雅黑" w:eastAsia="微软雅黑" w:hAnsi="微软雅黑" w:cs="微软雅黑"/>
          <w:sz w:val="90"/>
        </w:rPr>
        <w:t>工商总局</w:t>
      </w:r>
    </w:p>
    <w:p w14:paraId="3FCF7D31" w14:textId="77777777" w:rsidR="00D5761E" w:rsidRDefault="00000000">
      <w:pPr>
        <w:spacing w:after="0"/>
        <w:ind w:right="53"/>
        <w:jc w:val="center"/>
      </w:pPr>
      <w:r>
        <w:rPr>
          <w:rFonts w:ascii="微软雅黑" w:eastAsia="微软雅黑" w:hAnsi="微软雅黑" w:cs="微软雅黑"/>
          <w:sz w:val="30"/>
        </w:rPr>
        <w:t>银发〔2 01 7〕3号</w:t>
      </w:r>
    </w:p>
    <w:p w14:paraId="16029818" w14:textId="77777777" w:rsidR="00D5761E" w:rsidRDefault="00000000">
      <w:pPr>
        <w:spacing w:after="717"/>
        <w:ind w:left="-5"/>
      </w:pPr>
      <w:r>
        <w:rPr>
          <w:noProof/>
        </w:rPr>
        <mc:AlternateContent>
          <mc:Choice Requires="wpg">
            <w:drawing>
              <wp:inline distT="0" distB="0" distL="0" distR="0" wp14:anchorId="7AFCEB3C" wp14:editId="53D95428">
                <wp:extent cx="5594036" cy="20234"/>
                <wp:effectExtent l="0" t="0" r="0" b="0"/>
                <wp:docPr id="13983" name="Group 13983"/>
                <wp:cNvGraphicFramePr/>
                <a:graphic xmlns:a="http://schemas.openxmlformats.org/drawingml/2006/main">
                  <a:graphicData uri="http://schemas.microsoft.com/office/word/2010/wordprocessingGroup">
                    <wpg:wgp>
                      <wpg:cNvGrpSpPr/>
                      <wpg:grpSpPr>
                        <a:xfrm>
                          <a:off x="0" y="0"/>
                          <a:ext cx="5594036" cy="20234"/>
                          <a:chOff x="0" y="0"/>
                          <a:chExt cx="5594036" cy="20234"/>
                        </a:xfrm>
                      </wpg:grpSpPr>
                      <wps:wsp>
                        <wps:cNvPr id="13982" name="Shape 13982"/>
                        <wps:cNvSpPr/>
                        <wps:spPr>
                          <a:xfrm>
                            <a:off x="0" y="0"/>
                            <a:ext cx="5594036" cy="20234"/>
                          </a:xfrm>
                          <a:custGeom>
                            <a:avLst/>
                            <a:gdLst/>
                            <a:ahLst/>
                            <a:cxnLst/>
                            <a:rect l="0" t="0" r="0" b="0"/>
                            <a:pathLst>
                              <a:path w="5594036" h="20234">
                                <a:moveTo>
                                  <a:pt x="0" y="10117"/>
                                </a:moveTo>
                                <a:lnTo>
                                  <a:pt x="5594036" y="10117"/>
                                </a:lnTo>
                              </a:path>
                            </a:pathLst>
                          </a:custGeom>
                          <a:ln w="2023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3983" style="width:440.475pt;height:1.5932pt;mso-position-horizontal-relative:char;mso-position-vertical-relative:line" coordsize="55940,202">
                <v:shape id="Shape 13982" style="position:absolute;width:55940;height:202;left:0;top:0;" coordsize="5594036,20234" path="m0,10117l5594036,10117">
                  <v:stroke weight="1.5932pt" endcap="flat" joinstyle="miter" miterlimit="1" on="true" color="#000000"/>
                  <v:fill on="false" color="#000000"/>
                </v:shape>
              </v:group>
            </w:pict>
          </mc:Fallback>
        </mc:AlternateContent>
      </w:r>
    </w:p>
    <w:p w14:paraId="7C919BA5" w14:textId="77777777" w:rsidR="00D5761E" w:rsidRDefault="00000000">
      <w:pPr>
        <w:spacing w:after="0"/>
        <w:ind w:right="42"/>
        <w:jc w:val="right"/>
      </w:pPr>
      <w:r>
        <w:rPr>
          <w:rFonts w:ascii="微软雅黑" w:eastAsia="微软雅黑" w:hAnsi="微软雅黑" w:cs="微软雅黑"/>
          <w:sz w:val="88"/>
        </w:rPr>
        <w:t>"</w:t>
      </w:r>
    </w:p>
    <w:p w14:paraId="790CFB5B" w14:textId="77777777" w:rsidR="00D5761E" w:rsidRDefault="00000000">
      <w:pPr>
        <w:spacing w:after="368" w:line="240" w:lineRule="auto"/>
        <w:ind w:left="319" w:hanging="308"/>
      </w:pPr>
      <w:r>
        <w:rPr>
          <w:rFonts w:ascii="微软雅黑" w:eastAsia="微软雅黑" w:hAnsi="微软雅黑" w:cs="微软雅黑"/>
          <w:sz w:val="40"/>
        </w:rPr>
        <w:t>中国人民银行工商总局关于个体工商户“两证整合登记制度改革涉及银行账户管理有关事项的通知</w:t>
      </w:r>
    </w:p>
    <w:p w14:paraId="0213B9FD" w14:textId="77777777" w:rsidR="00D5761E" w:rsidRDefault="00000000">
      <w:pPr>
        <w:spacing w:after="0" w:line="216" w:lineRule="auto"/>
        <w:ind w:left="-10" w:right="-4" w:firstLine="27"/>
        <w:jc w:val="both"/>
      </w:pPr>
      <w:r>
        <w:rPr>
          <w:rFonts w:ascii="微软雅黑" w:eastAsia="微软雅黑" w:hAnsi="微软雅黑" w:cs="微软雅黑"/>
          <w:sz w:val="28"/>
        </w:rPr>
        <w:t>中国人民银行上海总部，各分行、营业管理部，各省会（首府）城市中心支行，深圳市中心支行；各省、自治区、直辖市及计划单列市工商行政管理局（市场监督管理部门）；国家开发银行，各政策性银行、国有商业银行、股份制商业银行，中国邮政储蓄银行：个体工商户营业执照和税务登记证的“两证整合"工作已于</w:t>
      </w:r>
    </w:p>
    <w:p w14:paraId="49D2CFFD" w14:textId="77777777" w:rsidR="00D5761E" w:rsidRDefault="00000000">
      <w:pPr>
        <w:spacing w:after="0"/>
        <w:ind w:right="366"/>
        <w:jc w:val="right"/>
      </w:pPr>
      <w:r>
        <w:rPr>
          <w:noProof/>
        </w:rPr>
        <w:drawing>
          <wp:inline distT="0" distB="0" distL="0" distR="0" wp14:anchorId="537E6A02" wp14:editId="33B5A2A6">
            <wp:extent cx="178712" cy="6745"/>
            <wp:effectExtent l="0" t="0" r="0" b="0"/>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5"/>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34"/>
        </w:rPr>
        <w:t xml:space="preserve"> 1 </w:t>
      </w:r>
      <w:r>
        <w:rPr>
          <w:noProof/>
        </w:rPr>
        <w:drawing>
          <wp:inline distT="0" distB="0" distL="0" distR="0" wp14:anchorId="5A2D7E90" wp14:editId="1E5D465D">
            <wp:extent cx="178713" cy="6745"/>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5"/>
                    <a:stretch>
                      <a:fillRect/>
                    </a:stretch>
                  </pic:blipFill>
                  <pic:spPr>
                    <a:xfrm>
                      <a:off x="0" y="0"/>
                      <a:ext cx="178713" cy="6745"/>
                    </a:xfrm>
                    <a:prstGeom prst="rect">
                      <a:avLst/>
                    </a:prstGeom>
                  </pic:spPr>
                </pic:pic>
              </a:graphicData>
            </a:graphic>
          </wp:inline>
        </w:drawing>
      </w:r>
    </w:p>
    <w:p w14:paraId="3781F5C7" w14:textId="77777777" w:rsidR="00D5761E" w:rsidRDefault="00000000">
      <w:pPr>
        <w:spacing w:after="6" w:line="265" w:lineRule="auto"/>
        <w:ind w:left="1" w:firstLine="1"/>
      </w:pPr>
      <w:r>
        <w:rPr>
          <w:rFonts w:ascii="微软雅黑" w:eastAsia="微软雅黑" w:hAnsi="微软雅黑" w:cs="微软雅黑"/>
          <w:sz w:val="28"/>
        </w:rPr>
        <w:lastRenderedPageBreak/>
        <w:t>2 016年1 2月1日起在全国范围内正式实施。为确保个体工商户顺利办理银行账户业务，现就有关事项通知如下</w:t>
      </w:r>
      <w:r>
        <w:rPr>
          <w:noProof/>
        </w:rPr>
        <w:drawing>
          <wp:inline distT="0" distB="0" distL="0" distR="0" wp14:anchorId="7B610E69" wp14:editId="5572CDED">
            <wp:extent cx="26975" cy="94423"/>
            <wp:effectExtent l="0" t="0" r="0" b="0"/>
            <wp:docPr id="13987" name="Picture 13987"/>
            <wp:cNvGraphicFramePr/>
            <a:graphic xmlns:a="http://schemas.openxmlformats.org/drawingml/2006/main">
              <a:graphicData uri="http://schemas.openxmlformats.org/drawingml/2006/picture">
                <pic:pic xmlns:pic="http://schemas.openxmlformats.org/drawingml/2006/picture">
                  <pic:nvPicPr>
                    <pic:cNvPr id="13987" name="Picture 13987"/>
                    <pic:cNvPicPr/>
                  </pic:nvPicPr>
                  <pic:blipFill>
                    <a:blip r:embed="rId6"/>
                    <a:stretch>
                      <a:fillRect/>
                    </a:stretch>
                  </pic:blipFill>
                  <pic:spPr>
                    <a:xfrm>
                      <a:off x="0" y="0"/>
                      <a:ext cx="26975" cy="94423"/>
                    </a:xfrm>
                    <a:prstGeom prst="rect">
                      <a:avLst/>
                    </a:prstGeom>
                  </pic:spPr>
                </pic:pic>
              </a:graphicData>
            </a:graphic>
          </wp:inline>
        </w:drawing>
      </w:r>
    </w:p>
    <w:p w14:paraId="0FBEAE1C" w14:textId="77777777" w:rsidR="00D5761E" w:rsidRDefault="00000000">
      <w:pPr>
        <w:spacing w:after="48" w:line="262" w:lineRule="auto"/>
        <w:ind w:left="658" w:right="1" w:firstLine="6"/>
        <w:jc w:val="both"/>
      </w:pPr>
      <w:r>
        <w:rPr>
          <w:noProof/>
        </w:rPr>
        <w:drawing>
          <wp:inline distT="0" distB="0" distL="0" distR="0" wp14:anchorId="3052D9A3" wp14:editId="75740233">
            <wp:extent cx="158481" cy="23606"/>
            <wp:effectExtent l="0" t="0" r="0" b="0"/>
            <wp:docPr id="3826" name="Picture 3826"/>
            <wp:cNvGraphicFramePr/>
            <a:graphic xmlns:a="http://schemas.openxmlformats.org/drawingml/2006/main">
              <a:graphicData uri="http://schemas.openxmlformats.org/drawingml/2006/picture">
                <pic:pic xmlns:pic="http://schemas.openxmlformats.org/drawingml/2006/picture">
                  <pic:nvPicPr>
                    <pic:cNvPr id="3826" name="Picture 3826"/>
                    <pic:cNvPicPr/>
                  </pic:nvPicPr>
                  <pic:blipFill>
                    <a:blip r:embed="rId7"/>
                    <a:stretch>
                      <a:fillRect/>
                    </a:stretch>
                  </pic:blipFill>
                  <pic:spPr>
                    <a:xfrm>
                      <a:off x="0" y="0"/>
                      <a:ext cx="158481" cy="23606"/>
                    </a:xfrm>
                    <a:prstGeom prst="rect">
                      <a:avLst/>
                    </a:prstGeom>
                  </pic:spPr>
                </pic:pic>
              </a:graphicData>
            </a:graphic>
          </wp:inline>
        </w:drawing>
      </w:r>
      <w:r>
        <w:rPr>
          <w:rFonts w:ascii="微软雅黑" w:eastAsia="微软雅黑" w:hAnsi="微软雅黑" w:cs="微软雅黑"/>
          <w:sz w:val="30"/>
        </w:rPr>
        <w:t>、办理人民币单位银行账户业务提供的证明文件</w:t>
      </w:r>
    </w:p>
    <w:p w14:paraId="212A2158" w14:textId="77777777" w:rsidR="00D5761E" w:rsidRDefault="00000000">
      <w:pPr>
        <w:spacing w:after="4" w:line="262" w:lineRule="auto"/>
        <w:ind w:left="12" w:right="1" w:firstLine="637"/>
        <w:jc w:val="both"/>
      </w:pPr>
      <w:r>
        <w:rPr>
          <w:rFonts w:ascii="微软雅黑" w:eastAsia="微软雅黑" w:hAnsi="微软雅黑" w:cs="微软雅黑"/>
          <w:sz w:val="30"/>
        </w:rPr>
        <w:t>个体工商户持加载统一社会信用代码的新版营业执照到银行业金融机构（以下简称银行）办理银行账户业务时，可不再提供税务登记证；个体工商户</w:t>
      </w:r>
      <w:proofErr w:type="gramStart"/>
      <w:r>
        <w:rPr>
          <w:rFonts w:ascii="微软雅黑" w:eastAsia="微软雅黑" w:hAnsi="微软雅黑" w:cs="微软雅黑"/>
          <w:sz w:val="30"/>
        </w:rPr>
        <w:t>持电子</w:t>
      </w:r>
      <w:proofErr w:type="gramEnd"/>
      <w:r>
        <w:rPr>
          <w:rFonts w:ascii="微软雅黑" w:eastAsia="微软雅黑" w:hAnsi="微软雅黑" w:cs="微软雅黑"/>
          <w:sz w:val="30"/>
        </w:rPr>
        <w:t>营业执照办理银行账户业务的，已配备电子营业执照识别机具的银行可以根据机读信息办理账户业务，并留存电子营业执照影印件。</w:t>
      </w:r>
    </w:p>
    <w:p w14:paraId="684DF725" w14:textId="77777777" w:rsidR="00D5761E" w:rsidRDefault="00000000">
      <w:pPr>
        <w:spacing w:after="4" w:line="262" w:lineRule="auto"/>
        <w:ind w:left="12" w:right="1" w:firstLine="627"/>
        <w:jc w:val="both"/>
      </w:pPr>
      <w:r>
        <w:rPr>
          <w:rFonts w:ascii="微软雅黑" w:eastAsia="微软雅黑" w:hAnsi="微软雅黑" w:cs="微软雅黑"/>
          <w:sz w:val="30"/>
        </w:rPr>
        <w:t>个体工商户“两证整合"不设过渡期，不要求将旧版营业执照更换为新证。个体工商户持旧版营业执照和税务登记证办理银行账户业务的，银行仍应按照《人民币银行结算账户管理办法》</w:t>
      </w:r>
    </w:p>
    <w:p w14:paraId="120F3FE7" w14:textId="77777777" w:rsidR="00D5761E" w:rsidRDefault="00000000">
      <w:pPr>
        <w:spacing w:after="465" w:line="265" w:lineRule="auto"/>
        <w:ind w:left="154" w:firstLine="1"/>
      </w:pPr>
      <w:r>
        <w:rPr>
          <w:rFonts w:ascii="微软雅黑" w:eastAsia="微软雅黑" w:hAnsi="微软雅黑" w:cs="微软雅黑"/>
          <w:sz w:val="28"/>
        </w:rPr>
        <w:t>（中国人民银行令〔2003〕第5号发布）等相关账户制度规定执</w:t>
      </w:r>
    </w:p>
    <w:p w14:paraId="6E134540" w14:textId="77777777" w:rsidR="00D5761E" w:rsidRDefault="00000000">
      <w:pPr>
        <w:spacing w:after="53"/>
        <w:ind w:right="393"/>
        <w:jc w:val="center"/>
      </w:pPr>
      <w:r>
        <w:rPr>
          <w:noProof/>
        </w:rPr>
        <w:drawing>
          <wp:inline distT="0" distB="0" distL="0" distR="0" wp14:anchorId="7E85635F" wp14:editId="5E4235A9">
            <wp:extent cx="242779" cy="121401"/>
            <wp:effectExtent l="0" t="0" r="0" b="0"/>
            <wp:docPr id="13989" name="Picture 13989"/>
            <wp:cNvGraphicFramePr/>
            <a:graphic xmlns:a="http://schemas.openxmlformats.org/drawingml/2006/main">
              <a:graphicData uri="http://schemas.openxmlformats.org/drawingml/2006/picture">
                <pic:pic xmlns:pic="http://schemas.openxmlformats.org/drawingml/2006/picture">
                  <pic:nvPicPr>
                    <pic:cNvPr id="13989" name="Picture 13989"/>
                    <pic:cNvPicPr/>
                  </pic:nvPicPr>
                  <pic:blipFill>
                    <a:blip r:embed="rId8"/>
                    <a:stretch>
                      <a:fillRect/>
                    </a:stretch>
                  </pic:blipFill>
                  <pic:spPr>
                    <a:xfrm>
                      <a:off x="0" y="0"/>
                      <a:ext cx="242779" cy="121401"/>
                    </a:xfrm>
                    <a:prstGeom prst="rect">
                      <a:avLst/>
                    </a:prstGeom>
                  </pic:spPr>
                </pic:pic>
              </a:graphicData>
            </a:graphic>
          </wp:inline>
        </w:drawing>
      </w:r>
      <w:r>
        <w:rPr>
          <w:rFonts w:ascii="微软雅黑" w:eastAsia="微软雅黑" w:hAnsi="微软雅黑" w:cs="微软雅黑"/>
          <w:sz w:val="28"/>
        </w:rPr>
        <w:t>人民币银行结算账户管理系统相关信息录入规则</w:t>
      </w:r>
    </w:p>
    <w:p w14:paraId="74549B43" w14:textId="77777777" w:rsidR="00D5761E" w:rsidRDefault="00000000">
      <w:pPr>
        <w:spacing w:after="4" w:line="262" w:lineRule="auto"/>
        <w:ind w:left="12" w:right="1" w:firstLine="627"/>
        <w:jc w:val="both"/>
      </w:pPr>
      <w:r>
        <w:rPr>
          <w:rFonts w:ascii="微软雅黑" w:eastAsia="微软雅黑" w:hAnsi="微软雅黑" w:cs="微软雅黑"/>
          <w:sz w:val="30"/>
        </w:rPr>
        <w:t>银行为持加载统一社会信用代码营业执照的个体工商户办理开户业务时，人民币银行结算账户管理系统中</w:t>
      </w:r>
      <w:proofErr w:type="gramStart"/>
      <w:r>
        <w:rPr>
          <w:rFonts w:ascii="微软雅黑" w:eastAsia="微软雅黑" w:hAnsi="微软雅黑" w:cs="微软雅黑"/>
          <w:sz w:val="30"/>
        </w:rPr>
        <w:t>“</w:t>
      </w:r>
      <w:proofErr w:type="gramEnd"/>
      <w:r>
        <w:rPr>
          <w:rFonts w:ascii="微软雅黑" w:eastAsia="微软雅黑" w:hAnsi="微软雅黑" w:cs="微软雅黑"/>
          <w:sz w:val="30"/>
        </w:rPr>
        <w:t xml:space="preserve">工商营业执照"、 </w:t>
      </w:r>
      <w:proofErr w:type="gramStart"/>
      <w:r>
        <w:rPr>
          <w:rFonts w:ascii="微软雅黑" w:eastAsia="微软雅黑" w:hAnsi="微软雅黑" w:cs="微软雅黑"/>
          <w:sz w:val="30"/>
        </w:rPr>
        <w:t>“</w:t>
      </w:r>
      <w:proofErr w:type="gramEnd"/>
      <w:r>
        <w:rPr>
          <w:rFonts w:ascii="微软雅黑" w:eastAsia="微软雅黑" w:hAnsi="微软雅黑" w:cs="微软雅黑"/>
          <w:sz w:val="30"/>
        </w:rPr>
        <w:t>国税登记证号"、</w:t>
      </w:r>
      <w:proofErr w:type="gramStart"/>
      <w:r>
        <w:rPr>
          <w:rFonts w:ascii="微软雅黑" w:eastAsia="微软雅黑" w:hAnsi="微软雅黑" w:cs="微软雅黑"/>
          <w:sz w:val="30"/>
        </w:rPr>
        <w:t>“</w:t>
      </w:r>
      <w:proofErr w:type="gramEnd"/>
      <w:r>
        <w:rPr>
          <w:rFonts w:ascii="微软雅黑" w:eastAsia="微软雅黑" w:hAnsi="微软雅黑" w:cs="微软雅黑"/>
          <w:sz w:val="30"/>
        </w:rPr>
        <w:t>地税登记证号"字段录入18位统一社会信用代码，“组织机构代码"字段无需录入。</w:t>
      </w:r>
    </w:p>
    <w:p w14:paraId="6CD552A5" w14:textId="77777777" w:rsidR="00D5761E" w:rsidRDefault="00000000">
      <w:pPr>
        <w:spacing w:after="61" w:line="262" w:lineRule="auto"/>
        <w:ind w:left="664" w:right="1" w:firstLine="6"/>
        <w:jc w:val="both"/>
      </w:pPr>
      <w:r>
        <w:rPr>
          <w:noProof/>
        </w:rPr>
        <w:drawing>
          <wp:inline distT="0" distB="0" distL="0" distR="0" wp14:anchorId="2D1181DE" wp14:editId="13AFE397">
            <wp:extent cx="151737" cy="145007"/>
            <wp:effectExtent l="0" t="0" r="0" b="0"/>
            <wp:docPr id="13991" name="Picture 13991"/>
            <wp:cNvGraphicFramePr/>
            <a:graphic xmlns:a="http://schemas.openxmlformats.org/drawingml/2006/main">
              <a:graphicData uri="http://schemas.openxmlformats.org/drawingml/2006/picture">
                <pic:pic xmlns:pic="http://schemas.openxmlformats.org/drawingml/2006/picture">
                  <pic:nvPicPr>
                    <pic:cNvPr id="13991" name="Picture 13991"/>
                    <pic:cNvPicPr/>
                  </pic:nvPicPr>
                  <pic:blipFill>
                    <a:blip r:embed="rId9"/>
                    <a:stretch>
                      <a:fillRect/>
                    </a:stretch>
                  </pic:blipFill>
                  <pic:spPr>
                    <a:xfrm>
                      <a:off x="0" y="0"/>
                      <a:ext cx="151737" cy="145007"/>
                    </a:xfrm>
                    <a:prstGeom prst="rect">
                      <a:avLst/>
                    </a:prstGeom>
                  </pic:spPr>
                </pic:pic>
              </a:graphicData>
            </a:graphic>
          </wp:inline>
        </w:drawing>
      </w:r>
      <w:r>
        <w:rPr>
          <w:rFonts w:ascii="微软雅黑" w:eastAsia="微软雅黑" w:hAnsi="微软雅黑" w:cs="微软雅黑"/>
          <w:sz w:val="30"/>
        </w:rPr>
        <w:t>、银行账户信息变更</w:t>
      </w:r>
    </w:p>
    <w:p w14:paraId="4ED08724" w14:textId="77777777" w:rsidR="00D5761E" w:rsidRDefault="00000000">
      <w:pPr>
        <w:spacing w:after="315"/>
        <w:ind w:right="27"/>
        <w:jc w:val="right"/>
      </w:pPr>
      <w:r>
        <w:rPr>
          <w:rFonts w:ascii="微软雅黑" w:eastAsia="微软雅黑" w:hAnsi="微软雅黑" w:cs="微软雅黑"/>
          <w:sz w:val="30"/>
        </w:rPr>
        <w:t>个体工商户换发加载统一社会信用代码营业执照后，应及时</w:t>
      </w:r>
    </w:p>
    <w:p w14:paraId="30DD4C04" w14:textId="77777777" w:rsidR="00D5761E" w:rsidRDefault="00000000">
      <w:pPr>
        <w:spacing w:after="0"/>
        <w:ind w:left="276"/>
      </w:pPr>
      <w:r>
        <w:rPr>
          <w:noProof/>
        </w:rPr>
        <w:drawing>
          <wp:inline distT="0" distB="0" distL="0" distR="0" wp14:anchorId="5DBAC556" wp14:editId="613157E5">
            <wp:extent cx="178712" cy="6745"/>
            <wp:effectExtent l="0" t="0" r="0" b="0"/>
            <wp:docPr id="3833" name="Picture 3833"/>
            <wp:cNvGraphicFramePr/>
            <a:graphic xmlns:a="http://schemas.openxmlformats.org/drawingml/2006/main">
              <a:graphicData uri="http://schemas.openxmlformats.org/drawingml/2006/picture">
                <pic:pic xmlns:pic="http://schemas.openxmlformats.org/drawingml/2006/picture">
                  <pic:nvPicPr>
                    <pic:cNvPr id="3833" name="Picture 3833"/>
                    <pic:cNvPicPr/>
                  </pic:nvPicPr>
                  <pic:blipFill>
                    <a:blip r:embed="rId5"/>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4"/>
        </w:rPr>
        <w:t xml:space="preserve"> 2 </w:t>
      </w:r>
      <w:r>
        <w:rPr>
          <w:noProof/>
        </w:rPr>
        <w:drawing>
          <wp:inline distT="0" distB="0" distL="0" distR="0" wp14:anchorId="3D05DC5C" wp14:editId="24E38C0A">
            <wp:extent cx="178712" cy="6745"/>
            <wp:effectExtent l="0" t="0" r="0" b="0"/>
            <wp:docPr id="3834" name="Picture 3834"/>
            <wp:cNvGraphicFramePr/>
            <a:graphic xmlns:a="http://schemas.openxmlformats.org/drawingml/2006/main">
              <a:graphicData uri="http://schemas.openxmlformats.org/drawingml/2006/picture">
                <pic:pic xmlns:pic="http://schemas.openxmlformats.org/drawingml/2006/picture">
                  <pic:nvPicPr>
                    <pic:cNvPr id="3834" name="Picture 3834"/>
                    <pic:cNvPicPr/>
                  </pic:nvPicPr>
                  <pic:blipFill>
                    <a:blip r:embed="rId5"/>
                    <a:stretch>
                      <a:fillRect/>
                    </a:stretch>
                  </pic:blipFill>
                  <pic:spPr>
                    <a:xfrm>
                      <a:off x="0" y="0"/>
                      <a:ext cx="178712" cy="6745"/>
                    </a:xfrm>
                    <a:prstGeom prst="rect">
                      <a:avLst/>
                    </a:prstGeom>
                  </pic:spPr>
                </pic:pic>
              </a:graphicData>
            </a:graphic>
          </wp:inline>
        </w:drawing>
      </w:r>
    </w:p>
    <w:p w14:paraId="34BA0A6C" w14:textId="77777777" w:rsidR="00D5761E" w:rsidRDefault="00000000">
      <w:pPr>
        <w:spacing w:after="4" w:line="262" w:lineRule="auto"/>
        <w:ind w:left="12" w:right="1" w:firstLine="6"/>
        <w:jc w:val="both"/>
      </w:pPr>
      <w:r>
        <w:rPr>
          <w:rFonts w:ascii="微软雅黑" w:eastAsia="微软雅黑" w:hAnsi="微软雅黑" w:cs="微软雅黑"/>
          <w:sz w:val="30"/>
        </w:rPr>
        <w:lastRenderedPageBreak/>
        <w:t>到开户银行变更银行账户信息。银行通过日常业务、年检等发现账户管理系统信息与个体工商户现有证照信息不一致的，应及时通知个体工商户尽快办理信息变更业务。</w:t>
      </w:r>
    </w:p>
    <w:p w14:paraId="602EAA53" w14:textId="77777777" w:rsidR="00D5761E" w:rsidRDefault="00000000">
      <w:pPr>
        <w:spacing w:after="55" w:line="265" w:lineRule="auto"/>
        <w:ind w:left="674" w:firstLine="1"/>
      </w:pPr>
      <w:r>
        <w:rPr>
          <w:rFonts w:ascii="微软雅黑" w:eastAsia="微软雅黑" w:hAnsi="微软雅黑" w:cs="微软雅黑"/>
          <w:sz w:val="28"/>
        </w:rPr>
        <w:t>四、管理要求</w:t>
      </w:r>
    </w:p>
    <w:p w14:paraId="79490ADD" w14:textId="77777777" w:rsidR="00D5761E" w:rsidRDefault="00000000">
      <w:pPr>
        <w:numPr>
          <w:ilvl w:val="0"/>
          <w:numId w:val="1"/>
        </w:numPr>
        <w:spacing w:after="6" w:line="265" w:lineRule="auto"/>
        <w:ind w:firstLine="765"/>
      </w:pPr>
      <w:r>
        <w:rPr>
          <w:rFonts w:ascii="微软雅黑" w:eastAsia="微软雅黑" w:hAnsi="微软雅黑" w:cs="微软雅黑"/>
          <w:sz w:val="28"/>
        </w:rPr>
        <w:t>银行</w:t>
      </w:r>
      <w:proofErr w:type="gramStart"/>
      <w:r>
        <w:rPr>
          <w:rFonts w:ascii="微软雅黑" w:eastAsia="微软雅黑" w:hAnsi="微软雅黑" w:cs="微软雅黑"/>
          <w:sz w:val="28"/>
        </w:rPr>
        <w:t>应私极</w:t>
      </w:r>
      <w:proofErr w:type="gramEnd"/>
      <w:r>
        <w:rPr>
          <w:rFonts w:ascii="微软雅黑" w:eastAsia="微软雅黑" w:hAnsi="微软雅黑" w:cs="微软雅黑"/>
          <w:sz w:val="28"/>
        </w:rPr>
        <w:t>应对个体工商户“两证整合"后证照变化对审核客户资料的影响，通过柜台查验、查询全国或地区企业信用信息公示系统等方式，对客户提供营业执照的真实性、完整性、合</w:t>
      </w:r>
      <w:proofErr w:type="gramStart"/>
      <w:r>
        <w:rPr>
          <w:rFonts w:ascii="微软雅黑" w:eastAsia="微软雅黑" w:hAnsi="微软雅黑" w:cs="微软雅黑"/>
          <w:sz w:val="28"/>
        </w:rPr>
        <w:t>规</w:t>
      </w:r>
      <w:proofErr w:type="gramEnd"/>
      <w:r>
        <w:rPr>
          <w:rFonts w:ascii="微软雅黑" w:eastAsia="微软雅黑" w:hAnsi="微软雅黑" w:cs="微软雅黑"/>
          <w:sz w:val="28"/>
        </w:rPr>
        <w:t>性进行审查，构建可靠、有效的客户身份识别机制。</w:t>
      </w:r>
    </w:p>
    <w:p w14:paraId="0232C2E4" w14:textId="77777777" w:rsidR="00D5761E" w:rsidRDefault="00000000">
      <w:pPr>
        <w:numPr>
          <w:ilvl w:val="0"/>
          <w:numId w:val="1"/>
        </w:numPr>
        <w:spacing w:after="52" w:line="265" w:lineRule="auto"/>
        <w:ind w:firstLine="765"/>
      </w:pPr>
      <w:r>
        <w:rPr>
          <w:rFonts w:ascii="微软雅黑" w:eastAsia="微软雅黑" w:hAnsi="微软雅黑" w:cs="微软雅黑"/>
          <w:sz w:val="28"/>
        </w:rPr>
        <w:t>人民银行分支机构应掌握个体工商户“两证整合"改革相关制度，指导辖区内银行规范办理银行账户业务。各银行应向客户宣传个体工商户“两证整合"登记制度改革，通过多种渠道提供办事指南，避免因证照整合给客户办理业务带来不便。</w:t>
      </w:r>
    </w:p>
    <w:p w14:paraId="706B4904" w14:textId="77777777" w:rsidR="00D5761E" w:rsidRDefault="00000000">
      <w:pPr>
        <w:numPr>
          <w:ilvl w:val="0"/>
          <w:numId w:val="1"/>
        </w:numPr>
        <w:spacing w:after="42" w:line="262" w:lineRule="auto"/>
        <w:ind w:firstLine="765"/>
      </w:pPr>
      <w:r>
        <w:rPr>
          <w:rFonts w:ascii="微软雅黑" w:eastAsia="微软雅黑" w:hAnsi="微软雅黑" w:cs="微软雅黑"/>
          <w:sz w:val="30"/>
        </w:rPr>
        <w:t>各级工商行政管理部门应加强与人民银行分支机构的沟通协作，配合人民银行分支机构做好个体工商户“两证整合" 涉及的银行账户管理工作，及时解决有关问题。</w:t>
      </w:r>
    </w:p>
    <w:p w14:paraId="5EDD1464" w14:textId="77777777" w:rsidR="00D5761E" w:rsidRDefault="00000000">
      <w:pPr>
        <w:spacing w:after="310" w:line="216" w:lineRule="auto"/>
        <w:ind w:left="-10" w:right="-4" w:firstLine="637"/>
        <w:jc w:val="both"/>
      </w:pPr>
      <w:r>
        <w:rPr>
          <w:rFonts w:ascii="微软雅黑" w:eastAsia="微软雅黑" w:hAnsi="微软雅黑" w:cs="微软雅黑"/>
          <w:sz w:val="28"/>
        </w:rPr>
        <w:t>请人民银行上海总部，各分行、营业管理部，各省会（首府）城市中心支行，深圳市中心支行将本通知转发至辖区内人民银行分支机构，城市商业银行、农村商业银行、农村合作银行、农村信用社、村镇银行和外资银行；各省、自治区、直辖市及计划单列市工商行政管理局（市场监督管理部门）将本通知逐级转发至</w:t>
      </w:r>
    </w:p>
    <w:p w14:paraId="62642D7F" w14:textId="77777777" w:rsidR="00D5761E" w:rsidRDefault="00000000">
      <w:pPr>
        <w:spacing w:after="0"/>
        <w:ind w:right="366"/>
        <w:jc w:val="right"/>
      </w:pPr>
      <w:r>
        <w:rPr>
          <w:noProof/>
        </w:rPr>
        <w:drawing>
          <wp:inline distT="0" distB="0" distL="0" distR="0" wp14:anchorId="48803493" wp14:editId="796DB62D">
            <wp:extent cx="178712" cy="6745"/>
            <wp:effectExtent l="0" t="0" r="0" b="0"/>
            <wp:docPr id="7091" name="Picture 7091"/>
            <wp:cNvGraphicFramePr/>
            <a:graphic xmlns:a="http://schemas.openxmlformats.org/drawingml/2006/main">
              <a:graphicData uri="http://schemas.openxmlformats.org/drawingml/2006/picture">
                <pic:pic xmlns:pic="http://schemas.openxmlformats.org/drawingml/2006/picture">
                  <pic:nvPicPr>
                    <pic:cNvPr id="7091" name="Picture 7091"/>
                    <pic:cNvPicPr/>
                  </pic:nvPicPr>
                  <pic:blipFill>
                    <a:blip r:embed="rId5"/>
                    <a:stretch>
                      <a:fillRect/>
                    </a:stretch>
                  </pic:blipFill>
                  <pic:spPr>
                    <a:xfrm>
                      <a:off x="0" y="0"/>
                      <a:ext cx="178712" cy="6745"/>
                    </a:xfrm>
                    <a:prstGeom prst="rect">
                      <a:avLst/>
                    </a:prstGeom>
                  </pic:spPr>
                </pic:pic>
              </a:graphicData>
            </a:graphic>
          </wp:inline>
        </w:drawing>
      </w:r>
      <w:r>
        <w:rPr>
          <w:rFonts w:ascii="微软雅黑" w:eastAsia="微软雅黑" w:hAnsi="微软雅黑" w:cs="微软雅黑"/>
          <w:sz w:val="26"/>
        </w:rPr>
        <w:t>3</w:t>
      </w:r>
      <w:r>
        <w:rPr>
          <w:noProof/>
        </w:rPr>
        <w:drawing>
          <wp:inline distT="0" distB="0" distL="0" distR="0" wp14:anchorId="00F2E732" wp14:editId="019C0C9C">
            <wp:extent cx="178712" cy="6745"/>
            <wp:effectExtent l="0" t="0" r="0" b="0"/>
            <wp:docPr id="7092" name="Picture 7092"/>
            <wp:cNvGraphicFramePr/>
            <a:graphic xmlns:a="http://schemas.openxmlformats.org/drawingml/2006/main">
              <a:graphicData uri="http://schemas.openxmlformats.org/drawingml/2006/picture">
                <pic:pic xmlns:pic="http://schemas.openxmlformats.org/drawingml/2006/picture">
                  <pic:nvPicPr>
                    <pic:cNvPr id="7092" name="Picture 7092"/>
                    <pic:cNvPicPr/>
                  </pic:nvPicPr>
                  <pic:blipFill>
                    <a:blip r:embed="rId5"/>
                    <a:stretch>
                      <a:fillRect/>
                    </a:stretch>
                  </pic:blipFill>
                  <pic:spPr>
                    <a:xfrm>
                      <a:off x="0" y="0"/>
                      <a:ext cx="178712" cy="6745"/>
                    </a:xfrm>
                    <a:prstGeom prst="rect">
                      <a:avLst/>
                    </a:prstGeom>
                  </pic:spPr>
                </pic:pic>
              </a:graphicData>
            </a:graphic>
          </wp:inline>
        </w:drawing>
      </w:r>
    </w:p>
    <w:p w14:paraId="383253ED" w14:textId="77777777" w:rsidR="00D5761E" w:rsidRDefault="00000000">
      <w:pPr>
        <w:spacing w:after="4" w:line="262" w:lineRule="auto"/>
        <w:ind w:left="12" w:right="1" w:firstLine="6"/>
        <w:jc w:val="both"/>
      </w:pPr>
      <w:r>
        <w:rPr>
          <w:rFonts w:ascii="微软雅黑" w:eastAsia="微软雅黑" w:hAnsi="微软雅黑" w:cs="微软雅黑"/>
          <w:sz w:val="30"/>
        </w:rPr>
        <w:t>辖内各工商行政管理部门。</w:t>
      </w:r>
    </w:p>
    <w:p w14:paraId="7DCA8F6C" w14:textId="77777777" w:rsidR="00D5761E" w:rsidRDefault="00000000">
      <w:pPr>
        <w:spacing w:after="7411"/>
        <w:ind w:left="664"/>
      </w:pPr>
      <w:r>
        <w:rPr>
          <w:noProof/>
        </w:rPr>
        <w:lastRenderedPageBreak/>
        <w:drawing>
          <wp:inline distT="0" distB="0" distL="0" distR="0" wp14:anchorId="5A9C6CED" wp14:editId="3E0BA48A">
            <wp:extent cx="4703846" cy="1874970"/>
            <wp:effectExtent l="0" t="0" r="0" b="0"/>
            <wp:docPr id="13993" name="Picture 13993"/>
            <wp:cNvGraphicFramePr/>
            <a:graphic xmlns:a="http://schemas.openxmlformats.org/drawingml/2006/main">
              <a:graphicData uri="http://schemas.openxmlformats.org/drawingml/2006/picture">
                <pic:pic xmlns:pic="http://schemas.openxmlformats.org/drawingml/2006/picture">
                  <pic:nvPicPr>
                    <pic:cNvPr id="13993" name="Picture 13993"/>
                    <pic:cNvPicPr/>
                  </pic:nvPicPr>
                  <pic:blipFill>
                    <a:blip r:embed="rId10"/>
                    <a:stretch>
                      <a:fillRect/>
                    </a:stretch>
                  </pic:blipFill>
                  <pic:spPr>
                    <a:xfrm>
                      <a:off x="0" y="0"/>
                      <a:ext cx="4703846" cy="1874970"/>
                    </a:xfrm>
                    <a:prstGeom prst="rect">
                      <a:avLst/>
                    </a:prstGeom>
                  </pic:spPr>
                </pic:pic>
              </a:graphicData>
            </a:graphic>
          </wp:inline>
        </w:drawing>
      </w:r>
    </w:p>
    <w:tbl>
      <w:tblPr>
        <w:tblStyle w:val="TableGrid"/>
        <w:tblW w:w="8799" w:type="dxa"/>
        <w:tblInd w:w="0" w:type="dxa"/>
        <w:tblCellMar>
          <w:top w:w="0" w:type="dxa"/>
          <w:left w:w="0" w:type="dxa"/>
          <w:bottom w:w="0" w:type="dxa"/>
          <w:right w:w="115" w:type="dxa"/>
        </w:tblCellMar>
        <w:tblLook w:val="04A0" w:firstRow="1" w:lastRow="0" w:firstColumn="1" w:lastColumn="0" w:noHBand="0" w:noVBand="1"/>
      </w:tblPr>
      <w:tblGrid>
        <w:gridCol w:w="5969"/>
        <w:gridCol w:w="2830"/>
      </w:tblGrid>
      <w:tr w:rsidR="00D5761E" w14:paraId="228EF06B" w14:textId="77777777">
        <w:trPr>
          <w:trHeight w:val="746"/>
        </w:trPr>
        <w:tc>
          <w:tcPr>
            <w:tcW w:w="5969" w:type="dxa"/>
            <w:tcBorders>
              <w:top w:val="single" w:sz="2" w:space="0" w:color="000000"/>
              <w:left w:val="nil"/>
              <w:bottom w:val="single" w:sz="2" w:space="0" w:color="000000"/>
              <w:right w:val="nil"/>
            </w:tcBorders>
            <w:vAlign w:val="center"/>
          </w:tcPr>
          <w:p w14:paraId="5EED2AC1" w14:textId="77777777" w:rsidR="00D5761E" w:rsidRDefault="00000000">
            <w:pPr>
              <w:spacing w:after="0"/>
              <w:ind w:left="366"/>
            </w:pPr>
            <w:r>
              <w:rPr>
                <w:rFonts w:ascii="微软雅黑" w:eastAsia="微软雅黑" w:hAnsi="微软雅黑" w:cs="微软雅黑"/>
                <w:sz w:val="24"/>
              </w:rPr>
              <w:t>内部发送：办公厅、支付司、条法司。</w:t>
            </w:r>
          </w:p>
        </w:tc>
        <w:tc>
          <w:tcPr>
            <w:tcW w:w="2830" w:type="dxa"/>
            <w:tcBorders>
              <w:top w:val="single" w:sz="2" w:space="0" w:color="000000"/>
              <w:left w:val="nil"/>
              <w:bottom w:val="single" w:sz="2" w:space="0" w:color="000000"/>
              <w:right w:val="nil"/>
            </w:tcBorders>
          </w:tcPr>
          <w:p w14:paraId="4B8E0627" w14:textId="77777777" w:rsidR="00D5761E" w:rsidRDefault="00D5761E"/>
        </w:tc>
      </w:tr>
      <w:tr w:rsidR="00D5761E" w14:paraId="2DE7C80C" w14:textId="77777777">
        <w:trPr>
          <w:trHeight w:val="696"/>
        </w:trPr>
        <w:tc>
          <w:tcPr>
            <w:tcW w:w="5969" w:type="dxa"/>
            <w:tcBorders>
              <w:top w:val="single" w:sz="2" w:space="0" w:color="000000"/>
              <w:left w:val="nil"/>
              <w:bottom w:val="single" w:sz="2" w:space="0" w:color="000000"/>
              <w:right w:val="nil"/>
            </w:tcBorders>
            <w:vAlign w:val="center"/>
          </w:tcPr>
          <w:p w14:paraId="60AA0213" w14:textId="77777777" w:rsidR="00D5761E" w:rsidRDefault="00000000">
            <w:pPr>
              <w:spacing w:after="0"/>
              <w:ind w:left="356"/>
            </w:pPr>
            <w:r>
              <w:rPr>
                <w:rFonts w:ascii="微软雅黑" w:eastAsia="微软雅黑" w:hAnsi="微软雅黑" w:cs="微软雅黑"/>
                <w:sz w:val="24"/>
              </w:rPr>
              <w:t>中国人民银行办公厅</w:t>
            </w:r>
          </w:p>
        </w:tc>
        <w:tc>
          <w:tcPr>
            <w:tcW w:w="2830" w:type="dxa"/>
            <w:tcBorders>
              <w:top w:val="single" w:sz="2" w:space="0" w:color="000000"/>
              <w:left w:val="nil"/>
              <w:bottom w:val="single" w:sz="2" w:space="0" w:color="000000"/>
              <w:right w:val="nil"/>
            </w:tcBorders>
            <w:vAlign w:val="center"/>
          </w:tcPr>
          <w:p w14:paraId="751E7E7F" w14:textId="77777777" w:rsidR="00D5761E" w:rsidRDefault="00000000">
            <w:pPr>
              <w:spacing w:after="0"/>
            </w:pPr>
            <w:r>
              <w:rPr>
                <w:rFonts w:ascii="微软雅黑" w:eastAsia="微软雅黑" w:hAnsi="微软雅黑" w:cs="微软雅黑"/>
                <w:sz w:val="26"/>
              </w:rPr>
              <w:t>2017年1月6日印发</w:t>
            </w:r>
          </w:p>
        </w:tc>
      </w:tr>
    </w:tbl>
    <w:p w14:paraId="2FF23C38" w14:textId="77777777" w:rsidR="004360F0" w:rsidRDefault="004360F0"/>
    <w:sectPr w:rsidR="004360F0">
      <w:pgSz w:w="11900" w:h="16840"/>
      <w:pgMar w:top="2341" w:right="1529" w:bottom="1514" w:left="15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0CE"/>
    <w:multiLevelType w:val="hybridMultilevel"/>
    <w:tmpl w:val="B4BC2F66"/>
    <w:lvl w:ilvl="0" w:tplc="A4ACFF60">
      <w:start w:val="1"/>
      <w:numFmt w:val="ideographDigital"/>
      <w:lvlText w:val="（%1）"/>
      <w:lvlJc w:val="left"/>
      <w:pPr>
        <w:ind w:left="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1" w:tplc="9CC2656E">
      <w:start w:val="1"/>
      <w:numFmt w:val="lowerLetter"/>
      <w:lvlText w:val="%2"/>
      <w:lvlJc w:val="left"/>
      <w:pPr>
        <w:ind w:left="186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2" w:tplc="AB846848">
      <w:start w:val="1"/>
      <w:numFmt w:val="lowerRoman"/>
      <w:lvlText w:val="%3"/>
      <w:lvlJc w:val="left"/>
      <w:pPr>
        <w:ind w:left="25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3" w:tplc="FB44110C">
      <w:start w:val="1"/>
      <w:numFmt w:val="decimal"/>
      <w:lvlText w:val="%4"/>
      <w:lvlJc w:val="left"/>
      <w:pPr>
        <w:ind w:left="330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4" w:tplc="3E304A08">
      <w:start w:val="1"/>
      <w:numFmt w:val="lowerLetter"/>
      <w:lvlText w:val="%5"/>
      <w:lvlJc w:val="left"/>
      <w:pPr>
        <w:ind w:left="402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5" w:tplc="9A182C3C">
      <w:start w:val="1"/>
      <w:numFmt w:val="lowerRoman"/>
      <w:lvlText w:val="%6"/>
      <w:lvlJc w:val="left"/>
      <w:pPr>
        <w:ind w:left="474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6" w:tplc="654803E8">
      <w:start w:val="1"/>
      <w:numFmt w:val="decimal"/>
      <w:lvlText w:val="%7"/>
      <w:lvlJc w:val="left"/>
      <w:pPr>
        <w:ind w:left="546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7" w:tplc="39DC0B22">
      <w:start w:val="1"/>
      <w:numFmt w:val="lowerLetter"/>
      <w:lvlText w:val="%8"/>
      <w:lvlJc w:val="left"/>
      <w:pPr>
        <w:ind w:left="618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lvl w:ilvl="8" w:tplc="79DA3B7A">
      <w:start w:val="1"/>
      <w:numFmt w:val="lowerRoman"/>
      <w:lvlText w:val="%9"/>
      <w:lvlJc w:val="left"/>
      <w:pPr>
        <w:ind w:left="6901"/>
      </w:pPr>
      <w:rPr>
        <w:rFonts w:ascii="微软雅黑" w:eastAsia="微软雅黑" w:hAnsi="微软雅黑" w:cs="微软雅黑"/>
        <w:b w:val="0"/>
        <w:i w:val="0"/>
        <w:strike w:val="0"/>
        <w:dstrike w:val="0"/>
        <w:color w:val="000000"/>
        <w:sz w:val="32"/>
        <w:szCs w:val="32"/>
        <w:u w:val="none" w:color="000000"/>
        <w:bdr w:val="none" w:sz="0" w:space="0" w:color="auto"/>
        <w:shd w:val="clear" w:color="auto" w:fill="auto"/>
        <w:vertAlign w:val="baseline"/>
      </w:rPr>
    </w:lvl>
  </w:abstractNum>
  <w:num w:numId="1" w16cid:durableId="103057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61E"/>
    <w:rsid w:val="0001285C"/>
    <w:rsid w:val="004360F0"/>
    <w:rsid w:val="00B721E6"/>
    <w:rsid w:val="00D57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6E385"/>
  <w15:docId w15:val="{B62D33E4-8BA4-41E1-8FDA-1CF51BCD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643</Words>
  <Characters>644</Characters>
  <Application>Microsoft Office Word</Application>
  <DocSecurity>0</DocSecurity>
  <Lines>32</Lines>
  <Paragraphs>29</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2026-01-28T07:12:00Z</dcterms:created>
  <dcterms:modified xsi:type="dcterms:W3CDTF">2026-01-28T07:12:00Z</dcterms:modified>
</cp:coreProperties>
</file>