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D6B6" w14:textId="77777777" w:rsidR="009C1837" w:rsidRDefault="00000000">
      <w:pPr>
        <w:spacing w:after="0"/>
        <w:ind w:left="590"/>
      </w:pPr>
      <w:r>
        <w:rPr>
          <w:rFonts w:ascii="微软雅黑" w:eastAsia="微软雅黑" w:hAnsi="微软雅黑" w:cs="微软雅黑"/>
          <w:sz w:val="98"/>
        </w:rPr>
        <w:t>中国人民银行文件</w:t>
      </w:r>
    </w:p>
    <w:p w14:paraId="4200036C" w14:textId="77777777" w:rsidR="009C1837" w:rsidRDefault="00000000">
      <w:pPr>
        <w:spacing w:after="0"/>
        <w:ind w:right="10"/>
        <w:jc w:val="center"/>
      </w:pPr>
      <w:r>
        <w:rPr>
          <w:rFonts w:ascii="微软雅黑" w:eastAsia="微软雅黑" w:hAnsi="微软雅黑" w:cs="微软雅黑"/>
          <w:sz w:val="28"/>
        </w:rPr>
        <w:t>银发〔2003〕232号</w:t>
      </w:r>
    </w:p>
    <w:p w14:paraId="15901104" w14:textId="77777777" w:rsidR="009C1837" w:rsidRDefault="00000000">
      <w:pPr>
        <w:spacing w:after="1162"/>
        <w:ind w:left="-38" w:right="-19"/>
      </w:pPr>
      <w:r>
        <w:rPr>
          <w:noProof/>
        </w:rPr>
        <mc:AlternateContent>
          <mc:Choice Requires="wpg">
            <w:drawing>
              <wp:inline distT="0" distB="0" distL="0" distR="0" wp14:anchorId="368363F5" wp14:editId="699E85E5">
                <wp:extent cx="5596504" cy="21338"/>
                <wp:effectExtent l="0" t="0" r="0" b="0"/>
                <wp:docPr id="16070" name="Group 16070"/>
                <wp:cNvGraphicFramePr/>
                <a:graphic xmlns:a="http://schemas.openxmlformats.org/drawingml/2006/main">
                  <a:graphicData uri="http://schemas.microsoft.com/office/word/2010/wordprocessingGroup">
                    <wpg:wgp>
                      <wpg:cNvGrpSpPr/>
                      <wpg:grpSpPr>
                        <a:xfrm>
                          <a:off x="0" y="0"/>
                          <a:ext cx="5596504" cy="21338"/>
                          <a:chOff x="0" y="0"/>
                          <a:chExt cx="5596504" cy="21338"/>
                        </a:xfrm>
                      </wpg:grpSpPr>
                      <wps:wsp>
                        <wps:cNvPr id="16069" name="Shape 16069"/>
                        <wps:cNvSpPr/>
                        <wps:spPr>
                          <a:xfrm>
                            <a:off x="0" y="0"/>
                            <a:ext cx="5596504" cy="21338"/>
                          </a:xfrm>
                          <a:custGeom>
                            <a:avLst/>
                            <a:gdLst/>
                            <a:ahLst/>
                            <a:cxnLst/>
                            <a:rect l="0" t="0" r="0" b="0"/>
                            <a:pathLst>
                              <a:path w="5596504" h="21338">
                                <a:moveTo>
                                  <a:pt x="0" y="10669"/>
                                </a:moveTo>
                                <a:lnTo>
                                  <a:pt x="5596504" y="10669"/>
                                </a:lnTo>
                              </a:path>
                            </a:pathLst>
                          </a:custGeom>
                          <a:ln w="2133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6070" style="width:440.67pt;height:1.68018pt;mso-position-horizontal-relative:char;mso-position-vertical-relative:line" coordsize="55965,213">
                <v:shape id="Shape 16069" style="position:absolute;width:55965;height:213;left:0;top:0;" coordsize="5596504,21338" path="m0,10669l5596504,10669">
                  <v:stroke weight="1.68018pt" endcap="flat" joinstyle="miter" miterlimit="1" on="true" color="#000000"/>
                  <v:fill on="false" color="#000000"/>
                </v:shape>
              </v:group>
            </w:pict>
          </mc:Fallback>
        </mc:AlternateContent>
      </w:r>
    </w:p>
    <w:p w14:paraId="52E98491" w14:textId="77777777" w:rsidR="009C1837" w:rsidRDefault="00000000">
      <w:pPr>
        <w:pStyle w:val="1"/>
      </w:pPr>
      <w:r>
        <w:t>中国人民银行关于信托投资公司人民币银行结算账户开立和使用有关事项的通知</w:t>
      </w:r>
    </w:p>
    <w:p w14:paraId="638F9EC4" w14:textId="77777777" w:rsidR="009C1837" w:rsidRDefault="00000000">
      <w:pPr>
        <w:spacing w:after="434" w:line="216" w:lineRule="auto"/>
        <w:ind w:left="14" w:hanging="10"/>
        <w:jc w:val="both"/>
      </w:pPr>
      <w:r>
        <w:rPr>
          <w:rFonts w:ascii="微软雅黑" w:eastAsia="微软雅黑" w:hAnsi="微软雅黑" w:cs="微软雅黑"/>
          <w:sz w:val="26"/>
        </w:rPr>
        <w:t>中国人民银行各分行、营业管理部、省会（首府）城市中心支行，各政策性银行、国有独资商业银行、股份制商业银行，各信托投资公</w:t>
      </w:r>
    </w:p>
    <w:p w14:paraId="17CABB38" w14:textId="77777777" w:rsidR="009C1837" w:rsidRDefault="00000000">
      <w:pPr>
        <w:spacing w:after="0" w:line="216" w:lineRule="auto"/>
        <w:ind w:left="4" w:firstLine="634"/>
        <w:jc w:val="both"/>
      </w:pPr>
      <w:r>
        <w:rPr>
          <w:rFonts w:ascii="微软雅黑" w:eastAsia="微软雅黑" w:hAnsi="微软雅黑" w:cs="微软雅黑"/>
          <w:sz w:val="26"/>
        </w:rPr>
        <w:t>根据《中华人民共和国信托法》、《信托投资公司管理办法》和《信托投资公司资金信托管理暂行办法》、《人民币银行结算账户管理办法》的有关规定，现就规范信托投资公司人民币银行结算账户的开立和使用等事项通知如下：</w:t>
      </w:r>
    </w:p>
    <w:p w14:paraId="577D0A0A" w14:textId="77777777" w:rsidR="009C1837" w:rsidRDefault="00000000">
      <w:pPr>
        <w:spacing w:after="3" w:line="262" w:lineRule="auto"/>
        <w:ind w:left="648"/>
        <w:jc w:val="both"/>
      </w:pPr>
      <w:r>
        <w:rPr>
          <w:noProof/>
        </w:rPr>
        <w:drawing>
          <wp:inline distT="0" distB="0" distL="0" distR="0" wp14:anchorId="01837E82" wp14:editId="2C98EC50">
            <wp:extent cx="146314" cy="24386"/>
            <wp:effectExtent l="0" t="0" r="0" b="0"/>
            <wp:docPr id="1594" name="Picture 1594"/>
            <wp:cNvGraphicFramePr/>
            <a:graphic xmlns:a="http://schemas.openxmlformats.org/drawingml/2006/main">
              <a:graphicData uri="http://schemas.openxmlformats.org/drawingml/2006/picture">
                <pic:pic xmlns:pic="http://schemas.openxmlformats.org/drawingml/2006/picture">
                  <pic:nvPicPr>
                    <pic:cNvPr id="1594" name="Picture 1594"/>
                    <pic:cNvPicPr/>
                  </pic:nvPicPr>
                  <pic:blipFill>
                    <a:blip r:embed="rId5"/>
                    <a:stretch>
                      <a:fillRect/>
                    </a:stretch>
                  </pic:blipFill>
                  <pic:spPr>
                    <a:xfrm>
                      <a:off x="0" y="0"/>
                      <a:ext cx="146314" cy="24386"/>
                    </a:xfrm>
                    <a:prstGeom prst="rect">
                      <a:avLst/>
                    </a:prstGeom>
                  </pic:spPr>
                </pic:pic>
              </a:graphicData>
            </a:graphic>
          </wp:inline>
        </w:drawing>
      </w:r>
      <w:r>
        <w:rPr>
          <w:rFonts w:ascii="微软雅黑" w:eastAsia="微软雅黑" w:hAnsi="微软雅黑" w:cs="微软雅黑"/>
          <w:sz w:val="24"/>
        </w:rPr>
        <w:t xml:space="preserve"> 、关于账户的设置</w:t>
      </w:r>
    </w:p>
    <w:p w14:paraId="72F71266" w14:textId="77777777" w:rsidR="009C1837" w:rsidRDefault="00000000">
      <w:pPr>
        <w:spacing w:after="0" w:line="216" w:lineRule="auto"/>
        <w:ind w:left="4" w:firstLine="600"/>
        <w:jc w:val="both"/>
      </w:pPr>
      <w:r>
        <w:rPr>
          <w:rFonts w:ascii="微软雅黑" w:eastAsia="微软雅黑" w:hAnsi="微软雅黑" w:cs="微软雅黑"/>
          <w:sz w:val="26"/>
        </w:rPr>
        <w:t>信托投资公司的固有财产应与信托财产分别管理，其业务人员0、金账户均应分开，不得混合操作。</w:t>
      </w:r>
    </w:p>
    <w:p w14:paraId="0B89BB0F" w14:textId="77777777" w:rsidR="009C1837" w:rsidRDefault="00000000">
      <w:pPr>
        <w:spacing w:after="0"/>
        <w:ind w:right="43"/>
        <w:jc w:val="right"/>
      </w:pPr>
      <w:r>
        <w:rPr>
          <w:rFonts w:ascii="微软雅黑" w:eastAsia="微软雅黑" w:hAnsi="微软雅黑" w:cs="微软雅黑"/>
          <w:sz w:val="26"/>
        </w:rPr>
        <w:t>信托投资公司办理固有财产业务，按照《人民币银行结算账户</w:t>
      </w:r>
    </w:p>
    <w:p w14:paraId="3DD9E66C" w14:textId="77777777" w:rsidR="009C1837" w:rsidRDefault="00000000">
      <w:pPr>
        <w:spacing w:after="0"/>
        <w:ind w:right="413"/>
        <w:jc w:val="right"/>
      </w:pPr>
      <w:r>
        <w:rPr>
          <w:noProof/>
        </w:rPr>
        <w:drawing>
          <wp:inline distT="0" distB="0" distL="0" distR="0" wp14:anchorId="01AE7D8D" wp14:editId="1E1349F4">
            <wp:extent cx="164603" cy="12193"/>
            <wp:effectExtent l="0" t="0" r="0" b="0"/>
            <wp:docPr id="1595" name="Picture 1595"/>
            <wp:cNvGraphicFramePr/>
            <a:graphic xmlns:a="http://schemas.openxmlformats.org/drawingml/2006/main">
              <a:graphicData uri="http://schemas.openxmlformats.org/drawingml/2006/picture">
                <pic:pic xmlns:pic="http://schemas.openxmlformats.org/drawingml/2006/picture">
                  <pic:nvPicPr>
                    <pic:cNvPr id="1595" name="Picture 1595"/>
                    <pic:cNvPicPr/>
                  </pic:nvPicPr>
                  <pic:blipFill>
                    <a:blip r:embed="rId6"/>
                    <a:stretch>
                      <a:fillRect/>
                    </a:stretch>
                  </pic:blipFill>
                  <pic:spPr>
                    <a:xfrm>
                      <a:off x="0" y="0"/>
                      <a:ext cx="164603" cy="12193"/>
                    </a:xfrm>
                    <a:prstGeom prst="rect">
                      <a:avLst/>
                    </a:prstGeom>
                  </pic:spPr>
                </pic:pic>
              </a:graphicData>
            </a:graphic>
          </wp:inline>
        </w:drawing>
      </w:r>
      <w:r>
        <w:rPr>
          <w:rFonts w:ascii="微软雅黑" w:eastAsia="微软雅黑" w:hAnsi="微软雅黑" w:cs="微软雅黑"/>
          <w:sz w:val="42"/>
        </w:rPr>
        <w:t xml:space="preserve"> 1 </w:t>
      </w:r>
      <w:r>
        <w:rPr>
          <w:noProof/>
        </w:rPr>
        <w:drawing>
          <wp:inline distT="0" distB="0" distL="0" distR="0" wp14:anchorId="6508C88E" wp14:editId="1D02DD8C">
            <wp:extent cx="164603" cy="12193"/>
            <wp:effectExtent l="0" t="0" r="0" b="0"/>
            <wp:docPr id="1596" name="Picture 1596"/>
            <wp:cNvGraphicFramePr/>
            <a:graphic xmlns:a="http://schemas.openxmlformats.org/drawingml/2006/main">
              <a:graphicData uri="http://schemas.openxmlformats.org/drawingml/2006/picture">
                <pic:pic xmlns:pic="http://schemas.openxmlformats.org/drawingml/2006/picture">
                  <pic:nvPicPr>
                    <pic:cNvPr id="1596" name="Picture 1596"/>
                    <pic:cNvPicPr/>
                  </pic:nvPicPr>
                  <pic:blipFill>
                    <a:blip r:embed="rId6"/>
                    <a:stretch>
                      <a:fillRect/>
                    </a:stretch>
                  </pic:blipFill>
                  <pic:spPr>
                    <a:xfrm>
                      <a:off x="0" y="0"/>
                      <a:ext cx="164603" cy="12193"/>
                    </a:xfrm>
                    <a:prstGeom prst="rect">
                      <a:avLst/>
                    </a:prstGeom>
                  </pic:spPr>
                </pic:pic>
              </a:graphicData>
            </a:graphic>
          </wp:inline>
        </w:drawing>
      </w:r>
    </w:p>
    <w:p w14:paraId="6B698B02" w14:textId="77777777" w:rsidR="009C1837" w:rsidRDefault="00000000">
      <w:pPr>
        <w:spacing w:after="3" w:line="262" w:lineRule="auto"/>
        <w:ind w:left="14"/>
        <w:jc w:val="both"/>
      </w:pPr>
      <w:r>
        <w:rPr>
          <w:rFonts w:ascii="微软雅黑" w:eastAsia="微软雅黑" w:hAnsi="微软雅黑" w:cs="微软雅黑"/>
          <w:sz w:val="24"/>
        </w:rPr>
        <w:t>管理办法》的有关规定设置银行结算账户。</w:t>
      </w:r>
    </w:p>
    <w:p w14:paraId="4B06BA65" w14:textId="77777777" w:rsidR="009C1837" w:rsidRDefault="00000000">
      <w:pPr>
        <w:spacing w:after="3" w:line="262" w:lineRule="auto"/>
        <w:ind w:left="14" w:firstLine="624"/>
        <w:jc w:val="both"/>
      </w:pPr>
      <w:r>
        <w:rPr>
          <w:rFonts w:ascii="微软雅黑" w:eastAsia="微软雅黑" w:hAnsi="微软雅黑" w:cs="微软雅黑"/>
          <w:sz w:val="24"/>
        </w:rPr>
        <w:t>信托投资公司对受托的信托财产，应在商业银行设置专用存款账户（以下简称信托财产专户）。委托人约定信托投资公司单独管理、运用和处分信托财产时，信托投资公司应在商业银行按一个</w:t>
      </w:r>
      <w:r>
        <w:rPr>
          <w:noProof/>
        </w:rPr>
        <w:drawing>
          <wp:inline distT="0" distB="0" distL="0" distR="0" wp14:anchorId="11F9F983" wp14:editId="3DE5CC2A">
            <wp:extent cx="6097" cy="3048"/>
            <wp:effectExtent l="0" t="0" r="0" b="0"/>
            <wp:docPr id="4659" name="Picture 4659"/>
            <wp:cNvGraphicFramePr/>
            <a:graphic xmlns:a="http://schemas.openxmlformats.org/drawingml/2006/main">
              <a:graphicData uri="http://schemas.openxmlformats.org/drawingml/2006/picture">
                <pic:pic xmlns:pic="http://schemas.openxmlformats.org/drawingml/2006/picture">
                  <pic:nvPicPr>
                    <pic:cNvPr id="4659" name="Picture 4659"/>
                    <pic:cNvPicPr/>
                  </pic:nvPicPr>
                  <pic:blipFill>
                    <a:blip r:embed="rId7"/>
                    <a:stretch>
                      <a:fillRect/>
                    </a:stretch>
                  </pic:blipFill>
                  <pic:spPr>
                    <a:xfrm>
                      <a:off x="0" y="0"/>
                      <a:ext cx="6097" cy="3048"/>
                    </a:xfrm>
                    <a:prstGeom prst="rect">
                      <a:avLst/>
                    </a:prstGeom>
                  </pic:spPr>
                </pic:pic>
              </a:graphicData>
            </a:graphic>
          </wp:inline>
        </w:drawing>
      </w:r>
      <w:r>
        <w:rPr>
          <w:rFonts w:ascii="微软雅黑" w:eastAsia="微软雅黑" w:hAnsi="微软雅黑" w:cs="微软雅黑"/>
          <w:sz w:val="24"/>
        </w:rPr>
        <w:t>信托文件设置一个账户的原则为该项信托财产开立信托财产专户；委托人约定信托投资公司可以按某一特定计划管理、运用和处</w:t>
      </w:r>
      <w:r>
        <w:rPr>
          <w:noProof/>
        </w:rPr>
        <w:drawing>
          <wp:inline distT="0" distB="0" distL="0" distR="0" wp14:anchorId="33D63C3A" wp14:editId="3CD15629">
            <wp:extent cx="9144" cy="3048"/>
            <wp:effectExtent l="0" t="0" r="0" b="0"/>
            <wp:docPr id="4660" name="Picture 4660"/>
            <wp:cNvGraphicFramePr/>
            <a:graphic xmlns:a="http://schemas.openxmlformats.org/drawingml/2006/main">
              <a:graphicData uri="http://schemas.openxmlformats.org/drawingml/2006/picture">
                <pic:pic xmlns:pic="http://schemas.openxmlformats.org/drawingml/2006/picture">
                  <pic:nvPicPr>
                    <pic:cNvPr id="4660" name="Picture 4660"/>
                    <pic:cNvPicPr/>
                  </pic:nvPicPr>
                  <pic:blipFill>
                    <a:blip r:embed="rId8"/>
                    <a:stretch>
                      <a:fillRect/>
                    </a:stretch>
                  </pic:blipFill>
                  <pic:spPr>
                    <a:xfrm>
                      <a:off x="0" y="0"/>
                      <a:ext cx="9144" cy="3048"/>
                    </a:xfrm>
                    <a:prstGeom prst="rect">
                      <a:avLst/>
                    </a:prstGeom>
                  </pic:spPr>
                </pic:pic>
              </a:graphicData>
            </a:graphic>
          </wp:inline>
        </w:drawing>
      </w:r>
      <w:r>
        <w:rPr>
          <w:rFonts w:ascii="微软雅黑" w:eastAsia="微软雅黑" w:hAnsi="微软雅黑" w:cs="微软雅黑"/>
          <w:sz w:val="24"/>
        </w:rPr>
        <w:t>分</w:t>
      </w:r>
      <w:r>
        <w:rPr>
          <w:rFonts w:ascii="微软雅黑" w:eastAsia="微软雅黑" w:hAnsi="微软雅黑" w:cs="微软雅黑"/>
          <w:sz w:val="24"/>
        </w:rPr>
        <w:lastRenderedPageBreak/>
        <w:t>信托财产时，信托投资公司应在商业银行按一个计划设置一个账户的原则为该项计划开立信托财产专户。</w:t>
      </w:r>
    </w:p>
    <w:p w14:paraId="5C299978" w14:textId="77777777" w:rsidR="009C1837" w:rsidRDefault="00000000">
      <w:pPr>
        <w:spacing w:after="47" w:line="216" w:lineRule="auto"/>
        <w:ind w:left="658" w:hanging="10"/>
        <w:jc w:val="both"/>
      </w:pPr>
      <w:r>
        <w:rPr>
          <w:noProof/>
        </w:rPr>
        <w:drawing>
          <wp:inline distT="0" distB="0" distL="0" distR="0" wp14:anchorId="45E33B9C" wp14:editId="3972ABE9">
            <wp:extent cx="143266" cy="106690"/>
            <wp:effectExtent l="0" t="0" r="0" b="0"/>
            <wp:docPr id="16073" name="Picture 16073"/>
            <wp:cNvGraphicFramePr/>
            <a:graphic xmlns:a="http://schemas.openxmlformats.org/drawingml/2006/main">
              <a:graphicData uri="http://schemas.openxmlformats.org/drawingml/2006/picture">
                <pic:pic xmlns:pic="http://schemas.openxmlformats.org/drawingml/2006/picture">
                  <pic:nvPicPr>
                    <pic:cNvPr id="16073" name="Picture 16073"/>
                    <pic:cNvPicPr/>
                  </pic:nvPicPr>
                  <pic:blipFill>
                    <a:blip r:embed="rId9"/>
                    <a:stretch>
                      <a:fillRect/>
                    </a:stretch>
                  </pic:blipFill>
                  <pic:spPr>
                    <a:xfrm>
                      <a:off x="0" y="0"/>
                      <a:ext cx="143266" cy="106690"/>
                    </a:xfrm>
                    <a:prstGeom prst="rect">
                      <a:avLst/>
                    </a:prstGeom>
                  </pic:spPr>
                </pic:pic>
              </a:graphicData>
            </a:graphic>
          </wp:inline>
        </w:drawing>
      </w:r>
      <w:r>
        <w:rPr>
          <w:rFonts w:ascii="微软雅黑" w:eastAsia="微软雅黑" w:hAnsi="微软雅黑" w:cs="微软雅黑"/>
          <w:sz w:val="26"/>
        </w:rPr>
        <w:t>、信托财产专户的开立</w:t>
      </w:r>
    </w:p>
    <w:p w14:paraId="42F17632" w14:textId="77777777" w:rsidR="009C1837" w:rsidRDefault="00000000">
      <w:pPr>
        <w:spacing w:after="3" w:line="262" w:lineRule="auto"/>
        <w:ind w:left="14" w:firstLine="624"/>
        <w:jc w:val="both"/>
      </w:pPr>
      <w:r>
        <w:rPr>
          <w:noProof/>
        </w:rPr>
        <w:drawing>
          <wp:inline distT="0" distB="0" distL="0" distR="0" wp14:anchorId="7F39D41F" wp14:editId="688B983A">
            <wp:extent cx="3048" cy="3048"/>
            <wp:effectExtent l="0" t="0" r="0" b="0"/>
            <wp:docPr id="4663" name="Picture 4663"/>
            <wp:cNvGraphicFramePr/>
            <a:graphic xmlns:a="http://schemas.openxmlformats.org/drawingml/2006/main">
              <a:graphicData uri="http://schemas.openxmlformats.org/drawingml/2006/picture">
                <pic:pic xmlns:pic="http://schemas.openxmlformats.org/drawingml/2006/picture">
                  <pic:nvPicPr>
                    <pic:cNvPr id="4663" name="Picture 4663"/>
                    <pic:cNvPicPr/>
                  </pic:nvPicPr>
                  <pic:blipFill>
                    <a:blip r:embed="rId10"/>
                    <a:stretch>
                      <a:fillRect/>
                    </a:stretch>
                  </pic:blipFill>
                  <pic:spPr>
                    <a:xfrm>
                      <a:off x="0" y="0"/>
                      <a:ext cx="3048" cy="3048"/>
                    </a:xfrm>
                    <a:prstGeom prst="rect">
                      <a:avLst/>
                    </a:prstGeom>
                  </pic:spPr>
                </pic:pic>
              </a:graphicData>
            </a:graphic>
          </wp:inline>
        </w:drawing>
      </w:r>
      <w:r>
        <w:rPr>
          <w:rFonts w:ascii="微软雅黑" w:eastAsia="微软雅黑" w:hAnsi="微软雅黑" w:cs="微软雅黑"/>
          <w:sz w:val="24"/>
        </w:rPr>
        <w:t>信托财产专户的存款人名称应为受托人（即信托投资公司）全称。不同的信托财产应开立不同的专户，并对应于不同的账号。</w:t>
      </w:r>
    </w:p>
    <w:p w14:paraId="445041B1" w14:textId="77777777" w:rsidR="009C1837" w:rsidRDefault="00000000">
      <w:pPr>
        <w:spacing w:after="319" w:line="262" w:lineRule="auto"/>
        <w:ind w:left="14"/>
        <w:jc w:val="both"/>
      </w:pPr>
      <w:r>
        <w:rPr>
          <w:rFonts w:ascii="微软雅黑" w:eastAsia="微软雅黑" w:hAnsi="微软雅黑" w:cs="微软雅黑"/>
          <w:sz w:val="24"/>
        </w:rPr>
        <w:t>受托人（即信托投资公司）在内部管理上须对不同的账户和账号分</w:t>
      </w:r>
      <w:r>
        <w:rPr>
          <w:noProof/>
        </w:rPr>
        <w:drawing>
          <wp:inline distT="0" distB="0" distL="0" distR="0" wp14:anchorId="4E5BE9B9" wp14:editId="37223354">
            <wp:extent cx="3048" cy="3048"/>
            <wp:effectExtent l="0" t="0" r="0" b="0"/>
            <wp:docPr id="4664" name="Picture 4664"/>
            <wp:cNvGraphicFramePr/>
            <a:graphic xmlns:a="http://schemas.openxmlformats.org/drawingml/2006/main">
              <a:graphicData uri="http://schemas.openxmlformats.org/drawingml/2006/picture">
                <pic:pic xmlns:pic="http://schemas.openxmlformats.org/drawingml/2006/picture">
                  <pic:nvPicPr>
                    <pic:cNvPr id="4664" name="Picture 4664"/>
                    <pic:cNvPicPr/>
                  </pic:nvPicPr>
                  <pic:blipFill>
                    <a:blip r:embed="rId11"/>
                    <a:stretch>
                      <a:fillRect/>
                    </a:stretch>
                  </pic:blipFill>
                  <pic:spPr>
                    <a:xfrm>
                      <a:off x="0" y="0"/>
                      <a:ext cx="3048" cy="3048"/>
                    </a:xfrm>
                    <a:prstGeom prst="rect">
                      <a:avLst/>
                    </a:prstGeom>
                  </pic:spPr>
                </pic:pic>
              </a:graphicData>
            </a:graphic>
          </wp:inline>
        </w:drawing>
      </w:r>
    </w:p>
    <w:p w14:paraId="55F501DC" w14:textId="77777777" w:rsidR="009C1837" w:rsidRDefault="00000000">
      <w:pPr>
        <w:spacing w:after="0" w:line="216" w:lineRule="auto"/>
        <w:ind w:left="4" w:firstLine="624"/>
        <w:jc w:val="both"/>
      </w:pPr>
      <w:r>
        <w:rPr>
          <w:rFonts w:ascii="微软雅黑" w:eastAsia="微软雅黑" w:hAnsi="微软雅黑" w:cs="微软雅黑"/>
          <w:sz w:val="26"/>
        </w:rPr>
        <w:t>（一）信托投资公司申请开立信托财产专户，应向银行出具其开立基本存款账户规定的证明文件、基本存款账户开户登记证和下列证明文件：</w:t>
      </w:r>
    </w:p>
    <w:p w14:paraId="3355379B" w14:textId="77777777" w:rsidR="009C1837" w:rsidRDefault="00000000">
      <w:pPr>
        <w:numPr>
          <w:ilvl w:val="0"/>
          <w:numId w:val="1"/>
        </w:numPr>
        <w:spacing w:after="47" w:line="216" w:lineRule="auto"/>
        <w:ind w:firstLine="595"/>
        <w:jc w:val="both"/>
      </w:pPr>
      <w:r>
        <w:rPr>
          <w:rFonts w:ascii="微软雅黑" w:eastAsia="微软雅黑" w:hAnsi="微软雅黑" w:cs="微软雅黑"/>
          <w:sz w:val="26"/>
        </w:rPr>
        <w:t>单个信托或信托计划受托人开立信托财产专户申请书；</w:t>
      </w:r>
    </w:p>
    <w:p w14:paraId="6742F140" w14:textId="77777777" w:rsidR="009C1837" w:rsidRDefault="00000000">
      <w:pPr>
        <w:numPr>
          <w:ilvl w:val="0"/>
          <w:numId w:val="1"/>
        </w:numPr>
        <w:spacing w:after="47" w:line="216" w:lineRule="auto"/>
        <w:ind w:firstLine="595"/>
        <w:jc w:val="both"/>
      </w:pPr>
      <w:r>
        <w:rPr>
          <w:rFonts w:ascii="微软雅黑" w:eastAsia="微软雅黑" w:hAnsi="微软雅黑" w:cs="微软雅黑"/>
          <w:sz w:val="26"/>
        </w:rPr>
        <w:t>单个信托或信托计划简介；</w:t>
      </w:r>
    </w:p>
    <w:p w14:paraId="0E2E0A15" w14:textId="77777777" w:rsidR="009C1837" w:rsidRDefault="00000000">
      <w:pPr>
        <w:numPr>
          <w:ilvl w:val="0"/>
          <w:numId w:val="1"/>
        </w:numPr>
        <w:spacing w:after="0" w:line="216" w:lineRule="auto"/>
        <w:ind w:firstLine="595"/>
        <w:jc w:val="both"/>
      </w:pPr>
      <w:r>
        <w:rPr>
          <w:rFonts w:ascii="微软雅黑" w:eastAsia="微软雅黑" w:hAnsi="微软雅黑" w:cs="微软雅黑"/>
          <w:sz w:val="26"/>
        </w:rPr>
        <w:t>根据单个信托或信托计划的具体内容，应出具有关法规、规章或政府部门的有关文件。</w:t>
      </w:r>
    </w:p>
    <w:p w14:paraId="17457557" w14:textId="77777777" w:rsidR="009C1837" w:rsidRDefault="00000000">
      <w:pPr>
        <w:spacing w:after="3" w:line="262" w:lineRule="auto"/>
        <w:ind w:left="638"/>
        <w:jc w:val="both"/>
      </w:pPr>
      <w:r>
        <w:rPr>
          <w:noProof/>
        </w:rPr>
        <w:drawing>
          <wp:inline distT="0" distB="0" distL="0" distR="0" wp14:anchorId="3617DE2E" wp14:editId="4CB35B2F">
            <wp:extent cx="124976" cy="173752"/>
            <wp:effectExtent l="0" t="0" r="0" b="0"/>
            <wp:docPr id="16075" name="Picture 16075"/>
            <wp:cNvGraphicFramePr/>
            <a:graphic xmlns:a="http://schemas.openxmlformats.org/drawingml/2006/main">
              <a:graphicData uri="http://schemas.openxmlformats.org/drawingml/2006/picture">
                <pic:pic xmlns:pic="http://schemas.openxmlformats.org/drawingml/2006/picture">
                  <pic:nvPicPr>
                    <pic:cNvPr id="16075" name="Picture 16075"/>
                    <pic:cNvPicPr/>
                  </pic:nvPicPr>
                  <pic:blipFill>
                    <a:blip r:embed="rId12"/>
                    <a:stretch>
                      <a:fillRect/>
                    </a:stretch>
                  </pic:blipFill>
                  <pic:spPr>
                    <a:xfrm>
                      <a:off x="0" y="0"/>
                      <a:ext cx="124976" cy="173752"/>
                    </a:xfrm>
                    <a:prstGeom prst="rect">
                      <a:avLst/>
                    </a:prstGeom>
                  </pic:spPr>
                </pic:pic>
              </a:graphicData>
            </a:graphic>
          </wp:inline>
        </w:drawing>
      </w:r>
      <w:r>
        <w:rPr>
          <w:rFonts w:ascii="微软雅黑" w:eastAsia="微软雅黑" w:hAnsi="微软雅黑" w:cs="微软雅黑"/>
          <w:sz w:val="24"/>
        </w:rPr>
        <w:t>一）信托财产专户申请书应当载明以下事项：</w:t>
      </w:r>
    </w:p>
    <w:p w14:paraId="5EB33670" w14:textId="77777777" w:rsidR="009C1837" w:rsidRDefault="00000000">
      <w:pPr>
        <w:numPr>
          <w:ilvl w:val="0"/>
          <w:numId w:val="2"/>
        </w:numPr>
        <w:spacing w:after="47" w:line="216" w:lineRule="auto"/>
        <w:ind w:left="921" w:hanging="307"/>
        <w:jc w:val="both"/>
      </w:pPr>
      <w:r>
        <w:rPr>
          <w:rFonts w:ascii="微软雅黑" w:eastAsia="微软雅黑" w:hAnsi="微软雅黑" w:cs="微软雅黑"/>
          <w:sz w:val="26"/>
        </w:rPr>
        <w:t>拟开立信托财产专户的全称；</w:t>
      </w:r>
    </w:p>
    <w:p w14:paraId="1C3C4A7F" w14:textId="77777777" w:rsidR="009C1837" w:rsidRDefault="00000000">
      <w:pPr>
        <w:numPr>
          <w:ilvl w:val="0"/>
          <w:numId w:val="2"/>
        </w:numPr>
        <w:spacing w:after="47" w:line="216" w:lineRule="auto"/>
        <w:ind w:left="921" w:hanging="307"/>
        <w:jc w:val="both"/>
      </w:pPr>
      <w:r>
        <w:rPr>
          <w:rFonts w:ascii="微软雅黑" w:eastAsia="微软雅黑" w:hAnsi="微软雅黑" w:cs="微软雅黑"/>
          <w:sz w:val="26"/>
        </w:rPr>
        <w:t>信托目的；</w:t>
      </w:r>
    </w:p>
    <w:p w14:paraId="50029B84" w14:textId="77777777" w:rsidR="009C1837" w:rsidRDefault="00000000">
      <w:pPr>
        <w:numPr>
          <w:ilvl w:val="0"/>
          <w:numId w:val="2"/>
        </w:numPr>
        <w:spacing w:after="47" w:line="216" w:lineRule="auto"/>
        <w:ind w:left="921" w:hanging="307"/>
        <w:jc w:val="both"/>
      </w:pPr>
      <w:r>
        <w:rPr>
          <w:rFonts w:ascii="微软雅黑" w:eastAsia="微软雅黑" w:hAnsi="微软雅黑" w:cs="微软雅黑"/>
          <w:sz w:val="26"/>
        </w:rPr>
        <w:t>受托人的姓名（或者名称八住所。</w:t>
      </w:r>
    </w:p>
    <w:p w14:paraId="0F14E555" w14:textId="77777777" w:rsidR="009C1837" w:rsidRDefault="00000000">
      <w:pPr>
        <w:spacing w:after="3" w:line="262" w:lineRule="auto"/>
        <w:ind w:left="398" w:firstLine="264"/>
        <w:jc w:val="both"/>
      </w:pPr>
      <w:r>
        <w:rPr>
          <w:rFonts w:ascii="微软雅黑" w:eastAsia="微软雅黑" w:hAnsi="微软雅黑" w:cs="微软雅黑"/>
          <w:sz w:val="24"/>
        </w:rPr>
        <w:t xml:space="preserve">除前款所列事项外，经与委托人协商同总后，可以载明信托期 </w:t>
      </w:r>
      <w:r>
        <w:rPr>
          <w:noProof/>
        </w:rPr>
        <w:drawing>
          <wp:inline distT="0" distB="0" distL="0" distR="0" wp14:anchorId="17BDF710" wp14:editId="6DBBE43F">
            <wp:extent cx="164603" cy="12193"/>
            <wp:effectExtent l="0" t="0" r="0" b="0"/>
            <wp:docPr id="4667" name="Picture 4667"/>
            <wp:cNvGraphicFramePr/>
            <a:graphic xmlns:a="http://schemas.openxmlformats.org/drawingml/2006/main">
              <a:graphicData uri="http://schemas.openxmlformats.org/drawingml/2006/picture">
                <pic:pic xmlns:pic="http://schemas.openxmlformats.org/drawingml/2006/picture">
                  <pic:nvPicPr>
                    <pic:cNvPr id="4667" name="Picture 4667"/>
                    <pic:cNvPicPr/>
                  </pic:nvPicPr>
                  <pic:blipFill>
                    <a:blip r:embed="rId6"/>
                    <a:stretch>
                      <a:fillRect/>
                    </a:stretch>
                  </pic:blipFill>
                  <pic:spPr>
                    <a:xfrm>
                      <a:off x="0" y="0"/>
                      <a:ext cx="164603" cy="12193"/>
                    </a:xfrm>
                    <a:prstGeom prst="rect">
                      <a:avLst/>
                    </a:prstGeom>
                  </pic:spPr>
                </pic:pic>
              </a:graphicData>
            </a:graphic>
          </wp:inline>
        </w:drawing>
      </w:r>
      <w:r>
        <w:rPr>
          <w:rFonts w:ascii="微软雅黑" w:eastAsia="微软雅黑" w:hAnsi="微软雅黑" w:cs="微软雅黑"/>
          <w:sz w:val="24"/>
        </w:rPr>
        <w:t xml:space="preserve"> 2 </w:t>
      </w:r>
      <w:r>
        <w:rPr>
          <w:noProof/>
        </w:rPr>
        <w:drawing>
          <wp:inline distT="0" distB="0" distL="0" distR="0" wp14:anchorId="5C303102" wp14:editId="3FD4F7C3">
            <wp:extent cx="161555" cy="12193"/>
            <wp:effectExtent l="0" t="0" r="0" b="0"/>
            <wp:docPr id="4668" name="Picture 4668"/>
            <wp:cNvGraphicFramePr/>
            <a:graphic xmlns:a="http://schemas.openxmlformats.org/drawingml/2006/main">
              <a:graphicData uri="http://schemas.openxmlformats.org/drawingml/2006/picture">
                <pic:pic xmlns:pic="http://schemas.openxmlformats.org/drawingml/2006/picture">
                  <pic:nvPicPr>
                    <pic:cNvPr id="4668" name="Picture 4668"/>
                    <pic:cNvPicPr/>
                  </pic:nvPicPr>
                  <pic:blipFill>
                    <a:blip r:embed="rId13"/>
                    <a:stretch>
                      <a:fillRect/>
                    </a:stretch>
                  </pic:blipFill>
                  <pic:spPr>
                    <a:xfrm>
                      <a:off x="0" y="0"/>
                      <a:ext cx="161555" cy="12193"/>
                    </a:xfrm>
                    <a:prstGeom prst="rect">
                      <a:avLst/>
                    </a:prstGeom>
                  </pic:spPr>
                </pic:pic>
              </a:graphicData>
            </a:graphic>
          </wp:inline>
        </w:drawing>
      </w:r>
    </w:p>
    <w:p w14:paraId="2FAEA135" w14:textId="77777777" w:rsidR="009C1837" w:rsidRDefault="00000000">
      <w:pPr>
        <w:spacing w:after="3" w:line="262" w:lineRule="auto"/>
        <w:ind w:left="14" w:firstLine="29"/>
        <w:jc w:val="both"/>
      </w:pPr>
      <w:r>
        <w:rPr>
          <w:rFonts w:ascii="微软雅黑" w:eastAsia="微软雅黑" w:hAnsi="微软雅黑" w:cs="微软雅黑"/>
          <w:sz w:val="24"/>
        </w:rPr>
        <w:t>限、委托人的姓名（或者名称）和住所、信托利益的支付形式、信托终止事山等事项。</w:t>
      </w:r>
    </w:p>
    <w:p w14:paraId="596B31FD" w14:textId="77777777" w:rsidR="009C1837" w:rsidRDefault="00000000">
      <w:pPr>
        <w:spacing w:after="3" w:line="262" w:lineRule="auto"/>
        <w:ind w:left="662"/>
        <w:jc w:val="both"/>
      </w:pPr>
      <w:r>
        <w:rPr>
          <w:noProof/>
        </w:rPr>
        <w:drawing>
          <wp:inline distT="0" distB="0" distL="0" distR="0" wp14:anchorId="6831CC1A" wp14:editId="59700099">
            <wp:extent cx="134121" cy="128028"/>
            <wp:effectExtent l="0" t="0" r="0" b="0"/>
            <wp:docPr id="16079" name="Picture 16079"/>
            <wp:cNvGraphicFramePr/>
            <a:graphic xmlns:a="http://schemas.openxmlformats.org/drawingml/2006/main">
              <a:graphicData uri="http://schemas.openxmlformats.org/drawingml/2006/picture">
                <pic:pic xmlns:pic="http://schemas.openxmlformats.org/drawingml/2006/picture">
                  <pic:nvPicPr>
                    <pic:cNvPr id="16079" name="Picture 16079"/>
                    <pic:cNvPicPr/>
                  </pic:nvPicPr>
                  <pic:blipFill>
                    <a:blip r:embed="rId14"/>
                    <a:stretch>
                      <a:fillRect/>
                    </a:stretch>
                  </pic:blipFill>
                  <pic:spPr>
                    <a:xfrm>
                      <a:off x="0" y="0"/>
                      <a:ext cx="134121" cy="128028"/>
                    </a:xfrm>
                    <a:prstGeom prst="rect">
                      <a:avLst/>
                    </a:prstGeom>
                  </pic:spPr>
                </pic:pic>
              </a:graphicData>
            </a:graphic>
          </wp:inline>
        </w:drawing>
      </w:r>
      <w:r>
        <w:rPr>
          <w:rFonts w:ascii="微软雅黑" w:eastAsia="微软雅黑" w:hAnsi="微软雅黑" w:cs="微软雅黑"/>
          <w:sz w:val="24"/>
        </w:rPr>
        <w:t>、关于信托财产专户的使用</w:t>
      </w:r>
    </w:p>
    <w:p w14:paraId="0069988C" w14:textId="77777777" w:rsidR="009C1837" w:rsidRDefault="00000000">
      <w:pPr>
        <w:spacing w:after="3" w:line="262" w:lineRule="auto"/>
        <w:ind w:left="14" w:firstLine="624"/>
        <w:jc w:val="both"/>
      </w:pPr>
      <w:r>
        <w:rPr>
          <w:noProof/>
        </w:rPr>
        <w:drawing>
          <wp:inline distT="0" distB="0" distL="0" distR="0" wp14:anchorId="38D3D0CA" wp14:editId="30FD9BBE">
            <wp:extent cx="3048" cy="3048"/>
            <wp:effectExtent l="0" t="0" r="0" b="0"/>
            <wp:docPr id="7981" name="Picture 7981"/>
            <wp:cNvGraphicFramePr/>
            <a:graphic xmlns:a="http://schemas.openxmlformats.org/drawingml/2006/main">
              <a:graphicData uri="http://schemas.openxmlformats.org/drawingml/2006/picture">
                <pic:pic xmlns:pic="http://schemas.openxmlformats.org/drawingml/2006/picture">
                  <pic:nvPicPr>
                    <pic:cNvPr id="7981" name="Picture 7981"/>
                    <pic:cNvPicPr/>
                  </pic:nvPicPr>
                  <pic:blipFill>
                    <a:blip r:embed="rId15"/>
                    <a:stretch>
                      <a:fillRect/>
                    </a:stretch>
                  </pic:blipFill>
                  <pic:spPr>
                    <a:xfrm>
                      <a:off x="0" y="0"/>
                      <a:ext cx="3048" cy="3048"/>
                    </a:xfrm>
                    <a:prstGeom prst="rect">
                      <a:avLst/>
                    </a:prstGeom>
                  </pic:spPr>
                </pic:pic>
              </a:graphicData>
            </a:graphic>
          </wp:inline>
        </w:drawing>
      </w:r>
      <w:r>
        <w:rPr>
          <w:rFonts w:ascii="微软雅黑" w:eastAsia="微软雅黑" w:hAnsi="微软雅黑" w:cs="微软雅黑"/>
          <w:sz w:val="24"/>
        </w:rPr>
        <w:t>信托财产专户可接受现金缴存或款项划入，但不得办理现金支取业务。</w:t>
      </w:r>
    </w:p>
    <w:p w14:paraId="6E0DD9F8" w14:textId="77777777" w:rsidR="009C1837" w:rsidRDefault="00000000">
      <w:pPr>
        <w:spacing w:after="3" w:line="262" w:lineRule="auto"/>
        <w:ind w:left="14" w:firstLine="624"/>
        <w:jc w:val="both"/>
      </w:pPr>
      <w:r>
        <w:rPr>
          <w:rFonts w:ascii="微软雅黑" w:eastAsia="微软雅黑" w:hAnsi="微软雅黑" w:cs="微软雅黑"/>
          <w:sz w:val="24"/>
        </w:rPr>
        <w:t>信托财产专户与信托投资公司固有财产账户之间，不得办理款项划转，但信托投资公司因管理信托财产所垫付的费用、应收取</w:t>
      </w:r>
      <w:r>
        <w:rPr>
          <w:noProof/>
        </w:rPr>
        <w:drawing>
          <wp:inline distT="0" distB="0" distL="0" distR="0" wp14:anchorId="0C4C9102" wp14:editId="7063AA0D">
            <wp:extent cx="6096" cy="3048"/>
            <wp:effectExtent l="0" t="0" r="0" b="0"/>
            <wp:docPr id="7982" name="Picture 7982"/>
            <wp:cNvGraphicFramePr/>
            <a:graphic xmlns:a="http://schemas.openxmlformats.org/drawingml/2006/main">
              <a:graphicData uri="http://schemas.openxmlformats.org/drawingml/2006/picture">
                <pic:pic xmlns:pic="http://schemas.openxmlformats.org/drawingml/2006/picture">
                  <pic:nvPicPr>
                    <pic:cNvPr id="7982" name="Picture 7982"/>
                    <pic:cNvPicPr/>
                  </pic:nvPicPr>
                  <pic:blipFill>
                    <a:blip r:embed="rId16"/>
                    <a:stretch>
                      <a:fillRect/>
                    </a:stretch>
                  </pic:blipFill>
                  <pic:spPr>
                    <a:xfrm>
                      <a:off x="0" y="0"/>
                      <a:ext cx="6096" cy="3048"/>
                    </a:xfrm>
                    <a:prstGeom prst="rect">
                      <a:avLst/>
                    </a:prstGeom>
                  </pic:spPr>
                </pic:pic>
              </a:graphicData>
            </a:graphic>
          </wp:inline>
        </w:drawing>
      </w:r>
      <w:r>
        <w:rPr>
          <w:noProof/>
        </w:rPr>
        <w:drawing>
          <wp:inline distT="0" distB="0" distL="0" distR="0" wp14:anchorId="3A7FBAFF" wp14:editId="51358F4B">
            <wp:extent cx="597448" cy="173752"/>
            <wp:effectExtent l="0" t="0" r="0" b="0"/>
            <wp:docPr id="16081" name="Picture 16081"/>
            <wp:cNvGraphicFramePr/>
            <a:graphic xmlns:a="http://schemas.openxmlformats.org/drawingml/2006/main">
              <a:graphicData uri="http://schemas.openxmlformats.org/drawingml/2006/picture">
                <pic:pic xmlns:pic="http://schemas.openxmlformats.org/drawingml/2006/picture">
                  <pic:nvPicPr>
                    <pic:cNvPr id="16081" name="Picture 16081"/>
                    <pic:cNvPicPr/>
                  </pic:nvPicPr>
                  <pic:blipFill>
                    <a:blip r:embed="rId17"/>
                    <a:stretch>
                      <a:fillRect/>
                    </a:stretch>
                  </pic:blipFill>
                  <pic:spPr>
                    <a:xfrm>
                      <a:off x="0" y="0"/>
                      <a:ext cx="597448" cy="173752"/>
                    </a:xfrm>
                    <a:prstGeom prst="rect">
                      <a:avLst/>
                    </a:prstGeom>
                  </pic:spPr>
                </pic:pic>
              </a:graphicData>
            </a:graphic>
          </wp:inline>
        </w:drawing>
      </w:r>
      <w:r>
        <w:rPr>
          <w:rFonts w:ascii="微软雅黑" w:eastAsia="微软雅黑" w:hAnsi="微软雅黑" w:cs="微软雅黑"/>
          <w:sz w:val="24"/>
        </w:rPr>
        <w:t>费或佣，金的支付除外。</w:t>
      </w:r>
    </w:p>
    <w:p w14:paraId="246FF842" w14:textId="77777777" w:rsidR="009C1837" w:rsidRDefault="00000000">
      <w:pPr>
        <w:spacing w:after="3" w:line="262" w:lineRule="auto"/>
        <w:ind w:left="14" w:firstLine="624"/>
        <w:jc w:val="both"/>
      </w:pPr>
      <w:r>
        <w:rPr>
          <w:rFonts w:ascii="微软雅黑" w:eastAsia="微软雅黑" w:hAnsi="微软雅黑" w:cs="微软雅黑"/>
          <w:sz w:val="24"/>
        </w:rPr>
        <w:t>不同信托财产专户之间不得办理款项划转，但依据信托文件约定不同信托项下的财产可进行交易时除外。</w:t>
      </w:r>
    </w:p>
    <w:p w14:paraId="7693B2E5" w14:textId="77777777" w:rsidR="009C1837" w:rsidRDefault="00000000">
      <w:pPr>
        <w:spacing w:after="3" w:line="262" w:lineRule="auto"/>
        <w:ind w:left="14" w:firstLine="624"/>
        <w:jc w:val="both"/>
      </w:pPr>
      <w:r>
        <w:rPr>
          <w:noProof/>
        </w:rPr>
        <w:lastRenderedPageBreak/>
        <w:drawing>
          <wp:inline distT="0" distB="0" distL="0" distR="0" wp14:anchorId="0EC7151A" wp14:editId="06814CA8">
            <wp:extent cx="3048" cy="3048"/>
            <wp:effectExtent l="0" t="0" r="0" b="0"/>
            <wp:docPr id="7987" name="Picture 7987"/>
            <wp:cNvGraphicFramePr/>
            <a:graphic xmlns:a="http://schemas.openxmlformats.org/drawingml/2006/main">
              <a:graphicData uri="http://schemas.openxmlformats.org/drawingml/2006/picture">
                <pic:pic xmlns:pic="http://schemas.openxmlformats.org/drawingml/2006/picture">
                  <pic:nvPicPr>
                    <pic:cNvPr id="7987" name="Picture 7987"/>
                    <pic:cNvPicPr/>
                  </pic:nvPicPr>
                  <pic:blipFill>
                    <a:blip r:embed="rId10"/>
                    <a:stretch>
                      <a:fillRect/>
                    </a:stretch>
                  </pic:blipFill>
                  <pic:spPr>
                    <a:xfrm>
                      <a:off x="0" y="0"/>
                      <a:ext cx="3048" cy="3048"/>
                    </a:xfrm>
                    <a:prstGeom prst="rect">
                      <a:avLst/>
                    </a:prstGeom>
                  </pic:spPr>
                </pic:pic>
              </a:graphicData>
            </a:graphic>
          </wp:inline>
        </w:drawing>
      </w:r>
      <w:r>
        <w:rPr>
          <w:rFonts w:ascii="微软雅黑" w:eastAsia="微软雅黑" w:hAnsi="微软雅黑" w:cs="微软雅黑"/>
          <w:sz w:val="24"/>
        </w:rPr>
        <w:t>信托投资公司需要从信托财产专户向受益人个人的人民币银行结算账户支付的款项，每笔超过5万元的，应向开户银行提供有关信托财产的支付报告，该报告应和信托文件内容一致。</w:t>
      </w:r>
    </w:p>
    <w:p w14:paraId="1B4300DE" w14:textId="77777777" w:rsidR="009C1837" w:rsidRDefault="00000000">
      <w:pPr>
        <w:spacing w:after="3" w:line="262" w:lineRule="auto"/>
        <w:ind w:left="14" w:firstLine="624"/>
        <w:jc w:val="both"/>
      </w:pPr>
      <w:r>
        <w:rPr>
          <w:rFonts w:ascii="微软雅黑" w:eastAsia="微软雅黑" w:hAnsi="微软雅黑" w:cs="微软雅黑"/>
          <w:sz w:val="24"/>
        </w:rPr>
        <w:t>信托投资公司应于每月10日前向人民银行、银监会书面报告信托财产专户的开设情况。</w:t>
      </w:r>
    </w:p>
    <w:p w14:paraId="7484F9EB" w14:textId="77777777" w:rsidR="009C1837" w:rsidRDefault="00000000">
      <w:pPr>
        <w:spacing w:after="47" w:line="216" w:lineRule="auto"/>
        <w:ind w:left="682" w:hanging="10"/>
        <w:jc w:val="both"/>
      </w:pPr>
      <w:r>
        <w:rPr>
          <w:rFonts w:ascii="微软雅黑" w:eastAsia="微软雅黑" w:hAnsi="微软雅黑" w:cs="微软雅黑"/>
          <w:sz w:val="26"/>
        </w:rPr>
        <w:t>四、关于信托财产专户的变更和撤销</w:t>
      </w:r>
    </w:p>
    <w:p w14:paraId="2C74B232" w14:textId="77777777" w:rsidR="009C1837" w:rsidRDefault="00000000">
      <w:pPr>
        <w:numPr>
          <w:ilvl w:val="0"/>
          <w:numId w:val="3"/>
        </w:numPr>
        <w:spacing w:after="0" w:line="216" w:lineRule="auto"/>
        <w:ind w:firstLine="624"/>
        <w:jc w:val="both"/>
      </w:pPr>
      <w:r>
        <w:rPr>
          <w:rFonts w:ascii="微软雅黑" w:eastAsia="微软雅黑" w:hAnsi="微软雅黑" w:cs="微软雅黑"/>
          <w:sz w:val="26"/>
        </w:rPr>
        <w:t>单个信托或信托计划受托人发生变更的，应及时办理信托财产专户信息变更，除《人民币银行结算账户管理办法》中要求提供的证明文件外，还应提供信托关系变更文件。</w:t>
      </w:r>
    </w:p>
    <w:p w14:paraId="13E4EB87" w14:textId="77777777" w:rsidR="009C1837" w:rsidRDefault="00000000">
      <w:pPr>
        <w:numPr>
          <w:ilvl w:val="0"/>
          <w:numId w:val="3"/>
        </w:numPr>
        <w:spacing w:after="0" w:line="216" w:lineRule="auto"/>
        <w:ind w:firstLine="624"/>
        <w:jc w:val="both"/>
      </w:pPr>
      <w:r>
        <w:rPr>
          <w:rFonts w:ascii="微软雅黑" w:eastAsia="微软雅黑" w:hAnsi="微软雅黑" w:cs="微软雅黑"/>
          <w:sz w:val="26"/>
        </w:rPr>
        <w:t>单个信托或信托计划届满后，受托人应及时清理信托财产专户。账户仍有余额的，受托人应按信托合同的约定处理，并及时撤销账户。</w:t>
      </w:r>
    </w:p>
    <w:p w14:paraId="502C58D5" w14:textId="77777777" w:rsidR="009C1837" w:rsidRDefault="00000000">
      <w:pPr>
        <w:numPr>
          <w:ilvl w:val="0"/>
          <w:numId w:val="3"/>
        </w:numPr>
        <w:spacing w:after="0" w:line="216" w:lineRule="auto"/>
        <w:ind w:firstLine="624"/>
        <w:jc w:val="both"/>
      </w:pPr>
      <w:r>
        <w:rPr>
          <w:rFonts w:ascii="微软雅黑" w:eastAsia="微软雅黑" w:hAnsi="微软雅黑" w:cs="微软雅黑"/>
          <w:sz w:val="26"/>
        </w:rPr>
        <w:t>单个信托或信托计划因故未设立的，信托投资公司应及时清理该信托财产专户，并将信托财产专户中的资金余额返回原委托人。</w:t>
      </w:r>
    </w:p>
    <w:p w14:paraId="5058C576" w14:textId="77777777" w:rsidR="009C1837" w:rsidRDefault="00000000">
      <w:pPr>
        <w:spacing w:after="0"/>
        <w:ind w:right="413"/>
        <w:jc w:val="right"/>
      </w:pPr>
      <w:r>
        <w:rPr>
          <w:noProof/>
        </w:rPr>
        <w:drawing>
          <wp:inline distT="0" distB="0" distL="0" distR="0" wp14:anchorId="29668414" wp14:editId="5CE5ABD6">
            <wp:extent cx="164604" cy="12193"/>
            <wp:effectExtent l="0" t="0" r="0" b="0"/>
            <wp:docPr id="7988" name="Picture 7988"/>
            <wp:cNvGraphicFramePr/>
            <a:graphic xmlns:a="http://schemas.openxmlformats.org/drawingml/2006/main">
              <a:graphicData uri="http://schemas.openxmlformats.org/drawingml/2006/picture">
                <pic:pic xmlns:pic="http://schemas.openxmlformats.org/drawingml/2006/picture">
                  <pic:nvPicPr>
                    <pic:cNvPr id="7988" name="Picture 7988"/>
                    <pic:cNvPicPr/>
                  </pic:nvPicPr>
                  <pic:blipFill>
                    <a:blip r:embed="rId6"/>
                    <a:stretch>
                      <a:fillRect/>
                    </a:stretch>
                  </pic:blipFill>
                  <pic:spPr>
                    <a:xfrm>
                      <a:off x="0" y="0"/>
                      <a:ext cx="164604" cy="12193"/>
                    </a:xfrm>
                    <a:prstGeom prst="rect">
                      <a:avLst/>
                    </a:prstGeom>
                  </pic:spPr>
                </pic:pic>
              </a:graphicData>
            </a:graphic>
          </wp:inline>
        </w:drawing>
      </w:r>
      <w:r>
        <w:rPr>
          <w:rFonts w:ascii="微软雅黑" w:eastAsia="微软雅黑" w:hAnsi="微软雅黑" w:cs="微软雅黑"/>
          <w:sz w:val="28"/>
        </w:rPr>
        <w:t xml:space="preserve"> 3 </w:t>
      </w:r>
      <w:r>
        <w:rPr>
          <w:noProof/>
        </w:rPr>
        <w:drawing>
          <wp:inline distT="0" distB="0" distL="0" distR="0" wp14:anchorId="71FE0FE6" wp14:editId="3AB4DE9F">
            <wp:extent cx="164604" cy="12193"/>
            <wp:effectExtent l="0" t="0" r="0" b="0"/>
            <wp:docPr id="7989" name="Picture 7989"/>
            <wp:cNvGraphicFramePr/>
            <a:graphic xmlns:a="http://schemas.openxmlformats.org/drawingml/2006/main">
              <a:graphicData uri="http://schemas.openxmlformats.org/drawingml/2006/picture">
                <pic:pic xmlns:pic="http://schemas.openxmlformats.org/drawingml/2006/picture">
                  <pic:nvPicPr>
                    <pic:cNvPr id="7989" name="Picture 7989"/>
                    <pic:cNvPicPr/>
                  </pic:nvPicPr>
                  <pic:blipFill>
                    <a:blip r:embed="rId6"/>
                    <a:stretch>
                      <a:fillRect/>
                    </a:stretch>
                  </pic:blipFill>
                  <pic:spPr>
                    <a:xfrm>
                      <a:off x="0" y="0"/>
                      <a:ext cx="164604" cy="12193"/>
                    </a:xfrm>
                    <a:prstGeom prst="rect">
                      <a:avLst/>
                    </a:prstGeom>
                  </pic:spPr>
                </pic:pic>
              </a:graphicData>
            </a:graphic>
          </wp:inline>
        </w:drawing>
      </w:r>
    </w:p>
    <w:p w14:paraId="789C10C9" w14:textId="77777777" w:rsidR="009C1837" w:rsidRDefault="00000000">
      <w:pPr>
        <w:spacing w:after="3" w:line="262" w:lineRule="auto"/>
        <w:ind w:left="648"/>
        <w:jc w:val="both"/>
      </w:pPr>
      <w:r>
        <w:rPr>
          <w:rFonts w:ascii="微软雅黑" w:eastAsia="微软雅黑" w:hAnsi="微软雅黑" w:cs="微软雅黑"/>
          <w:sz w:val="24"/>
        </w:rPr>
        <w:t>五、关于信托财产专户的资金性质</w:t>
      </w:r>
    </w:p>
    <w:p w14:paraId="163CF5D2" w14:textId="77777777" w:rsidR="009C1837" w:rsidRDefault="00000000">
      <w:pPr>
        <w:spacing w:after="170" w:line="262" w:lineRule="auto"/>
        <w:ind w:left="14" w:firstLine="624"/>
        <w:jc w:val="both"/>
      </w:pPr>
      <w:r>
        <w:rPr>
          <w:rFonts w:ascii="微软雅黑" w:eastAsia="微软雅黑" w:hAnsi="微软雅黑" w:cs="微软雅黑"/>
          <w:sz w:val="24"/>
        </w:rPr>
        <w:t>信托财产不属于信托投资公司的固有财产，也不属于信托投资公司的负债。若执法部门对信托财产人民币专用存款账户进行 0、杉丶口士或扣划，银行有义务出示证据以证明信托财产专用存款账户丿 、、0</w:t>
      </w:r>
    </w:p>
    <w:p w14:paraId="3BAF2413" w14:textId="77777777" w:rsidR="009C1837" w:rsidRDefault="00000000">
      <w:pPr>
        <w:spacing w:after="1750" w:line="216" w:lineRule="auto"/>
        <w:ind w:left="653" w:hanging="10"/>
        <w:jc w:val="both"/>
      </w:pPr>
      <w:r>
        <w:rPr>
          <w:rFonts w:ascii="微软雅黑" w:eastAsia="微软雅黑" w:hAnsi="微软雅黑" w:cs="微软雅黑"/>
          <w:sz w:val="26"/>
        </w:rPr>
        <w:t>本通知自2003年12月1日起执行。</w:t>
      </w:r>
    </w:p>
    <w:p w14:paraId="4907BBE0" w14:textId="77777777" w:rsidR="009C1837" w:rsidRDefault="00000000">
      <w:pPr>
        <w:spacing w:after="3661" w:line="262" w:lineRule="auto"/>
        <w:ind w:left="4114"/>
        <w:jc w:val="both"/>
      </w:pPr>
      <w:r>
        <w:rPr>
          <w:rFonts w:ascii="微软雅黑" w:eastAsia="微软雅黑" w:hAnsi="微软雅黑" w:cs="微软雅黑"/>
          <w:sz w:val="24"/>
        </w:rPr>
        <w:t>二00三年十一月十四日</w:t>
      </w:r>
    </w:p>
    <w:p w14:paraId="48BF6B73" w14:textId="77777777" w:rsidR="009C1837" w:rsidRDefault="00000000">
      <w:pPr>
        <w:spacing w:after="0"/>
        <w:ind w:left="14"/>
      </w:pPr>
      <w:r>
        <w:rPr>
          <w:rFonts w:ascii="微软雅黑" w:eastAsia="微软雅黑" w:hAnsi="微软雅黑" w:cs="微软雅黑"/>
          <w:sz w:val="28"/>
        </w:rPr>
        <w:lastRenderedPageBreak/>
        <w:t>主题词：支付结算账户管理通知</w:t>
      </w:r>
    </w:p>
    <w:p w14:paraId="7289E3E8" w14:textId="77777777" w:rsidR="009C1837" w:rsidRDefault="00000000">
      <w:pPr>
        <w:spacing w:after="193"/>
        <w:ind w:left="-10" w:right="-19"/>
      </w:pPr>
      <w:r>
        <w:rPr>
          <w:noProof/>
        </w:rPr>
        <mc:AlternateContent>
          <mc:Choice Requires="wpg">
            <w:drawing>
              <wp:inline distT="0" distB="0" distL="0" distR="0" wp14:anchorId="47CD3B2D" wp14:editId="2763F6C7">
                <wp:extent cx="5578215" cy="15241"/>
                <wp:effectExtent l="0" t="0" r="0" b="0"/>
                <wp:docPr id="16084" name="Group 16084"/>
                <wp:cNvGraphicFramePr/>
                <a:graphic xmlns:a="http://schemas.openxmlformats.org/drawingml/2006/main">
                  <a:graphicData uri="http://schemas.microsoft.com/office/word/2010/wordprocessingGroup">
                    <wpg:wgp>
                      <wpg:cNvGrpSpPr/>
                      <wpg:grpSpPr>
                        <a:xfrm>
                          <a:off x="0" y="0"/>
                          <a:ext cx="5578215" cy="15241"/>
                          <a:chOff x="0" y="0"/>
                          <a:chExt cx="5578215" cy="15241"/>
                        </a:xfrm>
                      </wpg:grpSpPr>
                      <wps:wsp>
                        <wps:cNvPr id="16083" name="Shape 16083"/>
                        <wps:cNvSpPr/>
                        <wps:spPr>
                          <a:xfrm>
                            <a:off x="0" y="0"/>
                            <a:ext cx="5578215" cy="15241"/>
                          </a:xfrm>
                          <a:custGeom>
                            <a:avLst/>
                            <a:gdLst/>
                            <a:ahLst/>
                            <a:cxnLst/>
                            <a:rect l="0" t="0" r="0" b="0"/>
                            <a:pathLst>
                              <a:path w="5578215" h="15241">
                                <a:moveTo>
                                  <a:pt x="0" y="7620"/>
                                </a:moveTo>
                                <a:lnTo>
                                  <a:pt x="5578215" y="7620"/>
                                </a:lnTo>
                              </a:path>
                            </a:pathLst>
                          </a:custGeom>
                          <a:ln w="1524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6084" style="width:439.23pt;height:1.20007pt;mso-position-horizontal-relative:char;mso-position-vertical-relative:line" coordsize="55782,152">
                <v:shape id="Shape 16083" style="position:absolute;width:55782;height:152;left:0;top:0;" coordsize="5578215,15241" path="m0,7620l5578215,7620">
                  <v:stroke weight="1.20007pt" endcap="flat" joinstyle="miter" miterlimit="1" on="true" color="#000000"/>
                  <v:fill on="false" color="#000000"/>
                </v:shape>
              </v:group>
            </w:pict>
          </mc:Fallback>
        </mc:AlternateContent>
      </w:r>
    </w:p>
    <w:p w14:paraId="2EF91FE9" w14:textId="77777777" w:rsidR="009C1837" w:rsidRDefault="00000000">
      <w:pPr>
        <w:spacing w:after="0"/>
        <w:ind w:left="259" w:hanging="10"/>
      </w:pPr>
      <w:r>
        <w:rPr>
          <w:rFonts w:ascii="微软雅黑" w:eastAsia="微软雅黑" w:hAnsi="微软雅黑" w:cs="微软雅黑"/>
          <w:sz w:val="20"/>
        </w:rPr>
        <w:t>抄送：银监会。</w:t>
      </w:r>
    </w:p>
    <w:p w14:paraId="264A0563" w14:textId="77777777" w:rsidR="009C1837" w:rsidRDefault="00000000">
      <w:pPr>
        <w:spacing w:after="0"/>
        <w:ind w:left="259" w:hanging="10"/>
      </w:pPr>
      <w:r>
        <w:rPr>
          <w:rFonts w:ascii="微软雅黑" w:eastAsia="微软雅黑" w:hAnsi="微软雅黑" w:cs="微软雅黑"/>
          <w:sz w:val="20"/>
        </w:rPr>
        <w:t>内部发送：办公厅，支付办，条法司，内审司，研究局。</w:t>
      </w:r>
    </w:p>
    <w:p w14:paraId="00BD7558" w14:textId="77777777" w:rsidR="009C1837" w:rsidRDefault="00000000">
      <w:pPr>
        <w:spacing w:after="156"/>
        <w:ind w:left="-14" w:right="-24"/>
      </w:pPr>
      <w:r>
        <w:rPr>
          <w:noProof/>
        </w:rPr>
        <mc:AlternateContent>
          <mc:Choice Requires="wpg">
            <w:drawing>
              <wp:inline distT="0" distB="0" distL="0" distR="0" wp14:anchorId="40FF0A6F" wp14:editId="13400B82">
                <wp:extent cx="5584311" cy="12193"/>
                <wp:effectExtent l="0" t="0" r="0" b="0"/>
                <wp:docPr id="16086" name="Group 16086"/>
                <wp:cNvGraphicFramePr/>
                <a:graphic xmlns:a="http://schemas.openxmlformats.org/drawingml/2006/main">
                  <a:graphicData uri="http://schemas.microsoft.com/office/word/2010/wordprocessingGroup">
                    <wpg:wgp>
                      <wpg:cNvGrpSpPr/>
                      <wpg:grpSpPr>
                        <a:xfrm>
                          <a:off x="0" y="0"/>
                          <a:ext cx="5584311" cy="12193"/>
                          <a:chOff x="0" y="0"/>
                          <a:chExt cx="5584311" cy="12193"/>
                        </a:xfrm>
                      </wpg:grpSpPr>
                      <wps:wsp>
                        <wps:cNvPr id="16085" name="Shape 16085"/>
                        <wps:cNvSpPr/>
                        <wps:spPr>
                          <a:xfrm>
                            <a:off x="0" y="0"/>
                            <a:ext cx="5584311" cy="12193"/>
                          </a:xfrm>
                          <a:custGeom>
                            <a:avLst/>
                            <a:gdLst/>
                            <a:ahLst/>
                            <a:cxnLst/>
                            <a:rect l="0" t="0" r="0" b="0"/>
                            <a:pathLst>
                              <a:path w="5584311" h="12193">
                                <a:moveTo>
                                  <a:pt x="0" y="6097"/>
                                </a:moveTo>
                                <a:lnTo>
                                  <a:pt x="5584311" y="6097"/>
                                </a:lnTo>
                              </a:path>
                            </a:pathLst>
                          </a:custGeom>
                          <a:ln w="121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6086" style="width:439.71pt;height:0.960083pt;mso-position-horizontal-relative:char;mso-position-vertical-relative:line" coordsize="55843,121">
                <v:shape id="Shape 16085" style="position:absolute;width:55843;height:121;left:0;top:0;" coordsize="5584311,12193" path="m0,6097l5584311,6097">
                  <v:stroke weight="0.960083pt" endcap="flat" joinstyle="miter" miterlimit="1" on="true" color="#000000"/>
                  <v:fill on="false" color="#000000"/>
                </v:shape>
              </v:group>
            </w:pict>
          </mc:Fallback>
        </mc:AlternateContent>
      </w:r>
    </w:p>
    <w:p w14:paraId="7F4B644B" w14:textId="77777777" w:rsidR="009C1837" w:rsidRDefault="00000000">
      <w:pPr>
        <w:tabs>
          <w:tab w:val="center" w:pos="3713"/>
          <w:tab w:val="right" w:pos="8756"/>
        </w:tabs>
        <w:spacing w:after="3"/>
      </w:pPr>
      <w:r>
        <w:rPr>
          <w:rFonts w:ascii="微软雅黑" w:eastAsia="微软雅黑" w:hAnsi="微软雅黑" w:cs="微软雅黑"/>
        </w:rPr>
        <w:t>联系人：李俊健</w:t>
      </w:r>
      <w:r>
        <w:rPr>
          <w:rFonts w:ascii="微软雅黑" w:eastAsia="微软雅黑" w:hAnsi="微软雅黑" w:cs="微软雅黑"/>
        </w:rPr>
        <w:tab/>
        <w:t>联系电话：66194928</w:t>
      </w:r>
      <w:r>
        <w:rPr>
          <w:rFonts w:ascii="微软雅黑" w:eastAsia="微软雅黑" w:hAnsi="微软雅黑" w:cs="微软雅黑"/>
        </w:rPr>
        <w:tab/>
        <w:t>（共印65份）</w:t>
      </w:r>
    </w:p>
    <w:p w14:paraId="0A537B59" w14:textId="77777777" w:rsidR="009C1837" w:rsidRDefault="00000000">
      <w:pPr>
        <w:spacing w:after="159"/>
        <w:ind w:left="-14" w:right="-24"/>
      </w:pPr>
      <w:r>
        <w:rPr>
          <w:noProof/>
        </w:rPr>
        <mc:AlternateContent>
          <mc:Choice Requires="wpg">
            <w:drawing>
              <wp:inline distT="0" distB="0" distL="0" distR="0" wp14:anchorId="1B064322" wp14:editId="5A4A3F13">
                <wp:extent cx="5584311" cy="12193"/>
                <wp:effectExtent l="0" t="0" r="0" b="0"/>
                <wp:docPr id="16088" name="Group 16088"/>
                <wp:cNvGraphicFramePr/>
                <a:graphic xmlns:a="http://schemas.openxmlformats.org/drawingml/2006/main">
                  <a:graphicData uri="http://schemas.microsoft.com/office/word/2010/wordprocessingGroup">
                    <wpg:wgp>
                      <wpg:cNvGrpSpPr/>
                      <wpg:grpSpPr>
                        <a:xfrm>
                          <a:off x="0" y="0"/>
                          <a:ext cx="5584311" cy="12193"/>
                          <a:chOff x="0" y="0"/>
                          <a:chExt cx="5584311" cy="12193"/>
                        </a:xfrm>
                      </wpg:grpSpPr>
                      <wps:wsp>
                        <wps:cNvPr id="16087" name="Shape 16087"/>
                        <wps:cNvSpPr/>
                        <wps:spPr>
                          <a:xfrm>
                            <a:off x="0" y="0"/>
                            <a:ext cx="5584311" cy="12193"/>
                          </a:xfrm>
                          <a:custGeom>
                            <a:avLst/>
                            <a:gdLst/>
                            <a:ahLst/>
                            <a:cxnLst/>
                            <a:rect l="0" t="0" r="0" b="0"/>
                            <a:pathLst>
                              <a:path w="5584311" h="12193">
                                <a:moveTo>
                                  <a:pt x="0" y="6097"/>
                                </a:moveTo>
                                <a:lnTo>
                                  <a:pt x="5584311" y="6097"/>
                                </a:lnTo>
                              </a:path>
                            </a:pathLst>
                          </a:custGeom>
                          <a:ln w="121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6088" style="width:439.71pt;height:0.960083pt;mso-position-horizontal-relative:char;mso-position-vertical-relative:line" coordsize="55843,121">
                <v:shape id="Shape 16087" style="position:absolute;width:55843;height:121;left:0;top:0;" coordsize="5584311,12193" path="m0,6097l5584311,6097">
                  <v:stroke weight="0.960083pt" endcap="flat" joinstyle="miter" miterlimit="1" on="true" color="#000000"/>
                  <v:fill on="false" color="#000000"/>
                </v:shape>
              </v:group>
            </w:pict>
          </mc:Fallback>
        </mc:AlternateContent>
      </w:r>
    </w:p>
    <w:p w14:paraId="3FAFCC24" w14:textId="77777777" w:rsidR="009C1837" w:rsidRDefault="00000000">
      <w:pPr>
        <w:tabs>
          <w:tab w:val="right" w:pos="8756"/>
        </w:tabs>
        <w:spacing w:after="0"/>
      </w:pPr>
      <w:r>
        <w:rPr>
          <w:rFonts w:ascii="微软雅黑" w:eastAsia="微软雅黑" w:hAnsi="微软雅黑" w:cs="微软雅黑"/>
          <w:sz w:val="20"/>
        </w:rPr>
        <w:t>中国人民银行办公厅</w:t>
      </w:r>
      <w:r>
        <w:rPr>
          <w:rFonts w:ascii="微软雅黑" w:eastAsia="微软雅黑" w:hAnsi="微软雅黑" w:cs="微软雅黑"/>
          <w:sz w:val="20"/>
        </w:rPr>
        <w:tab/>
        <w:t>2003年11月20日印发</w:t>
      </w:r>
    </w:p>
    <w:p w14:paraId="56374D81" w14:textId="77777777" w:rsidR="009C1837" w:rsidRDefault="00000000">
      <w:pPr>
        <w:spacing w:after="514"/>
        <w:ind w:left="-14" w:right="-24"/>
      </w:pPr>
      <w:r>
        <w:rPr>
          <w:noProof/>
        </w:rPr>
        <mc:AlternateContent>
          <mc:Choice Requires="wpg">
            <w:drawing>
              <wp:inline distT="0" distB="0" distL="0" distR="0" wp14:anchorId="6D629FEE" wp14:editId="7B9E5A1B">
                <wp:extent cx="5584311" cy="12193"/>
                <wp:effectExtent l="0" t="0" r="0" b="0"/>
                <wp:docPr id="16090" name="Group 16090"/>
                <wp:cNvGraphicFramePr/>
                <a:graphic xmlns:a="http://schemas.openxmlformats.org/drawingml/2006/main">
                  <a:graphicData uri="http://schemas.microsoft.com/office/word/2010/wordprocessingGroup">
                    <wpg:wgp>
                      <wpg:cNvGrpSpPr/>
                      <wpg:grpSpPr>
                        <a:xfrm>
                          <a:off x="0" y="0"/>
                          <a:ext cx="5584311" cy="12193"/>
                          <a:chOff x="0" y="0"/>
                          <a:chExt cx="5584311" cy="12193"/>
                        </a:xfrm>
                      </wpg:grpSpPr>
                      <wps:wsp>
                        <wps:cNvPr id="16089" name="Shape 16089"/>
                        <wps:cNvSpPr/>
                        <wps:spPr>
                          <a:xfrm>
                            <a:off x="0" y="0"/>
                            <a:ext cx="5584311" cy="12193"/>
                          </a:xfrm>
                          <a:custGeom>
                            <a:avLst/>
                            <a:gdLst/>
                            <a:ahLst/>
                            <a:cxnLst/>
                            <a:rect l="0" t="0" r="0" b="0"/>
                            <a:pathLst>
                              <a:path w="5584311" h="12193">
                                <a:moveTo>
                                  <a:pt x="0" y="6097"/>
                                </a:moveTo>
                                <a:lnTo>
                                  <a:pt x="5584311" y="6097"/>
                                </a:lnTo>
                              </a:path>
                            </a:pathLst>
                          </a:custGeom>
                          <a:ln w="121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6090" style="width:439.71pt;height:0.960083pt;mso-position-horizontal-relative:char;mso-position-vertical-relative:line" coordsize="55843,121">
                <v:shape id="Shape 16089" style="position:absolute;width:55843;height:121;left:0;top:0;" coordsize="5584311,12193" path="m0,6097l5584311,6097">
                  <v:stroke weight="0.960083pt" endcap="flat" joinstyle="miter" miterlimit="1" on="true" color="#000000"/>
                  <v:fill on="false" color="#000000"/>
                </v:shape>
              </v:group>
            </w:pict>
          </mc:Fallback>
        </mc:AlternateContent>
      </w:r>
    </w:p>
    <w:p w14:paraId="22A53232" w14:textId="77777777" w:rsidR="009C1837" w:rsidRDefault="00000000">
      <w:pPr>
        <w:spacing w:after="3"/>
        <w:ind w:left="432" w:hanging="10"/>
      </w:pPr>
      <w:r>
        <w:rPr>
          <w:noProof/>
        </w:rPr>
        <w:drawing>
          <wp:inline distT="0" distB="0" distL="0" distR="0" wp14:anchorId="04F3A656" wp14:editId="1240F3B5">
            <wp:extent cx="128025" cy="24386"/>
            <wp:effectExtent l="0" t="0" r="0" b="0"/>
            <wp:docPr id="9738" name="Picture 9738"/>
            <wp:cNvGraphicFramePr/>
            <a:graphic xmlns:a="http://schemas.openxmlformats.org/drawingml/2006/main">
              <a:graphicData uri="http://schemas.openxmlformats.org/drawingml/2006/picture">
                <pic:pic xmlns:pic="http://schemas.openxmlformats.org/drawingml/2006/picture">
                  <pic:nvPicPr>
                    <pic:cNvPr id="9738" name="Picture 9738"/>
                    <pic:cNvPicPr/>
                  </pic:nvPicPr>
                  <pic:blipFill>
                    <a:blip r:embed="rId18"/>
                    <a:stretch>
                      <a:fillRect/>
                    </a:stretch>
                  </pic:blipFill>
                  <pic:spPr>
                    <a:xfrm>
                      <a:off x="0" y="0"/>
                      <a:ext cx="128025" cy="24386"/>
                    </a:xfrm>
                    <a:prstGeom prst="rect">
                      <a:avLst/>
                    </a:prstGeom>
                  </pic:spPr>
                </pic:pic>
              </a:graphicData>
            </a:graphic>
          </wp:inline>
        </w:drawing>
      </w:r>
      <w:r>
        <w:rPr>
          <w:rFonts w:ascii="微软雅黑" w:eastAsia="微软雅黑" w:hAnsi="微软雅黑" w:cs="微软雅黑"/>
        </w:rPr>
        <w:t xml:space="preserve"> 4 </w:t>
      </w:r>
      <w:r>
        <w:rPr>
          <w:noProof/>
        </w:rPr>
        <w:drawing>
          <wp:inline distT="0" distB="0" distL="0" distR="0" wp14:anchorId="60D21EA6" wp14:editId="77EEB379">
            <wp:extent cx="128025" cy="24386"/>
            <wp:effectExtent l="0" t="0" r="0" b="0"/>
            <wp:docPr id="9739" name="Picture 9739"/>
            <wp:cNvGraphicFramePr/>
            <a:graphic xmlns:a="http://schemas.openxmlformats.org/drawingml/2006/main">
              <a:graphicData uri="http://schemas.openxmlformats.org/drawingml/2006/picture">
                <pic:pic xmlns:pic="http://schemas.openxmlformats.org/drawingml/2006/picture">
                  <pic:nvPicPr>
                    <pic:cNvPr id="9739" name="Picture 9739"/>
                    <pic:cNvPicPr/>
                  </pic:nvPicPr>
                  <pic:blipFill>
                    <a:blip r:embed="rId18"/>
                    <a:stretch>
                      <a:fillRect/>
                    </a:stretch>
                  </pic:blipFill>
                  <pic:spPr>
                    <a:xfrm>
                      <a:off x="0" y="0"/>
                      <a:ext cx="128025" cy="24386"/>
                    </a:xfrm>
                    <a:prstGeom prst="rect">
                      <a:avLst/>
                    </a:prstGeom>
                  </pic:spPr>
                </pic:pic>
              </a:graphicData>
            </a:graphic>
          </wp:inline>
        </w:drawing>
      </w:r>
    </w:p>
    <w:sectPr w:rsidR="009C1837">
      <w:pgSz w:w="11900" w:h="16840"/>
      <w:pgMar w:top="1640" w:right="1512" w:bottom="1791" w:left="16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6224B"/>
    <w:multiLevelType w:val="hybridMultilevel"/>
    <w:tmpl w:val="966E90F4"/>
    <w:lvl w:ilvl="0" w:tplc="8E58490C">
      <w:start w:val="1"/>
      <w:numFmt w:val="decimal"/>
      <w:lvlText w:val="%1、"/>
      <w:lvlJc w:val="left"/>
      <w:pPr>
        <w:ind w:left="922"/>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1" w:tplc="B6F0933E">
      <w:start w:val="1"/>
      <w:numFmt w:val="lowerLetter"/>
      <w:lvlText w:val="%2"/>
      <w:lvlJc w:val="left"/>
      <w:pPr>
        <w:ind w:left="169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2" w:tplc="2A6AAC94">
      <w:start w:val="1"/>
      <w:numFmt w:val="lowerRoman"/>
      <w:lvlText w:val="%3"/>
      <w:lvlJc w:val="left"/>
      <w:pPr>
        <w:ind w:left="241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3" w:tplc="18409E68">
      <w:start w:val="1"/>
      <w:numFmt w:val="decimal"/>
      <w:lvlText w:val="%4"/>
      <w:lvlJc w:val="left"/>
      <w:pPr>
        <w:ind w:left="313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4" w:tplc="6E900212">
      <w:start w:val="1"/>
      <w:numFmt w:val="lowerLetter"/>
      <w:lvlText w:val="%5"/>
      <w:lvlJc w:val="left"/>
      <w:pPr>
        <w:ind w:left="385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5" w:tplc="BBF8BADA">
      <w:start w:val="1"/>
      <w:numFmt w:val="lowerRoman"/>
      <w:lvlText w:val="%6"/>
      <w:lvlJc w:val="left"/>
      <w:pPr>
        <w:ind w:left="457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6" w:tplc="D4463502">
      <w:start w:val="1"/>
      <w:numFmt w:val="decimal"/>
      <w:lvlText w:val="%7"/>
      <w:lvlJc w:val="left"/>
      <w:pPr>
        <w:ind w:left="529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7" w:tplc="E162019E">
      <w:start w:val="1"/>
      <w:numFmt w:val="lowerLetter"/>
      <w:lvlText w:val="%8"/>
      <w:lvlJc w:val="left"/>
      <w:pPr>
        <w:ind w:left="601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8" w:tplc="4CF6D330">
      <w:start w:val="1"/>
      <w:numFmt w:val="lowerRoman"/>
      <w:lvlText w:val="%9"/>
      <w:lvlJc w:val="left"/>
      <w:pPr>
        <w:ind w:left="673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abstractNum>
  <w:abstractNum w:abstractNumId="1" w15:restartNumberingAfterBreak="0">
    <w:nsid w:val="6E4F13A9"/>
    <w:multiLevelType w:val="hybridMultilevel"/>
    <w:tmpl w:val="DB48DAE2"/>
    <w:lvl w:ilvl="0" w:tplc="C0AE70C4">
      <w:start w:val="1"/>
      <w:numFmt w:val="ideographDigital"/>
      <w:lvlText w:val="（%1）"/>
      <w:lvlJc w:val="left"/>
      <w:pPr>
        <w:ind w:left="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8712409E">
      <w:start w:val="1"/>
      <w:numFmt w:val="lowerLetter"/>
      <w:lvlText w:val="%2"/>
      <w:lvlJc w:val="left"/>
      <w:pPr>
        <w:ind w:left="171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4FD04550">
      <w:start w:val="1"/>
      <w:numFmt w:val="lowerRoman"/>
      <w:lvlText w:val="%3"/>
      <w:lvlJc w:val="left"/>
      <w:pPr>
        <w:ind w:left="243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6E343B98">
      <w:start w:val="1"/>
      <w:numFmt w:val="decimal"/>
      <w:lvlText w:val="%4"/>
      <w:lvlJc w:val="left"/>
      <w:pPr>
        <w:ind w:left="315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C1C2D6CE">
      <w:start w:val="1"/>
      <w:numFmt w:val="lowerLetter"/>
      <w:lvlText w:val="%5"/>
      <w:lvlJc w:val="left"/>
      <w:pPr>
        <w:ind w:left="387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1C460E8E">
      <w:start w:val="1"/>
      <w:numFmt w:val="lowerRoman"/>
      <w:lvlText w:val="%6"/>
      <w:lvlJc w:val="left"/>
      <w:pPr>
        <w:ind w:left="459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CE2E6646">
      <w:start w:val="1"/>
      <w:numFmt w:val="decimal"/>
      <w:lvlText w:val="%7"/>
      <w:lvlJc w:val="left"/>
      <w:pPr>
        <w:ind w:left="531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1382A612">
      <w:start w:val="1"/>
      <w:numFmt w:val="lowerLetter"/>
      <w:lvlText w:val="%8"/>
      <w:lvlJc w:val="left"/>
      <w:pPr>
        <w:ind w:left="603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74C4EE32">
      <w:start w:val="1"/>
      <w:numFmt w:val="lowerRoman"/>
      <w:lvlText w:val="%9"/>
      <w:lvlJc w:val="left"/>
      <w:pPr>
        <w:ind w:left="675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2" w15:restartNumberingAfterBreak="0">
    <w:nsid w:val="704F4C72"/>
    <w:multiLevelType w:val="hybridMultilevel"/>
    <w:tmpl w:val="E16EC8B2"/>
    <w:lvl w:ilvl="0" w:tplc="D23CD6F8">
      <w:start w:val="1"/>
      <w:numFmt w:val="decimal"/>
      <w:lvlText w:val="%1、"/>
      <w:lvlJc w:val="left"/>
      <w:pPr>
        <w:ind w:left="61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1" w:tplc="7A8E231E">
      <w:start w:val="1"/>
      <w:numFmt w:val="lowerLetter"/>
      <w:lvlText w:val="%2"/>
      <w:lvlJc w:val="left"/>
      <w:pPr>
        <w:ind w:left="169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2" w:tplc="A70ADDD4">
      <w:start w:val="1"/>
      <w:numFmt w:val="lowerRoman"/>
      <w:lvlText w:val="%3"/>
      <w:lvlJc w:val="left"/>
      <w:pPr>
        <w:ind w:left="241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3" w:tplc="A9EE7A26">
      <w:start w:val="1"/>
      <w:numFmt w:val="decimal"/>
      <w:lvlText w:val="%4"/>
      <w:lvlJc w:val="left"/>
      <w:pPr>
        <w:ind w:left="313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4" w:tplc="7DC2F788">
      <w:start w:val="1"/>
      <w:numFmt w:val="lowerLetter"/>
      <w:lvlText w:val="%5"/>
      <w:lvlJc w:val="left"/>
      <w:pPr>
        <w:ind w:left="385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5" w:tplc="E3DE40D4">
      <w:start w:val="1"/>
      <w:numFmt w:val="lowerRoman"/>
      <w:lvlText w:val="%6"/>
      <w:lvlJc w:val="left"/>
      <w:pPr>
        <w:ind w:left="457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6" w:tplc="7B90AA6A">
      <w:start w:val="1"/>
      <w:numFmt w:val="decimal"/>
      <w:lvlText w:val="%7"/>
      <w:lvlJc w:val="left"/>
      <w:pPr>
        <w:ind w:left="529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7" w:tplc="3C6ED208">
      <w:start w:val="1"/>
      <w:numFmt w:val="lowerLetter"/>
      <w:lvlText w:val="%8"/>
      <w:lvlJc w:val="left"/>
      <w:pPr>
        <w:ind w:left="601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lvl w:ilvl="8" w:tplc="3C108724">
      <w:start w:val="1"/>
      <w:numFmt w:val="lowerRoman"/>
      <w:lvlText w:val="%9"/>
      <w:lvlJc w:val="left"/>
      <w:pPr>
        <w:ind w:left="6734"/>
      </w:pPr>
      <w:rPr>
        <w:rFonts w:ascii="微软雅黑" w:eastAsia="微软雅黑" w:hAnsi="微软雅黑" w:cs="微软雅黑"/>
        <w:b w:val="0"/>
        <w:i w:val="0"/>
        <w:strike w:val="0"/>
        <w:dstrike w:val="0"/>
        <w:color w:val="000000"/>
        <w:sz w:val="48"/>
        <w:szCs w:val="48"/>
        <w:u w:val="none" w:color="000000"/>
        <w:bdr w:val="none" w:sz="0" w:space="0" w:color="auto"/>
        <w:shd w:val="clear" w:color="auto" w:fill="auto"/>
        <w:vertAlign w:val="baseline"/>
      </w:rPr>
    </w:lvl>
  </w:abstractNum>
  <w:num w:numId="1" w16cid:durableId="419374021">
    <w:abstractNumId w:val="2"/>
  </w:num>
  <w:num w:numId="2" w16cid:durableId="514537856">
    <w:abstractNumId w:val="0"/>
  </w:num>
  <w:num w:numId="3" w16cid:durableId="1486506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837"/>
    <w:rsid w:val="005E2E1F"/>
    <w:rsid w:val="009C1837"/>
    <w:rsid w:val="00F459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3B0199"/>
  <w15:docId w15:val="{184A2DD0-A671-4962-9394-08E0B3B7B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paragraph" w:styleId="1">
    <w:name w:val="heading 1"/>
    <w:next w:val="a"/>
    <w:link w:val="10"/>
    <w:uiPriority w:val="9"/>
    <w:qFormat/>
    <w:pPr>
      <w:keepNext/>
      <w:keepLines/>
      <w:spacing w:after="462" w:line="241" w:lineRule="auto"/>
      <w:ind w:left="638" w:right="538" w:firstLine="240"/>
      <w:outlineLvl w:val="0"/>
    </w:pPr>
    <w:rPr>
      <w:rFonts w:ascii="微软雅黑" w:eastAsia="微软雅黑" w:hAnsi="微软雅黑" w:cs="微软雅黑"/>
      <w:color w:val="000000"/>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微软雅黑" w:eastAsia="微软雅黑" w:hAnsi="微软雅黑" w:cs="微软雅黑"/>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821</Words>
  <Characters>830</Characters>
  <Application>Microsoft Office Word</Application>
  <DocSecurity>0</DocSecurity>
  <Lines>41</Lines>
  <Paragraphs>45</Paragraphs>
  <ScaleCrop>false</ScaleCrop>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dc:title>
  <dc:subject/>
  <dc:creator>Administrator</dc:creator>
  <cp:keywords/>
  <cp:lastModifiedBy>shuhao chen</cp:lastModifiedBy>
  <cp:revision>2</cp:revision>
  <dcterms:created xsi:type="dcterms:W3CDTF">2026-01-28T07:25:00Z</dcterms:created>
  <dcterms:modified xsi:type="dcterms:W3CDTF">2026-01-28T07:25:00Z</dcterms:modified>
</cp:coreProperties>
</file>