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E752E" w14:textId="77777777" w:rsidR="00C5589D" w:rsidRDefault="00000000">
      <w:pPr>
        <w:spacing w:after="2095"/>
        <w:ind w:left="1" w:right="12" w:firstLine="0"/>
      </w:pPr>
      <w:r>
        <w:t>特急</w:t>
      </w:r>
    </w:p>
    <w:p w14:paraId="7B722ED6" w14:textId="77777777" w:rsidR="00C5589D" w:rsidRDefault="00000000">
      <w:pPr>
        <w:spacing w:after="0"/>
        <w:ind w:left="966" w:firstLine="0"/>
        <w:jc w:val="left"/>
      </w:pPr>
      <w:r>
        <w:rPr>
          <w:sz w:val="90"/>
        </w:rPr>
        <w:t>中国人民银行文件</w:t>
      </w:r>
    </w:p>
    <w:p w14:paraId="667BD2BB" w14:textId="77777777" w:rsidR="00C5589D" w:rsidRDefault="00000000">
      <w:pPr>
        <w:spacing w:after="0"/>
        <w:ind w:left="0" w:right="42" w:firstLine="0"/>
        <w:jc w:val="center"/>
      </w:pPr>
      <w:r>
        <w:rPr>
          <w:sz w:val="22"/>
        </w:rPr>
        <w:t>银发〔2 0 14〕1 7 8号</w:t>
      </w:r>
    </w:p>
    <w:p w14:paraId="37504E0A" w14:textId="77777777" w:rsidR="00C5589D" w:rsidRDefault="00000000">
      <w:pPr>
        <w:spacing w:after="1557"/>
        <w:ind w:left="-5" w:firstLine="0"/>
        <w:jc w:val="left"/>
      </w:pPr>
      <w:r>
        <w:rPr>
          <w:rFonts w:ascii="Calibri" w:eastAsia="Calibri" w:hAnsi="Calibri" w:cs="Calibri"/>
          <w:noProof/>
          <w:sz w:val="22"/>
        </w:rPr>
        <mc:AlternateContent>
          <mc:Choice Requires="wpg">
            <w:drawing>
              <wp:inline distT="0" distB="0" distL="0" distR="0" wp14:anchorId="421C9A35" wp14:editId="5E54B35A">
                <wp:extent cx="5594036" cy="20234"/>
                <wp:effectExtent l="0" t="0" r="0" b="0"/>
                <wp:docPr id="49166" name="Group 49166"/>
                <wp:cNvGraphicFramePr/>
                <a:graphic xmlns:a="http://schemas.openxmlformats.org/drawingml/2006/main">
                  <a:graphicData uri="http://schemas.microsoft.com/office/word/2010/wordprocessingGroup">
                    <wpg:wgp>
                      <wpg:cNvGrpSpPr/>
                      <wpg:grpSpPr>
                        <a:xfrm>
                          <a:off x="0" y="0"/>
                          <a:ext cx="5594036" cy="20234"/>
                          <a:chOff x="0" y="0"/>
                          <a:chExt cx="5594036" cy="20234"/>
                        </a:xfrm>
                      </wpg:grpSpPr>
                      <wps:wsp>
                        <wps:cNvPr id="49165" name="Shape 49165"/>
                        <wps:cNvSpPr/>
                        <wps:spPr>
                          <a:xfrm>
                            <a:off x="0" y="0"/>
                            <a:ext cx="5594036" cy="20234"/>
                          </a:xfrm>
                          <a:custGeom>
                            <a:avLst/>
                            <a:gdLst/>
                            <a:ahLst/>
                            <a:cxnLst/>
                            <a:rect l="0" t="0" r="0" b="0"/>
                            <a:pathLst>
                              <a:path w="5594036" h="20234">
                                <a:moveTo>
                                  <a:pt x="0" y="10117"/>
                                </a:moveTo>
                                <a:lnTo>
                                  <a:pt x="5594036" y="10117"/>
                                </a:lnTo>
                              </a:path>
                            </a:pathLst>
                          </a:custGeom>
                          <a:ln w="202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9166" style="width:440.475pt;height:1.5932pt;mso-position-horizontal-relative:char;mso-position-vertical-relative:line" coordsize="55940,202">
                <v:shape id="Shape 49165" style="position:absolute;width:55940;height:202;left:0;top:0;" coordsize="5594036,20234" path="m0,10117l5594036,10117">
                  <v:stroke weight="1.5932pt" endcap="flat" joinstyle="miter" miterlimit="1" on="true" color="#000000"/>
                  <v:fill on="false" color="#000000"/>
                </v:shape>
              </v:group>
            </w:pict>
          </mc:Fallback>
        </mc:AlternateContent>
      </w:r>
    </w:p>
    <w:p w14:paraId="1ECEA403" w14:textId="77777777" w:rsidR="00C5589D" w:rsidRDefault="00000000">
      <w:pPr>
        <w:spacing w:after="449" w:line="216" w:lineRule="auto"/>
        <w:ind w:left="919" w:right="345" w:hanging="196"/>
        <w:jc w:val="left"/>
      </w:pPr>
      <w:r>
        <w:rPr>
          <w:sz w:val="44"/>
        </w:rPr>
        <w:t>中国人民银行关于加强银行业金融机构人民币同业银行结算账户管理的通知</w:t>
      </w:r>
    </w:p>
    <w:p w14:paraId="7876BA6A" w14:textId="77777777" w:rsidR="00C5589D" w:rsidRDefault="00000000">
      <w:pPr>
        <w:ind w:left="1" w:right="12" w:firstLine="37"/>
      </w:pPr>
      <w:r>
        <w:t>中国人民银行上海总部，各分行、营业管理部，各省会（首府）城市中心支行，深圳市中心支行；国家开发银行，各政策性银行、国有商业银行、股份制商业银行，中国邮政储蓄银行：</w:t>
      </w:r>
    </w:p>
    <w:p w14:paraId="7DDA5E9A" w14:textId="77777777" w:rsidR="00C5589D" w:rsidRDefault="00000000">
      <w:pPr>
        <w:ind w:left="1" w:right="12" w:firstLine="632"/>
      </w:pPr>
      <w:r>
        <w:t>为加强银行业金融机构人民币同业银行结算账户（以下简称同业银行结算账户）管理，切实防范金融风险，现就有关事项通知如下</w:t>
      </w:r>
      <w:r>
        <w:rPr>
          <w:noProof/>
        </w:rPr>
        <w:drawing>
          <wp:inline distT="0" distB="0" distL="0" distR="0" wp14:anchorId="72716433" wp14:editId="031DF6EF">
            <wp:extent cx="26975" cy="94423"/>
            <wp:effectExtent l="0" t="0" r="0" b="0"/>
            <wp:docPr id="49163" name="Picture 49163"/>
            <wp:cNvGraphicFramePr/>
            <a:graphic xmlns:a="http://schemas.openxmlformats.org/drawingml/2006/main">
              <a:graphicData uri="http://schemas.openxmlformats.org/drawingml/2006/picture">
                <pic:pic xmlns:pic="http://schemas.openxmlformats.org/drawingml/2006/picture">
                  <pic:nvPicPr>
                    <pic:cNvPr id="49163" name="Picture 49163"/>
                    <pic:cNvPicPr/>
                  </pic:nvPicPr>
                  <pic:blipFill>
                    <a:blip r:embed="rId7"/>
                    <a:stretch>
                      <a:fillRect/>
                    </a:stretch>
                  </pic:blipFill>
                  <pic:spPr>
                    <a:xfrm>
                      <a:off x="0" y="0"/>
                      <a:ext cx="26975" cy="94423"/>
                    </a:xfrm>
                    <a:prstGeom prst="rect">
                      <a:avLst/>
                    </a:prstGeom>
                  </pic:spPr>
                </pic:pic>
              </a:graphicData>
            </a:graphic>
          </wp:inline>
        </w:drawing>
      </w:r>
    </w:p>
    <w:p w14:paraId="3D6C41F1" w14:textId="77777777" w:rsidR="00C5589D" w:rsidRDefault="00000000">
      <w:pPr>
        <w:spacing w:line="265" w:lineRule="auto"/>
        <w:ind w:left="653" w:right="17" w:hanging="10"/>
      </w:pPr>
      <w:r>
        <w:rPr>
          <w:noProof/>
        </w:rPr>
        <w:drawing>
          <wp:inline distT="0" distB="0" distL="0" distR="0" wp14:anchorId="2F96F2C9" wp14:editId="4CECD932">
            <wp:extent cx="175340" cy="20233"/>
            <wp:effectExtent l="0" t="0" r="0" b="0"/>
            <wp:docPr id="4078" name="Picture 4078"/>
            <wp:cNvGraphicFramePr/>
            <a:graphic xmlns:a="http://schemas.openxmlformats.org/drawingml/2006/main">
              <a:graphicData uri="http://schemas.openxmlformats.org/drawingml/2006/picture">
                <pic:pic xmlns:pic="http://schemas.openxmlformats.org/drawingml/2006/picture">
                  <pic:nvPicPr>
                    <pic:cNvPr id="4078" name="Picture 4078"/>
                    <pic:cNvPicPr/>
                  </pic:nvPicPr>
                  <pic:blipFill>
                    <a:blip r:embed="rId8"/>
                    <a:stretch>
                      <a:fillRect/>
                    </a:stretch>
                  </pic:blipFill>
                  <pic:spPr>
                    <a:xfrm>
                      <a:off x="0" y="0"/>
                      <a:ext cx="175340" cy="20233"/>
                    </a:xfrm>
                    <a:prstGeom prst="rect">
                      <a:avLst/>
                    </a:prstGeom>
                  </pic:spPr>
                </pic:pic>
              </a:graphicData>
            </a:graphic>
          </wp:inline>
        </w:drawing>
      </w:r>
      <w:r>
        <w:rPr>
          <w:sz w:val="30"/>
        </w:rPr>
        <w:t xml:space="preserve"> 、严格同业银行结算账户开立管理</w:t>
      </w:r>
    </w:p>
    <w:p w14:paraId="7D2A8819" w14:textId="77777777" w:rsidR="00C5589D" w:rsidRDefault="00000000">
      <w:pPr>
        <w:numPr>
          <w:ilvl w:val="0"/>
          <w:numId w:val="1"/>
        </w:numPr>
        <w:ind w:right="12"/>
      </w:pPr>
      <w:r>
        <w:lastRenderedPageBreak/>
        <w:t>本通知规范的同业银行结算账户是指银行业金融机构（以下简称银行）为境内其他银行开立的、与本银行或者第三方发生资金划转的人民币银行存款账户。</w:t>
      </w:r>
    </w:p>
    <w:p w14:paraId="63B42735" w14:textId="77777777" w:rsidR="00C5589D" w:rsidRDefault="00000000">
      <w:pPr>
        <w:ind w:left="1" w:right="12" w:firstLine="664"/>
      </w:pPr>
      <w:r>
        <w:t>同业银行结算账户按照用途分为结算性和投融资性两类。结算性同业银行结算账户是指用于代理现金解缴、代理支付结算等支付结算业务的账户；投融资性同业银行结算账户是指用于同业存款（结算性存款除外）、同业借款、买入返售（卖出回购）、同业投资等融资和投资业务的账户。</w:t>
      </w:r>
    </w:p>
    <w:p w14:paraId="11510D79" w14:textId="77777777" w:rsidR="00C5589D" w:rsidRDefault="00000000">
      <w:pPr>
        <w:numPr>
          <w:ilvl w:val="0"/>
          <w:numId w:val="1"/>
        </w:numPr>
        <w:ind w:right="12"/>
      </w:pPr>
      <w:r>
        <w:t>同业银行结算账户应当严格按照《人民币银行结算账户管理办法》（中国人民银行令〔2003〕第5号发布）等银行结算账户制度管理。除开</w:t>
      </w:r>
      <w:proofErr w:type="gramStart"/>
      <w:r>
        <w:t>立基本</w:t>
      </w:r>
      <w:proofErr w:type="gramEnd"/>
      <w:r>
        <w:t>存款账户外，其他账户一律按照专用存款账户开立，有异地开立专用存款账户需要的，可以异地开立。</w:t>
      </w:r>
    </w:p>
    <w:p w14:paraId="6D7EA00A" w14:textId="77777777" w:rsidR="00C5589D" w:rsidRDefault="00000000">
      <w:pPr>
        <w:numPr>
          <w:ilvl w:val="0"/>
          <w:numId w:val="1"/>
        </w:numPr>
        <w:spacing w:after="132"/>
        <w:ind w:right="12"/>
      </w:pPr>
      <w:r>
        <w:t>存款银行分支机构在开户银行（其他银行）开立同业银行结算账户应当逐户获得本银行一级法人的内部书面授权。存款银行一级法人应当以正式发文形式进行授权，明确分支机构开立同业银行结算账户的开户银行、账户名称、用途以及经办人员等。存款银行为全国性银行，因分支机构数量较多等特殊情况直接授权确有困难的，可以授权一级分行授权，但一级分行应在同业银行结算账户开户前将有关情况报告一级法人</w:t>
      </w:r>
      <w:r>
        <w:rPr>
          <w:noProof/>
        </w:rPr>
        <w:drawing>
          <wp:inline distT="0" distB="0" distL="0" distR="0" wp14:anchorId="35552B48" wp14:editId="1F6A3403">
            <wp:extent cx="37092" cy="33723"/>
            <wp:effectExtent l="0" t="0" r="0" b="0"/>
            <wp:docPr id="4079" name="Picture 4079"/>
            <wp:cNvGraphicFramePr/>
            <a:graphic xmlns:a="http://schemas.openxmlformats.org/drawingml/2006/main">
              <a:graphicData uri="http://schemas.openxmlformats.org/drawingml/2006/picture">
                <pic:pic xmlns:pic="http://schemas.openxmlformats.org/drawingml/2006/picture">
                  <pic:nvPicPr>
                    <pic:cNvPr id="4079" name="Picture 4079"/>
                    <pic:cNvPicPr/>
                  </pic:nvPicPr>
                  <pic:blipFill>
                    <a:blip r:embed="rId9"/>
                    <a:stretch>
                      <a:fillRect/>
                    </a:stretch>
                  </pic:blipFill>
                  <pic:spPr>
                    <a:xfrm>
                      <a:off x="0" y="0"/>
                      <a:ext cx="37092" cy="33723"/>
                    </a:xfrm>
                    <a:prstGeom prst="rect">
                      <a:avLst/>
                    </a:prstGeom>
                  </pic:spPr>
                </pic:pic>
              </a:graphicData>
            </a:graphic>
          </wp:inline>
        </w:drawing>
      </w:r>
    </w:p>
    <w:p w14:paraId="2DCE8B9B" w14:textId="77777777" w:rsidR="00C5589D" w:rsidRDefault="00000000">
      <w:pPr>
        <w:numPr>
          <w:ilvl w:val="0"/>
          <w:numId w:val="1"/>
        </w:numPr>
        <w:ind w:right="12"/>
      </w:pPr>
      <w:r>
        <w:t>投融资性同业银行结算账户原则上应当由存款银行一</w:t>
      </w:r>
    </w:p>
    <w:p w14:paraId="67CE8968" w14:textId="77777777" w:rsidR="00C5589D" w:rsidRDefault="00000000">
      <w:pPr>
        <w:spacing w:after="34"/>
        <w:ind w:left="1" w:right="12" w:firstLine="21"/>
      </w:pPr>
      <w:r>
        <w:t>级法人和一级分行开立，二级分行确有开立需要的，应当由一级法人进行授权，不得转由一级分行授权。存款银行支行及以下分支机构不得开立投融资性同业银行结算账户，不得异地开立同业银行结算账户。</w:t>
      </w:r>
    </w:p>
    <w:p w14:paraId="797A3B49" w14:textId="77777777" w:rsidR="00C5589D" w:rsidRDefault="00000000">
      <w:pPr>
        <w:ind w:left="1" w:right="12" w:firstLine="637"/>
      </w:pPr>
      <w:r>
        <w:lastRenderedPageBreak/>
        <w:t>开户银行为存款银行开立投融资性同业银行结算账户的，应当为开户银行二级分行及以上营业机构。支行及以下分支机构不得作为投融资性同业银行结算账户的开户银行，也不得为异地（跨县市）存款银行开立同业银行结算账户。</w:t>
      </w:r>
    </w:p>
    <w:p w14:paraId="61415DEC" w14:textId="77777777" w:rsidR="00C5589D" w:rsidRDefault="00000000">
      <w:pPr>
        <w:numPr>
          <w:ilvl w:val="0"/>
          <w:numId w:val="1"/>
        </w:numPr>
        <w:ind w:right="12"/>
      </w:pPr>
      <w:r>
        <w:t>存款银行申请开立同业银行结算账户时，除按照《人民币银行结算账户管理办法》等银行账户制度规定出具有关开户证明文件外，还应当出具银行业监督管理部门颁发的金融许可证和经营范围批准文件；非一级法人开户的，还应当出具一级法人（或者一级分行）授权书原件。开户银行应当进行审查，对开立同业银行结算账户用途超越经营范围的，应当拒绝办理。</w:t>
      </w:r>
    </w:p>
    <w:p w14:paraId="23BD110F" w14:textId="77777777" w:rsidR="00C5589D" w:rsidRDefault="00000000">
      <w:pPr>
        <w:numPr>
          <w:ilvl w:val="0"/>
          <w:numId w:val="1"/>
        </w:numPr>
        <w:spacing w:after="27"/>
        <w:ind w:right="12"/>
      </w:pPr>
      <w:r>
        <w:t>开户银行应当提高对同业开户的审核要求，采取多种措施对开户证明文件的真实性、完整性和合</w:t>
      </w:r>
      <w:proofErr w:type="gramStart"/>
      <w:r>
        <w:t>规</w:t>
      </w:r>
      <w:proofErr w:type="gramEnd"/>
      <w:r>
        <w:t>性以及存款银行开户意愿真实性进行审核。</w:t>
      </w:r>
    </w:p>
    <w:p w14:paraId="27443CA0" w14:textId="77777777" w:rsidR="00C5589D" w:rsidRDefault="00000000">
      <w:pPr>
        <w:spacing w:after="33" w:line="265" w:lineRule="auto"/>
        <w:ind w:left="12" w:right="17" w:firstLine="648"/>
      </w:pPr>
      <w:r>
        <w:rPr>
          <w:sz w:val="30"/>
        </w:rPr>
        <w:t>1.执行同一银行分支机构首次</w:t>
      </w:r>
      <w:proofErr w:type="gramStart"/>
      <w:r>
        <w:rPr>
          <w:sz w:val="30"/>
        </w:rPr>
        <w:t>开户面签制度</w:t>
      </w:r>
      <w:proofErr w:type="gramEnd"/>
      <w:r>
        <w:rPr>
          <w:sz w:val="30"/>
        </w:rPr>
        <w:t>，由开户银行两名以上工作人员共同亲见存款银行法定代表人（单位负责人</w:t>
      </w:r>
      <w:r>
        <w:rPr>
          <w:noProof/>
        </w:rPr>
        <w:drawing>
          <wp:inline distT="0" distB="0" distL="0" distR="0" wp14:anchorId="485A1C2C" wp14:editId="43F7AFF5">
            <wp:extent cx="333821" cy="192219"/>
            <wp:effectExtent l="0" t="0" r="0" b="0"/>
            <wp:docPr id="49168" name="Picture 49168"/>
            <wp:cNvGraphicFramePr/>
            <a:graphic xmlns:a="http://schemas.openxmlformats.org/drawingml/2006/main">
              <a:graphicData uri="http://schemas.openxmlformats.org/drawingml/2006/picture">
                <pic:pic xmlns:pic="http://schemas.openxmlformats.org/drawingml/2006/picture">
                  <pic:nvPicPr>
                    <pic:cNvPr id="49168" name="Picture 49168"/>
                    <pic:cNvPicPr/>
                  </pic:nvPicPr>
                  <pic:blipFill>
                    <a:blip r:embed="rId10"/>
                    <a:stretch>
                      <a:fillRect/>
                    </a:stretch>
                  </pic:blipFill>
                  <pic:spPr>
                    <a:xfrm>
                      <a:off x="0" y="0"/>
                      <a:ext cx="333821" cy="192219"/>
                    </a:xfrm>
                    <a:prstGeom prst="rect">
                      <a:avLst/>
                    </a:prstGeom>
                  </pic:spPr>
                </pic:pic>
              </a:graphicData>
            </a:graphic>
          </wp:inline>
        </w:drawing>
      </w:r>
      <w:r>
        <w:rPr>
          <w:sz w:val="30"/>
        </w:rPr>
        <w:t>开户申请书和银行账户管理协议上签名确认。</w:t>
      </w:r>
    </w:p>
    <w:p w14:paraId="7FD6873C" w14:textId="77777777" w:rsidR="00C5589D" w:rsidRDefault="00000000">
      <w:pPr>
        <w:numPr>
          <w:ilvl w:val="0"/>
          <w:numId w:val="2"/>
        </w:numPr>
        <w:ind w:right="17" w:firstLine="632"/>
      </w:pPr>
      <w:r>
        <w:t>·严格执行开户证明文件原件的审核要求，不得以审核复印</w:t>
      </w:r>
    </w:p>
    <w:p w14:paraId="640F0314" w14:textId="77777777" w:rsidR="00C5589D" w:rsidRDefault="00000000">
      <w:pPr>
        <w:ind w:left="1" w:right="12" w:firstLine="0"/>
      </w:pPr>
      <w:r>
        <w:t>件或影印件代替，必须采取双人复核制度。</w:t>
      </w:r>
    </w:p>
    <w:p w14:paraId="2EF600E4" w14:textId="77777777" w:rsidR="00C5589D" w:rsidRDefault="00000000">
      <w:pPr>
        <w:numPr>
          <w:ilvl w:val="0"/>
          <w:numId w:val="2"/>
        </w:numPr>
        <w:spacing w:line="265" w:lineRule="auto"/>
        <w:ind w:right="17" w:firstLine="632"/>
      </w:pPr>
      <w:r>
        <w:rPr>
          <w:sz w:val="30"/>
        </w:rPr>
        <w:t>·认真审查法定代表人（单位负责人）身份证件的真伪，其中居民身份证应当通过联网核查公民身份信息系统核实，其他身份证件通过向公安机关查询等方式进一步核实。有条件的地区，通过工</w:t>
      </w:r>
      <w:r>
        <w:rPr>
          <w:sz w:val="30"/>
        </w:rPr>
        <w:lastRenderedPageBreak/>
        <w:t>商、税务和银行业监督管理部门的政府信息公开网站查询营业执照、税务登记证件和金融许可证的有效性。</w:t>
      </w:r>
    </w:p>
    <w:p w14:paraId="2E8CF083" w14:textId="77777777" w:rsidR="00C5589D" w:rsidRDefault="00000000">
      <w:pPr>
        <w:numPr>
          <w:ilvl w:val="0"/>
          <w:numId w:val="2"/>
        </w:numPr>
        <w:spacing w:after="111" w:line="220" w:lineRule="auto"/>
        <w:ind w:right="17" w:firstLine="632"/>
      </w:pPr>
      <w:r>
        <w:t>·至少采取下列2种方式对存款银行开户意愿的真实性进行核实：一是通过大额支付系统向存款银行一级法人进行核实（查询查复方法见附件1）；二是到存款银行上门核实或者通过本银行在异地的分支机构上门核实。</w:t>
      </w:r>
    </w:p>
    <w:p w14:paraId="6FF3A894" w14:textId="77777777" w:rsidR="00C5589D" w:rsidRDefault="00000000">
      <w:pPr>
        <w:numPr>
          <w:ilvl w:val="0"/>
          <w:numId w:val="2"/>
        </w:numPr>
        <w:spacing w:after="40" w:line="265" w:lineRule="auto"/>
        <w:ind w:right="17" w:firstLine="632"/>
      </w:pPr>
      <w:r>
        <w:rPr>
          <w:sz w:val="30"/>
        </w:rPr>
        <w:t>·对账地址（联系地址）应当为存款银行经营所在地或者工商注册地的地址。</w:t>
      </w:r>
    </w:p>
    <w:p w14:paraId="7197318B" w14:textId="77777777" w:rsidR="00C5589D" w:rsidRDefault="00000000">
      <w:pPr>
        <w:numPr>
          <w:ilvl w:val="0"/>
          <w:numId w:val="2"/>
        </w:numPr>
        <w:ind w:right="17" w:firstLine="632"/>
      </w:pPr>
      <w:r>
        <w:t>·完整留存对开户意愿和开户证明文件真实性核实的纸质、视频、电话等记录。</w:t>
      </w:r>
    </w:p>
    <w:p w14:paraId="5054A465" w14:textId="77777777" w:rsidR="00C5589D" w:rsidRDefault="00000000">
      <w:pPr>
        <w:ind w:left="1" w:right="12"/>
      </w:pPr>
      <w:r>
        <w:t>（七）开户银行应当按照规定将同业银行结算账户开户信息向人民币银行结算账户管理系统备案。</w:t>
      </w:r>
    </w:p>
    <w:p w14:paraId="5A339D1E" w14:textId="77777777" w:rsidR="00C5589D" w:rsidRDefault="00000000">
      <w:pPr>
        <w:spacing w:line="265" w:lineRule="auto"/>
        <w:ind w:left="653" w:right="17" w:hanging="10"/>
      </w:pPr>
      <w:r>
        <w:rPr>
          <w:noProof/>
        </w:rPr>
        <w:drawing>
          <wp:inline distT="0" distB="0" distL="0" distR="0" wp14:anchorId="10261A08" wp14:editId="20C15816">
            <wp:extent cx="175340" cy="128146"/>
            <wp:effectExtent l="0" t="0" r="0" b="0"/>
            <wp:docPr id="49171" name="Picture 49171"/>
            <wp:cNvGraphicFramePr/>
            <a:graphic xmlns:a="http://schemas.openxmlformats.org/drawingml/2006/main">
              <a:graphicData uri="http://schemas.openxmlformats.org/drawingml/2006/picture">
                <pic:pic xmlns:pic="http://schemas.openxmlformats.org/drawingml/2006/picture">
                  <pic:nvPicPr>
                    <pic:cNvPr id="49171" name="Picture 49171"/>
                    <pic:cNvPicPr/>
                  </pic:nvPicPr>
                  <pic:blipFill>
                    <a:blip r:embed="rId11"/>
                    <a:stretch>
                      <a:fillRect/>
                    </a:stretch>
                  </pic:blipFill>
                  <pic:spPr>
                    <a:xfrm>
                      <a:off x="0" y="0"/>
                      <a:ext cx="175340" cy="128146"/>
                    </a:xfrm>
                    <a:prstGeom prst="rect">
                      <a:avLst/>
                    </a:prstGeom>
                  </pic:spPr>
                </pic:pic>
              </a:graphicData>
            </a:graphic>
          </wp:inline>
        </w:drawing>
      </w:r>
      <w:r>
        <w:rPr>
          <w:sz w:val="30"/>
        </w:rPr>
        <w:t>、切实落实同业银行结算账户日常管理</w:t>
      </w:r>
    </w:p>
    <w:p w14:paraId="091F6D5B" w14:textId="77777777" w:rsidR="00C5589D" w:rsidRDefault="00000000">
      <w:pPr>
        <w:numPr>
          <w:ilvl w:val="0"/>
          <w:numId w:val="3"/>
        </w:numPr>
        <w:spacing w:after="587" w:line="257" w:lineRule="auto"/>
        <w:ind w:right="12"/>
      </w:pPr>
      <w:r>
        <w:rPr>
          <w:sz w:val="30"/>
        </w:rPr>
        <w:t>存款银行应当根据本通知规定和账户管理协议的约定使用同业银行结算账户，不得违规和超范围使用同业银行结算账</w:t>
      </w:r>
    </w:p>
    <w:p w14:paraId="15B2ED4A" w14:textId="77777777" w:rsidR="00C5589D" w:rsidRDefault="00000000">
      <w:pPr>
        <w:numPr>
          <w:ilvl w:val="0"/>
          <w:numId w:val="3"/>
        </w:numPr>
        <w:ind w:right="12"/>
      </w:pPr>
      <w:r>
        <w:t>开户银行应当严格执行开户生效日制度，同业银行结</w:t>
      </w:r>
    </w:p>
    <w:p w14:paraId="0C45F053" w14:textId="77777777" w:rsidR="00C5589D" w:rsidRDefault="00000000">
      <w:pPr>
        <w:spacing w:after="36"/>
        <w:ind w:left="1" w:right="12" w:firstLine="0"/>
      </w:pPr>
      <w:r>
        <w:t>算账户自正式开立之日起3个工作日后方可办理付款业务。</w:t>
      </w:r>
    </w:p>
    <w:p w14:paraId="72215BB8" w14:textId="77777777" w:rsidR="00C5589D" w:rsidRDefault="00000000">
      <w:pPr>
        <w:numPr>
          <w:ilvl w:val="0"/>
          <w:numId w:val="3"/>
        </w:numPr>
        <w:spacing w:after="32"/>
        <w:ind w:right="12"/>
      </w:pPr>
      <w:r>
        <w:t>开户银行应当按照规定与存款银行及时对账。存款银行收到对账单或者对账信息后，应当及时核对账务并在规定期限内反馈。</w:t>
      </w:r>
    </w:p>
    <w:p w14:paraId="04C88B32" w14:textId="77777777" w:rsidR="00C5589D" w:rsidRDefault="00000000">
      <w:pPr>
        <w:numPr>
          <w:ilvl w:val="0"/>
          <w:numId w:val="3"/>
        </w:numPr>
        <w:ind w:right="12"/>
      </w:pPr>
      <w:r>
        <w:t>开户银行应当严格执行久</w:t>
      </w:r>
      <w:proofErr w:type="gramStart"/>
      <w:r>
        <w:t>悬管理</w:t>
      </w:r>
      <w:proofErr w:type="gramEnd"/>
      <w:r>
        <w:t>制度。因业务开展需要等特殊情况的，开户银行可以不予撤销久悬账户，但应当停止账户支付；停止支付时间超过5年的，应当销户。</w:t>
      </w:r>
    </w:p>
    <w:p w14:paraId="1C90BFA1" w14:textId="77777777" w:rsidR="00C5589D" w:rsidRDefault="00000000">
      <w:pPr>
        <w:numPr>
          <w:ilvl w:val="0"/>
          <w:numId w:val="3"/>
        </w:numPr>
        <w:ind w:right="12"/>
      </w:pPr>
      <w:r>
        <w:lastRenderedPageBreak/>
        <w:t>开户银行应当严格执行年检制度。对于不符合开立条件的，应当立即停止支付，并通知存款银行办理销户手续。</w:t>
      </w:r>
    </w:p>
    <w:p w14:paraId="78143B62" w14:textId="77777777" w:rsidR="00C5589D" w:rsidRDefault="00000000">
      <w:pPr>
        <w:numPr>
          <w:ilvl w:val="0"/>
          <w:numId w:val="3"/>
        </w:numPr>
        <w:ind w:right="12"/>
      </w:pPr>
      <w:r>
        <w:t>开户银行应当加强对同业银行结算账户使用情况的监测，对账户使用存在可疑情形的，应当及时联系存款银行进行核实，并在2个工作日内向人民银行当地分支机构报告。</w:t>
      </w:r>
    </w:p>
    <w:p w14:paraId="3B370BC6" w14:textId="77777777" w:rsidR="00C5589D" w:rsidRDefault="00000000">
      <w:pPr>
        <w:spacing w:line="265" w:lineRule="auto"/>
        <w:ind w:left="653" w:right="17" w:hanging="10"/>
      </w:pPr>
      <w:r>
        <w:rPr>
          <w:noProof/>
        </w:rPr>
        <w:drawing>
          <wp:inline distT="0" distB="0" distL="0" distR="0" wp14:anchorId="345CF9CB" wp14:editId="6DE7A441">
            <wp:extent cx="175340" cy="148379"/>
            <wp:effectExtent l="0" t="0" r="0" b="0"/>
            <wp:docPr id="49174" name="Picture 49174"/>
            <wp:cNvGraphicFramePr/>
            <a:graphic xmlns:a="http://schemas.openxmlformats.org/drawingml/2006/main">
              <a:graphicData uri="http://schemas.openxmlformats.org/drawingml/2006/picture">
                <pic:pic xmlns:pic="http://schemas.openxmlformats.org/drawingml/2006/picture">
                  <pic:nvPicPr>
                    <pic:cNvPr id="49174" name="Picture 49174"/>
                    <pic:cNvPicPr/>
                  </pic:nvPicPr>
                  <pic:blipFill>
                    <a:blip r:embed="rId12"/>
                    <a:stretch>
                      <a:fillRect/>
                    </a:stretch>
                  </pic:blipFill>
                  <pic:spPr>
                    <a:xfrm>
                      <a:off x="0" y="0"/>
                      <a:ext cx="175340" cy="148379"/>
                    </a:xfrm>
                    <a:prstGeom prst="rect">
                      <a:avLst/>
                    </a:prstGeom>
                  </pic:spPr>
                </pic:pic>
              </a:graphicData>
            </a:graphic>
          </wp:inline>
        </w:drawing>
      </w:r>
      <w:r>
        <w:rPr>
          <w:sz w:val="30"/>
        </w:rPr>
        <w:t>、建立同业银行结算账户专项管理制度</w:t>
      </w:r>
    </w:p>
    <w:p w14:paraId="49CB776E" w14:textId="77777777" w:rsidR="00C5589D" w:rsidRDefault="00000000">
      <w:pPr>
        <w:spacing w:line="265" w:lineRule="auto"/>
        <w:ind w:left="12" w:right="17" w:firstLine="632"/>
      </w:pPr>
      <w:r>
        <w:rPr>
          <w:sz w:val="30"/>
        </w:rPr>
        <w:t>各银行应当根据本通知要求制定本银行及分支机构在其他银行开立同业银行结算账户的专项管理制度，加强对同业业务的集中管理：</w:t>
      </w:r>
    </w:p>
    <w:p w14:paraId="1DB1A243" w14:textId="77777777" w:rsidR="00C5589D" w:rsidRDefault="00000000">
      <w:pPr>
        <w:numPr>
          <w:ilvl w:val="0"/>
          <w:numId w:val="4"/>
        </w:numPr>
        <w:spacing w:after="113"/>
        <w:ind w:right="14"/>
      </w:pPr>
      <w:r>
        <w:t>建立健全同业银行结算账户开立内部授权制度。银行一级法人要全面及时掌握本银行所有分支机构在其他银行开立同业银行结算账户情况，确保所有账户符合本银行管理规定并经过有效的内部授权或者审批流程；明确本银行同业银行结算账户管理牵头部门，细化分支机构申请开立同业银行结算账户以及一级法人授权的流程；同业银行结算账户的开户审批和经办应当由相关管理部门共同办理，杜绝一个部门或者一个人“一手清"；一级法人转由一级分行授权开户的，应当明确一级分行授权内容和上报规定；对其他银行通过大额支付系统发出的查询开户请求要及时回复。</w:t>
      </w:r>
    </w:p>
    <w:p w14:paraId="42AA9C03" w14:textId="2385D2AB" w:rsidR="00C5589D" w:rsidRDefault="00000000">
      <w:pPr>
        <w:numPr>
          <w:ilvl w:val="0"/>
          <w:numId w:val="4"/>
        </w:numPr>
        <w:spacing w:line="265" w:lineRule="auto"/>
        <w:ind w:right="14"/>
      </w:pPr>
      <w:r>
        <w:rPr>
          <w:sz w:val="30"/>
        </w:rPr>
        <w:t>严格同业业务的分级办理制度。严格执行同业业务的分级办理制度，从严掌握尺度，尽可能提高投融资性和异地同业银行结算账户的开户层级；规范同业银行结算账户的开立、使用、变更和撤销内部管理，及时与开户银行对账，及时撤销不再使用的</w:t>
      </w:r>
      <w:r>
        <w:rPr>
          <w:sz w:val="30"/>
        </w:rPr>
        <w:lastRenderedPageBreak/>
        <w:t>同业银行结算账户；一级法人定期对分支机构在其他银行开立的同业银行结算账户进行</w:t>
      </w:r>
      <w:r w:rsidR="004053E7">
        <w:rPr>
          <w:rFonts w:hint="eastAsia"/>
          <w:sz w:val="30"/>
        </w:rPr>
        <w:t>抽</w:t>
      </w:r>
      <w:r>
        <w:rPr>
          <w:sz w:val="30"/>
        </w:rPr>
        <w:t>查；农村信用社、村镇银行等县级法人金融机构开立同业银行结算账户，其所属省级农村信用联社或者村镇银行发起</w:t>
      </w:r>
      <w:proofErr w:type="gramStart"/>
      <w:r>
        <w:rPr>
          <w:sz w:val="30"/>
        </w:rPr>
        <w:t>行应当</w:t>
      </w:r>
      <w:proofErr w:type="gramEnd"/>
      <w:r>
        <w:rPr>
          <w:sz w:val="30"/>
        </w:rPr>
        <w:t>加强业务指导。</w:t>
      </w:r>
    </w:p>
    <w:p w14:paraId="262FF75B" w14:textId="77777777" w:rsidR="00C5589D" w:rsidRDefault="00000000">
      <w:pPr>
        <w:numPr>
          <w:ilvl w:val="0"/>
          <w:numId w:val="4"/>
        </w:numPr>
        <w:ind w:right="14"/>
      </w:pPr>
      <w:r>
        <w:t>加强同业银行结算账户的预警监测。一级法人至少每季度通过人民币银行结算账户管理系统获取分支机构在其他银行的开户情况（或者由一级分行</w:t>
      </w:r>
      <w:proofErr w:type="gramStart"/>
      <w:r>
        <w:t>查询全</w:t>
      </w:r>
      <w:proofErr w:type="gramEnd"/>
      <w:r>
        <w:t>辖开户情况向一级法人报告）；鼓励银行一级法人之间建立核对机制，每季度互相提供对方在本银行开立和使用同业银行结算账户的情况。对于发现的异常开立的同业银行结算账户，应当及时通知开户银行予以撤销，确属冒名开立的，及时向开户银行所在地人民银行分支机构报告并向公安机关报案；对于分支机构违规开立的同业银行结算账户，</w:t>
      </w:r>
    </w:p>
    <w:p w14:paraId="193136DA" w14:textId="77777777" w:rsidR="00C5589D" w:rsidRDefault="00000000">
      <w:pPr>
        <w:spacing w:after="580" w:line="265" w:lineRule="auto"/>
        <w:ind w:left="22" w:right="17" w:hanging="10"/>
      </w:pPr>
      <w:r>
        <w:rPr>
          <w:sz w:val="30"/>
        </w:rPr>
        <w:t>应当对分支机构及其上级管理机构的主要负责人和相关人员进行</w:t>
      </w:r>
    </w:p>
    <w:p w14:paraId="1012060A" w14:textId="77777777" w:rsidR="00C5589D" w:rsidRDefault="00000000">
      <w:pPr>
        <w:numPr>
          <w:ilvl w:val="0"/>
          <w:numId w:val="4"/>
        </w:numPr>
        <w:spacing w:line="265" w:lineRule="auto"/>
        <w:ind w:right="14"/>
      </w:pPr>
      <w:r>
        <w:rPr>
          <w:sz w:val="30"/>
        </w:rPr>
        <w:t>强化银行内控管理。各银行及其分支机构应当规范营业执照、税务登记证、金融许可证和基本存款账户开户许可证等证明文件及其复印件、影印件和行政公章、预留签章的保管；加强员工教育，及时组织学习各类风险提示和相关违规违纪行为通报，严守操作风险和道德风险底线。</w:t>
      </w:r>
    </w:p>
    <w:p w14:paraId="1E7E73FE" w14:textId="77777777" w:rsidR="00C5589D" w:rsidRDefault="00000000">
      <w:pPr>
        <w:spacing w:line="265" w:lineRule="auto"/>
        <w:ind w:left="668" w:right="17" w:hanging="10"/>
      </w:pPr>
      <w:r>
        <w:rPr>
          <w:sz w:val="30"/>
        </w:rPr>
        <w:t>四、对存量同业银行结算账户进行清理核实</w:t>
      </w:r>
    </w:p>
    <w:p w14:paraId="7434A040" w14:textId="77777777" w:rsidR="00C5589D" w:rsidRDefault="00000000">
      <w:pPr>
        <w:numPr>
          <w:ilvl w:val="0"/>
          <w:numId w:val="5"/>
        </w:numPr>
        <w:spacing w:after="53"/>
        <w:ind w:right="12"/>
      </w:pPr>
      <w:r>
        <w:t>各开户银行应当对2 014年5月31日前为其他银行开立的存量同业银行结算账户的开户真实性进行全面自查，逐户与存款银</w:t>
      </w:r>
      <w:r>
        <w:lastRenderedPageBreak/>
        <w:t>行进行核实并核对账户使用情况（本通知印发之日前已按照一般存款账户开立的，不需变更为专用存款账户）。对于不符合开立要求的，应当及时停止支付，并通知存款银行销户；对于涉嫌伪造变造开户证明文件、印章开户的，应当按照《中国人民银行关于规范人民币银行结算账户管理有关问题的通知》（银发〔2 0 0 6〕7 1号）的规定处理；对于存在违规使用情形的，应当及时停止业务办理。</w:t>
      </w:r>
    </w:p>
    <w:p w14:paraId="21F4B44F" w14:textId="77777777" w:rsidR="00C5589D" w:rsidRDefault="00000000">
      <w:pPr>
        <w:spacing w:line="265" w:lineRule="auto"/>
        <w:ind w:left="12" w:right="17" w:firstLine="637"/>
      </w:pPr>
      <w:r>
        <w:rPr>
          <w:sz w:val="30"/>
        </w:rPr>
        <w:t>2014年9月30日前，全国性银行将自查报告报送至人民银行总行；地方性银行将自查报告报送至所在地人民银行省会（首府）城市中心支行以上分支机构，深圳市地方性银行将自查报告报送至人民银行深圳市中心支行。</w:t>
      </w:r>
    </w:p>
    <w:p w14:paraId="43B5F452" w14:textId="77777777" w:rsidR="00C5589D" w:rsidRDefault="00C5589D">
      <w:pPr>
        <w:sectPr w:rsidR="00C5589D">
          <w:footerReference w:type="even" r:id="rId13"/>
          <w:footerReference w:type="default" r:id="rId14"/>
          <w:footerReference w:type="first" r:id="rId15"/>
          <w:pgSz w:w="11900" w:h="16840"/>
          <w:pgMar w:top="2241" w:right="1535" w:bottom="2225" w:left="1545" w:header="720" w:footer="1514" w:gutter="0"/>
          <w:cols w:space="720"/>
        </w:sectPr>
      </w:pPr>
    </w:p>
    <w:p w14:paraId="366ABB6A" w14:textId="77777777" w:rsidR="00C5589D" w:rsidRDefault="00000000">
      <w:pPr>
        <w:numPr>
          <w:ilvl w:val="0"/>
          <w:numId w:val="5"/>
        </w:numPr>
        <w:ind w:right="12"/>
      </w:pPr>
      <w:proofErr w:type="gramStart"/>
      <w:r>
        <w:lastRenderedPageBreak/>
        <w:t>各存款</w:t>
      </w:r>
      <w:proofErr w:type="gramEnd"/>
      <w:r>
        <w:t>银行应当全面梳理本银行及分支机构在其他银行开立同业银行结算账户的情况，填写《人民币同业银行结算账户统计表》（附件2）；</w:t>
      </w:r>
      <w:proofErr w:type="gramStart"/>
      <w:r>
        <w:t>私极配合</w:t>
      </w:r>
      <w:proofErr w:type="gramEnd"/>
      <w:r>
        <w:t>开户银行做好存量账户核实工作；本通知印发之日前二级分行及以下分支机构已经在其他银行开立投融资性账户或者异地开户的，应当认真审核评估其合理性，除特殊情况外，应当要求分支机构办理销户。</w:t>
      </w:r>
    </w:p>
    <w:p w14:paraId="37A4B23E" w14:textId="792D991F" w:rsidR="00C5589D" w:rsidRDefault="00000000">
      <w:pPr>
        <w:ind w:left="1" w:right="12" w:firstLine="643"/>
        <w:rPr>
          <w:rFonts w:hint="eastAsia"/>
        </w:rPr>
      </w:pPr>
      <w:r>
        <w:t>2014年9月30日前，全国性银行将本银行在其他银行开立同业银行结算账户的情况报送至人民银行总行；地方性银行将本银行在其他银行开立同业银行结算账户的情况报送至所在地人民银行省会（首府）城市中心支行以上分支机构，深圳市地方性银行将自查报告报送至人民银行深圳市中心支行。2014年10月15 日前人民银行上海总部，各分行、营业管理部、省会（首府）城市中心支行，深圳市中心支行汇总辖区内情况后书面报告人民银</w:t>
      </w:r>
      <w:r w:rsidR="004053E7">
        <w:rPr>
          <w:rFonts w:hint="eastAsia"/>
        </w:rPr>
        <w:t>行总行。</w:t>
      </w:r>
    </w:p>
    <w:p w14:paraId="4E54D8B1" w14:textId="77777777" w:rsidR="00C5589D" w:rsidRDefault="00000000">
      <w:pPr>
        <w:numPr>
          <w:ilvl w:val="0"/>
          <w:numId w:val="5"/>
        </w:numPr>
        <w:ind w:right="12"/>
      </w:pPr>
      <w:r>
        <w:t>人民银行上海总部，各分行、营业管理部、省会（首府）城市中心支行，深圳市中心支行根据本通知要求将同业银行结算账户管理纳入执法检查工作。对未执行银行账户制度为不法分子开立冒名同业银行结算账户的银行，严格依法进行行政处罚。</w:t>
      </w:r>
    </w:p>
    <w:p w14:paraId="2809EEFF" w14:textId="77777777" w:rsidR="00C5589D" w:rsidRDefault="00000000">
      <w:pPr>
        <w:spacing w:after="103"/>
        <w:ind w:left="1" w:right="12" w:firstLine="632"/>
      </w:pPr>
      <w:r>
        <w:t>请人民银行上海总部，各分行、营业管理部、省会（首府）城市中心支行，深圳市中心支行将本通知转发至辖区内人民银行分支机构和城市商业银行、农村商业银行、城市信用社、农村信</w:t>
      </w:r>
    </w:p>
    <w:p w14:paraId="2022674F" w14:textId="77777777" w:rsidR="00C5589D" w:rsidRDefault="00000000">
      <w:pPr>
        <w:ind w:left="271" w:firstLine="6"/>
        <w:jc w:val="left"/>
      </w:pPr>
      <w:r>
        <w:rPr>
          <w:noProof/>
        </w:rPr>
        <w:drawing>
          <wp:inline distT="0" distB="0" distL="0" distR="0" wp14:anchorId="6A9544B3" wp14:editId="7B79873A">
            <wp:extent cx="178712" cy="6745"/>
            <wp:effectExtent l="0" t="0" r="0" b="0"/>
            <wp:docPr id="24060" name="Picture 24060"/>
            <wp:cNvGraphicFramePr/>
            <a:graphic xmlns:a="http://schemas.openxmlformats.org/drawingml/2006/main">
              <a:graphicData uri="http://schemas.openxmlformats.org/drawingml/2006/picture">
                <pic:pic xmlns:pic="http://schemas.openxmlformats.org/drawingml/2006/picture">
                  <pic:nvPicPr>
                    <pic:cNvPr id="24060" name="Picture 24060"/>
                    <pic:cNvPicPr/>
                  </pic:nvPicPr>
                  <pic:blipFill>
                    <a:blip r:embed="rId16"/>
                    <a:stretch>
                      <a:fillRect/>
                    </a:stretch>
                  </pic:blipFill>
                  <pic:spPr>
                    <a:xfrm>
                      <a:off x="0" y="0"/>
                      <a:ext cx="178712" cy="6745"/>
                    </a:xfrm>
                    <a:prstGeom prst="rect">
                      <a:avLst/>
                    </a:prstGeom>
                  </pic:spPr>
                </pic:pic>
              </a:graphicData>
            </a:graphic>
          </wp:inline>
        </w:drawing>
      </w:r>
      <w:r>
        <w:rPr>
          <w:sz w:val="26"/>
        </w:rPr>
        <w:t>8</w:t>
      </w:r>
      <w:r>
        <w:rPr>
          <w:noProof/>
        </w:rPr>
        <w:drawing>
          <wp:inline distT="0" distB="0" distL="0" distR="0" wp14:anchorId="0045B41C" wp14:editId="0D1B495A">
            <wp:extent cx="178712" cy="6745"/>
            <wp:effectExtent l="0" t="0" r="0" b="0"/>
            <wp:docPr id="24061" name="Picture 24061"/>
            <wp:cNvGraphicFramePr/>
            <a:graphic xmlns:a="http://schemas.openxmlformats.org/drawingml/2006/main">
              <a:graphicData uri="http://schemas.openxmlformats.org/drawingml/2006/picture">
                <pic:pic xmlns:pic="http://schemas.openxmlformats.org/drawingml/2006/picture">
                  <pic:nvPicPr>
                    <pic:cNvPr id="24061" name="Picture 24061"/>
                    <pic:cNvPicPr/>
                  </pic:nvPicPr>
                  <pic:blipFill>
                    <a:blip r:embed="rId16"/>
                    <a:stretch>
                      <a:fillRect/>
                    </a:stretch>
                  </pic:blipFill>
                  <pic:spPr>
                    <a:xfrm>
                      <a:off x="0" y="0"/>
                      <a:ext cx="178712" cy="6745"/>
                    </a:xfrm>
                    <a:prstGeom prst="rect">
                      <a:avLst/>
                    </a:prstGeom>
                  </pic:spPr>
                </pic:pic>
              </a:graphicData>
            </a:graphic>
          </wp:inline>
        </w:drawing>
      </w:r>
    </w:p>
    <w:p w14:paraId="62E1FDCA" w14:textId="77777777" w:rsidR="00C5589D" w:rsidRDefault="00000000">
      <w:pPr>
        <w:spacing w:after="624"/>
        <w:ind w:left="1" w:right="12" w:firstLine="0"/>
      </w:pPr>
      <w:r>
        <w:t>用社、村镇银行、外资银行等银行。</w:t>
      </w:r>
    </w:p>
    <w:p w14:paraId="12D22226" w14:textId="77777777" w:rsidR="00C5589D" w:rsidRDefault="00000000">
      <w:pPr>
        <w:spacing w:after="262" w:line="257" w:lineRule="auto"/>
        <w:ind w:left="10" w:right="218" w:hanging="10"/>
        <w:jc w:val="right"/>
      </w:pPr>
      <w:r>
        <w:rPr>
          <w:sz w:val="30"/>
        </w:rPr>
        <w:t>附件：1 .通过大额支付系统查询、查复同业开户业务处理</w:t>
      </w:r>
    </w:p>
    <w:p w14:paraId="2274D7A2" w14:textId="77777777" w:rsidR="00C5589D" w:rsidRDefault="00000000">
      <w:pPr>
        <w:ind w:left="1588" w:right="12" w:firstLine="0"/>
      </w:pPr>
      <w:r>
        <w:lastRenderedPageBreak/>
        <w:t>2 ·人民币同业银行结算账户统计表</w:t>
      </w:r>
    </w:p>
    <w:p w14:paraId="778134CB" w14:textId="77777777" w:rsidR="00C5589D" w:rsidRDefault="00000000">
      <w:pPr>
        <w:spacing w:after="0"/>
        <w:ind w:left="4774" w:firstLine="0"/>
        <w:jc w:val="left"/>
      </w:pPr>
      <w:r>
        <w:rPr>
          <w:noProof/>
        </w:rPr>
        <w:drawing>
          <wp:inline distT="0" distB="0" distL="0" distR="0" wp14:anchorId="6AD9B77E" wp14:editId="3D615506">
            <wp:extent cx="1773636" cy="1841248"/>
            <wp:effectExtent l="0" t="0" r="0" b="0"/>
            <wp:docPr id="25978" name="Picture 25978"/>
            <wp:cNvGraphicFramePr/>
            <a:graphic xmlns:a="http://schemas.openxmlformats.org/drawingml/2006/main">
              <a:graphicData uri="http://schemas.openxmlformats.org/drawingml/2006/picture">
                <pic:pic xmlns:pic="http://schemas.openxmlformats.org/drawingml/2006/picture">
                  <pic:nvPicPr>
                    <pic:cNvPr id="25978" name="Picture 25978"/>
                    <pic:cNvPicPr/>
                  </pic:nvPicPr>
                  <pic:blipFill>
                    <a:blip r:embed="rId17"/>
                    <a:stretch>
                      <a:fillRect/>
                    </a:stretch>
                  </pic:blipFill>
                  <pic:spPr>
                    <a:xfrm>
                      <a:off x="0" y="0"/>
                      <a:ext cx="1773636" cy="1841248"/>
                    </a:xfrm>
                    <a:prstGeom prst="rect">
                      <a:avLst/>
                    </a:prstGeom>
                  </pic:spPr>
                </pic:pic>
              </a:graphicData>
            </a:graphic>
          </wp:inline>
        </w:drawing>
      </w:r>
      <w:r>
        <w:br w:type="page"/>
      </w:r>
    </w:p>
    <w:p w14:paraId="32D352DF" w14:textId="77777777" w:rsidR="00C5589D" w:rsidRDefault="00000000">
      <w:pPr>
        <w:spacing w:after="217" w:line="265" w:lineRule="auto"/>
        <w:ind w:left="22" w:right="17" w:hanging="10"/>
      </w:pPr>
      <w:r>
        <w:rPr>
          <w:sz w:val="30"/>
        </w:rPr>
        <w:lastRenderedPageBreak/>
        <w:t>附件1</w:t>
      </w:r>
    </w:p>
    <w:p w14:paraId="701F0A0D" w14:textId="77777777" w:rsidR="00C5589D" w:rsidRDefault="00000000">
      <w:pPr>
        <w:spacing w:after="484" w:line="216" w:lineRule="auto"/>
        <w:ind w:left="2267" w:right="1237" w:hanging="679"/>
        <w:jc w:val="left"/>
      </w:pPr>
      <w:r>
        <w:rPr>
          <w:sz w:val="44"/>
        </w:rPr>
        <w:t>通过大额支付系统查询、查复同业开户业务处理规定</w:t>
      </w:r>
    </w:p>
    <w:p w14:paraId="71D19B24" w14:textId="77777777" w:rsidR="00C5589D" w:rsidRDefault="00000000">
      <w:pPr>
        <w:spacing w:after="154"/>
        <w:ind w:left="1" w:right="12" w:firstLine="632"/>
      </w:pPr>
      <w:r>
        <w:t>商业银行可使用</w:t>
      </w:r>
      <w:proofErr w:type="gramStart"/>
      <w:r>
        <w:t>“</w:t>
      </w:r>
      <w:proofErr w:type="gramEnd"/>
      <w:r>
        <w:t>大额支付系统查询报文"、核实同业开户证明相关信息，被查询银行应使用“大额支付系统查复报文"对查询银行要求核实的内容进行确认。</w:t>
      </w:r>
    </w:p>
    <w:p w14:paraId="1139AF30" w14:textId="77777777" w:rsidR="00C5589D" w:rsidRDefault="00000000">
      <w:pPr>
        <w:ind w:left="10" w:right="223" w:hanging="10"/>
        <w:jc w:val="right"/>
      </w:pPr>
      <w:r>
        <w:rPr>
          <w:noProof/>
        </w:rPr>
        <w:drawing>
          <wp:inline distT="0" distB="0" distL="0" distR="0" wp14:anchorId="5A07A643" wp14:editId="7282456F">
            <wp:extent cx="158481" cy="23606"/>
            <wp:effectExtent l="0" t="0" r="0" b="0"/>
            <wp:docPr id="27587" name="Picture 27587"/>
            <wp:cNvGraphicFramePr/>
            <a:graphic xmlns:a="http://schemas.openxmlformats.org/drawingml/2006/main">
              <a:graphicData uri="http://schemas.openxmlformats.org/drawingml/2006/picture">
                <pic:pic xmlns:pic="http://schemas.openxmlformats.org/drawingml/2006/picture">
                  <pic:nvPicPr>
                    <pic:cNvPr id="27587" name="Picture 27587"/>
                    <pic:cNvPicPr/>
                  </pic:nvPicPr>
                  <pic:blipFill>
                    <a:blip r:embed="rId18"/>
                    <a:stretch>
                      <a:fillRect/>
                    </a:stretch>
                  </pic:blipFill>
                  <pic:spPr>
                    <a:xfrm>
                      <a:off x="0" y="0"/>
                      <a:ext cx="158481" cy="23606"/>
                    </a:xfrm>
                    <a:prstGeom prst="rect">
                      <a:avLst/>
                    </a:prstGeom>
                  </pic:spPr>
                </pic:pic>
              </a:graphicData>
            </a:graphic>
          </wp:inline>
        </w:drawing>
      </w:r>
      <w:r>
        <w:t>、商业银行利用“大额支付系统查询报文"进行查询时，</w:t>
      </w:r>
    </w:p>
    <w:p w14:paraId="6D0288B2" w14:textId="77777777" w:rsidR="00C5589D" w:rsidRDefault="00000000">
      <w:pPr>
        <w:spacing w:line="265" w:lineRule="auto"/>
        <w:ind w:left="22" w:right="17" w:hanging="10"/>
      </w:pPr>
      <w:r>
        <w:rPr>
          <w:sz w:val="30"/>
        </w:rPr>
        <w:t>应输入的查询内容及格式为：</w:t>
      </w:r>
    </w:p>
    <w:p w14:paraId="154300B7" w14:textId="77777777" w:rsidR="00C5589D" w:rsidRDefault="00000000">
      <w:pPr>
        <w:numPr>
          <w:ilvl w:val="0"/>
          <w:numId w:val="6"/>
        </w:numPr>
        <w:spacing w:line="265" w:lineRule="auto"/>
        <w:ind w:right="12" w:hanging="159"/>
      </w:pPr>
      <w:r>
        <w:rPr>
          <w:sz w:val="30"/>
        </w:rPr>
        <w:t>.开户申请人全称：</w:t>
      </w:r>
    </w:p>
    <w:p w14:paraId="467F1D42" w14:textId="77777777" w:rsidR="00C5589D" w:rsidRDefault="00000000">
      <w:pPr>
        <w:numPr>
          <w:ilvl w:val="0"/>
          <w:numId w:val="6"/>
        </w:numPr>
        <w:spacing w:after="43" w:line="216" w:lineRule="auto"/>
        <w:ind w:right="12" w:hanging="159"/>
      </w:pPr>
      <w:r>
        <w:rPr>
          <w:sz w:val="24"/>
        </w:rPr>
        <w:t>·负责人</w:t>
      </w:r>
      <w:r>
        <w:rPr>
          <w:noProof/>
        </w:rPr>
        <w:drawing>
          <wp:inline distT="0" distB="0" distL="0" distR="0" wp14:anchorId="0AAE9F26" wp14:editId="681C36F7">
            <wp:extent cx="434979" cy="192218"/>
            <wp:effectExtent l="0" t="0" r="0" b="0"/>
            <wp:docPr id="49178" name="Picture 49178"/>
            <wp:cNvGraphicFramePr/>
            <a:graphic xmlns:a="http://schemas.openxmlformats.org/drawingml/2006/main">
              <a:graphicData uri="http://schemas.openxmlformats.org/drawingml/2006/picture">
                <pic:pic xmlns:pic="http://schemas.openxmlformats.org/drawingml/2006/picture">
                  <pic:nvPicPr>
                    <pic:cNvPr id="49178" name="Picture 49178"/>
                    <pic:cNvPicPr/>
                  </pic:nvPicPr>
                  <pic:blipFill>
                    <a:blip r:embed="rId19"/>
                    <a:stretch>
                      <a:fillRect/>
                    </a:stretch>
                  </pic:blipFill>
                  <pic:spPr>
                    <a:xfrm>
                      <a:off x="0" y="0"/>
                      <a:ext cx="434979" cy="192218"/>
                    </a:xfrm>
                    <a:prstGeom prst="rect">
                      <a:avLst/>
                    </a:prstGeom>
                  </pic:spPr>
                </pic:pic>
              </a:graphicData>
            </a:graphic>
          </wp:inline>
        </w:drawing>
      </w:r>
    </w:p>
    <w:p w14:paraId="15925056" w14:textId="77777777" w:rsidR="00C5589D" w:rsidRDefault="00000000">
      <w:pPr>
        <w:numPr>
          <w:ilvl w:val="0"/>
          <w:numId w:val="6"/>
        </w:numPr>
        <w:ind w:right="12" w:hanging="159"/>
      </w:pPr>
      <w:r>
        <w:rPr>
          <w:sz w:val="26"/>
        </w:rPr>
        <w:t>·营业执照编号：</w:t>
      </w:r>
    </w:p>
    <w:p w14:paraId="2920A12D" w14:textId="77777777" w:rsidR="00C5589D" w:rsidRDefault="00000000">
      <w:pPr>
        <w:numPr>
          <w:ilvl w:val="0"/>
          <w:numId w:val="6"/>
        </w:numPr>
        <w:ind w:right="12" w:hanging="159"/>
      </w:pPr>
      <w:r>
        <w:t>·金融许可证编号：</w:t>
      </w:r>
    </w:p>
    <w:p w14:paraId="63D3FC15" w14:textId="77777777" w:rsidR="00C5589D" w:rsidRDefault="00000000">
      <w:pPr>
        <w:numPr>
          <w:ilvl w:val="0"/>
          <w:numId w:val="6"/>
        </w:numPr>
        <w:spacing w:line="265" w:lineRule="auto"/>
        <w:ind w:right="12" w:hanging="159"/>
      </w:pPr>
      <w:r>
        <w:rPr>
          <w:sz w:val="30"/>
        </w:rPr>
        <w:t>·税务登记证件编号：</w:t>
      </w:r>
    </w:p>
    <w:p w14:paraId="567AAF6F" w14:textId="77777777" w:rsidR="00C5589D" w:rsidRDefault="00000000">
      <w:pPr>
        <w:numPr>
          <w:ilvl w:val="0"/>
          <w:numId w:val="6"/>
        </w:numPr>
        <w:ind w:right="12" w:hanging="159"/>
      </w:pPr>
      <w:r>
        <w:t>·拟开立的账号：</w:t>
      </w:r>
    </w:p>
    <w:p w14:paraId="3BA90E31" w14:textId="77777777" w:rsidR="00C5589D" w:rsidRDefault="00000000">
      <w:pPr>
        <w:numPr>
          <w:ilvl w:val="0"/>
          <w:numId w:val="6"/>
        </w:numPr>
        <w:spacing w:after="410"/>
        <w:ind w:right="12" w:hanging="159"/>
      </w:pPr>
      <w:r>
        <w:t>·申请开立账户类型（结算账户/定期存款/通知存款/协议</w:t>
      </w:r>
    </w:p>
    <w:p w14:paraId="5F92319C" w14:textId="77777777" w:rsidR="00C5589D" w:rsidRDefault="00000000">
      <w:pPr>
        <w:numPr>
          <w:ilvl w:val="0"/>
          <w:numId w:val="6"/>
        </w:numPr>
        <w:ind w:right="12" w:hanging="159"/>
      </w:pPr>
      <w:r>
        <w:t>·申请开立账户用途：</w:t>
      </w:r>
    </w:p>
    <w:p w14:paraId="06861647" w14:textId="77777777" w:rsidR="00C5589D" w:rsidRDefault="00000000">
      <w:pPr>
        <w:ind w:left="1" w:right="12" w:firstLine="648"/>
      </w:pPr>
      <w:r>
        <w:rPr>
          <w:noProof/>
        </w:rPr>
        <w:drawing>
          <wp:inline distT="0" distB="0" distL="0" distR="0" wp14:anchorId="1D758A7C" wp14:editId="414E67FA">
            <wp:extent cx="161853" cy="107912"/>
            <wp:effectExtent l="0" t="0" r="0" b="0"/>
            <wp:docPr id="49180" name="Picture 49180"/>
            <wp:cNvGraphicFramePr/>
            <a:graphic xmlns:a="http://schemas.openxmlformats.org/drawingml/2006/main">
              <a:graphicData uri="http://schemas.openxmlformats.org/drawingml/2006/picture">
                <pic:pic xmlns:pic="http://schemas.openxmlformats.org/drawingml/2006/picture">
                  <pic:nvPicPr>
                    <pic:cNvPr id="49180" name="Picture 49180"/>
                    <pic:cNvPicPr/>
                  </pic:nvPicPr>
                  <pic:blipFill>
                    <a:blip r:embed="rId20"/>
                    <a:stretch>
                      <a:fillRect/>
                    </a:stretch>
                  </pic:blipFill>
                  <pic:spPr>
                    <a:xfrm>
                      <a:off x="0" y="0"/>
                      <a:ext cx="161853" cy="107912"/>
                    </a:xfrm>
                    <a:prstGeom prst="rect">
                      <a:avLst/>
                    </a:prstGeom>
                  </pic:spPr>
                </pic:pic>
              </a:graphicData>
            </a:graphic>
          </wp:inline>
        </w:drawing>
      </w:r>
      <w:r>
        <w:t>、被查询银行（法人）利用</w:t>
      </w:r>
      <w:proofErr w:type="gramStart"/>
      <w:r>
        <w:t>“</w:t>
      </w:r>
      <w:proofErr w:type="gramEnd"/>
      <w:r>
        <w:t>大额支付系统查复报文"进行查复时，应输入</w:t>
      </w:r>
      <w:proofErr w:type="gramStart"/>
      <w:r>
        <w:t>“</w:t>
      </w:r>
      <w:proofErr w:type="gramEnd"/>
      <w:r>
        <w:t>我行同意开立该账户"或“我行未同意开立该账户"，不得输入其他无关内容。</w:t>
      </w:r>
    </w:p>
    <w:p w14:paraId="611144C8" w14:textId="77777777" w:rsidR="00C5589D" w:rsidRDefault="00000000">
      <w:pPr>
        <w:spacing w:after="0"/>
        <w:ind w:left="1779" w:firstLine="0"/>
        <w:jc w:val="left"/>
      </w:pPr>
      <w:r>
        <w:rPr>
          <w:noProof/>
        </w:rPr>
        <w:lastRenderedPageBreak/>
        <w:drawing>
          <wp:inline distT="0" distB="0" distL="0" distR="0" wp14:anchorId="77F7ACBF" wp14:editId="73AB0DCD">
            <wp:extent cx="3732729" cy="7806756"/>
            <wp:effectExtent l="0" t="0" r="0" b="0"/>
            <wp:docPr id="49182" name="Picture 49182"/>
            <wp:cNvGraphicFramePr/>
            <a:graphic xmlns:a="http://schemas.openxmlformats.org/drawingml/2006/main">
              <a:graphicData uri="http://schemas.openxmlformats.org/drawingml/2006/picture">
                <pic:pic xmlns:pic="http://schemas.openxmlformats.org/drawingml/2006/picture">
                  <pic:nvPicPr>
                    <pic:cNvPr id="49182" name="Picture 49182"/>
                    <pic:cNvPicPr/>
                  </pic:nvPicPr>
                  <pic:blipFill>
                    <a:blip r:embed="rId21"/>
                    <a:stretch>
                      <a:fillRect/>
                    </a:stretch>
                  </pic:blipFill>
                  <pic:spPr>
                    <a:xfrm>
                      <a:off x="0" y="0"/>
                      <a:ext cx="3732729" cy="7806756"/>
                    </a:xfrm>
                    <a:prstGeom prst="rect">
                      <a:avLst/>
                    </a:prstGeom>
                  </pic:spPr>
                </pic:pic>
              </a:graphicData>
            </a:graphic>
          </wp:inline>
        </w:drawing>
      </w:r>
    </w:p>
    <w:p w14:paraId="6E88A630" w14:textId="77777777" w:rsidR="00C5589D" w:rsidRDefault="00000000">
      <w:pPr>
        <w:spacing w:after="163"/>
        <w:ind w:left="-5" w:firstLine="0"/>
        <w:jc w:val="left"/>
      </w:pPr>
      <w:r>
        <w:rPr>
          <w:rFonts w:ascii="Calibri" w:eastAsia="Calibri" w:hAnsi="Calibri" w:cs="Calibri"/>
          <w:noProof/>
          <w:sz w:val="22"/>
        </w:rPr>
        <mc:AlternateContent>
          <mc:Choice Requires="wpg">
            <w:drawing>
              <wp:inline distT="0" distB="0" distL="0" distR="0" wp14:anchorId="043D5967" wp14:editId="409B757F">
                <wp:extent cx="5587292" cy="16861"/>
                <wp:effectExtent l="0" t="0" r="0" b="0"/>
                <wp:docPr id="49185" name="Group 49185"/>
                <wp:cNvGraphicFramePr/>
                <a:graphic xmlns:a="http://schemas.openxmlformats.org/drawingml/2006/main">
                  <a:graphicData uri="http://schemas.microsoft.com/office/word/2010/wordprocessingGroup">
                    <wpg:wgp>
                      <wpg:cNvGrpSpPr/>
                      <wpg:grpSpPr>
                        <a:xfrm>
                          <a:off x="0" y="0"/>
                          <a:ext cx="5587292" cy="16861"/>
                          <a:chOff x="0" y="0"/>
                          <a:chExt cx="5587292" cy="16861"/>
                        </a:xfrm>
                      </wpg:grpSpPr>
                      <wps:wsp>
                        <wps:cNvPr id="49184" name="Shape 49184"/>
                        <wps:cNvSpPr/>
                        <wps:spPr>
                          <a:xfrm>
                            <a:off x="0" y="0"/>
                            <a:ext cx="5587292" cy="16861"/>
                          </a:xfrm>
                          <a:custGeom>
                            <a:avLst/>
                            <a:gdLst/>
                            <a:ahLst/>
                            <a:cxnLst/>
                            <a:rect l="0" t="0" r="0" b="0"/>
                            <a:pathLst>
                              <a:path w="5587292" h="16861">
                                <a:moveTo>
                                  <a:pt x="0" y="8430"/>
                                </a:moveTo>
                                <a:lnTo>
                                  <a:pt x="5587292" y="8430"/>
                                </a:lnTo>
                              </a:path>
                            </a:pathLst>
                          </a:custGeom>
                          <a:ln w="1686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9185" style="width:439.944pt;height:1.32764pt;mso-position-horizontal-relative:char;mso-position-vertical-relative:line" coordsize="55872,168">
                <v:shape id="Shape 49184" style="position:absolute;width:55872;height:168;left:0;top:0;" coordsize="5587292,16861" path="m0,8430l5587292,8430">
                  <v:stroke weight="1.32764pt" endcap="flat" joinstyle="miter" miterlimit="1" on="true" color="#000000"/>
                  <v:fill on="false" color="#000000"/>
                </v:shape>
              </v:group>
            </w:pict>
          </mc:Fallback>
        </mc:AlternateContent>
      </w:r>
    </w:p>
    <w:p w14:paraId="0B5C711B" w14:textId="77777777" w:rsidR="00C5589D" w:rsidRDefault="00000000">
      <w:pPr>
        <w:spacing w:after="0" w:line="216" w:lineRule="auto"/>
        <w:ind w:left="1694" w:hanging="1348"/>
        <w:jc w:val="left"/>
      </w:pPr>
      <w:r>
        <w:rPr>
          <w:sz w:val="24"/>
        </w:rPr>
        <w:lastRenderedPageBreak/>
        <w:t>内部发送：办公厅，支付结算司，条法司，货币政策司，金融市场司，金融稳定局。</w:t>
      </w:r>
    </w:p>
    <w:p w14:paraId="746BE169" w14:textId="77777777" w:rsidR="00C5589D" w:rsidRDefault="00000000">
      <w:pPr>
        <w:spacing w:after="206"/>
        <w:ind w:left="-5" w:firstLine="0"/>
        <w:jc w:val="left"/>
      </w:pPr>
      <w:r>
        <w:rPr>
          <w:rFonts w:ascii="Calibri" w:eastAsia="Calibri" w:hAnsi="Calibri" w:cs="Calibri"/>
          <w:noProof/>
          <w:sz w:val="22"/>
        </w:rPr>
        <mc:AlternateContent>
          <mc:Choice Requires="wpg">
            <w:drawing>
              <wp:inline distT="0" distB="0" distL="0" distR="0" wp14:anchorId="26F76201" wp14:editId="7B77842C">
                <wp:extent cx="5587292" cy="6745"/>
                <wp:effectExtent l="0" t="0" r="0" b="0"/>
                <wp:docPr id="49187" name="Group 49187"/>
                <wp:cNvGraphicFramePr/>
                <a:graphic xmlns:a="http://schemas.openxmlformats.org/drawingml/2006/main">
                  <a:graphicData uri="http://schemas.microsoft.com/office/word/2010/wordprocessingGroup">
                    <wpg:wgp>
                      <wpg:cNvGrpSpPr/>
                      <wpg:grpSpPr>
                        <a:xfrm>
                          <a:off x="0" y="0"/>
                          <a:ext cx="5587292" cy="6745"/>
                          <a:chOff x="0" y="0"/>
                          <a:chExt cx="5587292" cy="6745"/>
                        </a:xfrm>
                      </wpg:grpSpPr>
                      <wps:wsp>
                        <wps:cNvPr id="49186" name="Shape 49186"/>
                        <wps:cNvSpPr/>
                        <wps:spPr>
                          <a:xfrm>
                            <a:off x="0" y="0"/>
                            <a:ext cx="5587292" cy="6745"/>
                          </a:xfrm>
                          <a:custGeom>
                            <a:avLst/>
                            <a:gdLst/>
                            <a:ahLst/>
                            <a:cxnLst/>
                            <a:rect l="0" t="0" r="0" b="0"/>
                            <a:pathLst>
                              <a:path w="5587292" h="6745">
                                <a:moveTo>
                                  <a:pt x="0" y="3372"/>
                                </a:moveTo>
                                <a:lnTo>
                                  <a:pt x="5587292" y="3372"/>
                                </a:lnTo>
                              </a:path>
                            </a:pathLst>
                          </a:custGeom>
                          <a:ln w="67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9187" style="width:439.944pt;height:0.531067pt;mso-position-horizontal-relative:char;mso-position-vertical-relative:line" coordsize="55872,67">
                <v:shape id="Shape 49186" style="position:absolute;width:55872;height:67;left:0;top:0;" coordsize="5587292,6745" path="m0,3372l5587292,3372">
                  <v:stroke weight="0.531067pt" endcap="flat" joinstyle="miter" miterlimit="1" on="true" color="#000000"/>
                  <v:fill on="false" color="#000000"/>
                </v:shape>
              </v:group>
            </w:pict>
          </mc:Fallback>
        </mc:AlternateContent>
      </w:r>
    </w:p>
    <w:p w14:paraId="69B379B8" w14:textId="77777777" w:rsidR="00C5589D" w:rsidRDefault="00000000">
      <w:pPr>
        <w:tabs>
          <w:tab w:val="right" w:pos="8810"/>
        </w:tabs>
        <w:spacing w:after="0"/>
        <w:ind w:left="0" w:firstLine="0"/>
        <w:jc w:val="left"/>
      </w:pPr>
      <w:r>
        <w:rPr>
          <w:sz w:val="22"/>
        </w:rPr>
        <w:t>中国人民银行办公厅</w:t>
      </w:r>
      <w:r>
        <w:rPr>
          <w:sz w:val="22"/>
        </w:rPr>
        <w:tab/>
        <w:t>2 01 4年6月2 5日印发</w:t>
      </w:r>
    </w:p>
    <w:p w14:paraId="25517C5C" w14:textId="77777777" w:rsidR="00C5589D" w:rsidRDefault="00000000">
      <w:pPr>
        <w:spacing w:after="0"/>
        <w:ind w:left="-5" w:firstLine="0"/>
        <w:jc w:val="left"/>
      </w:pPr>
      <w:r>
        <w:rPr>
          <w:rFonts w:ascii="Calibri" w:eastAsia="Calibri" w:hAnsi="Calibri" w:cs="Calibri"/>
          <w:noProof/>
          <w:sz w:val="22"/>
        </w:rPr>
        <mc:AlternateContent>
          <mc:Choice Requires="wpg">
            <w:drawing>
              <wp:inline distT="0" distB="0" distL="0" distR="0" wp14:anchorId="33167496" wp14:editId="7F8367D8">
                <wp:extent cx="5587292" cy="16861"/>
                <wp:effectExtent l="0" t="0" r="0" b="0"/>
                <wp:docPr id="49189" name="Group 49189"/>
                <wp:cNvGraphicFramePr/>
                <a:graphic xmlns:a="http://schemas.openxmlformats.org/drawingml/2006/main">
                  <a:graphicData uri="http://schemas.microsoft.com/office/word/2010/wordprocessingGroup">
                    <wpg:wgp>
                      <wpg:cNvGrpSpPr/>
                      <wpg:grpSpPr>
                        <a:xfrm>
                          <a:off x="0" y="0"/>
                          <a:ext cx="5587292" cy="16861"/>
                          <a:chOff x="0" y="0"/>
                          <a:chExt cx="5587292" cy="16861"/>
                        </a:xfrm>
                      </wpg:grpSpPr>
                      <wps:wsp>
                        <wps:cNvPr id="49188" name="Shape 49188"/>
                        <wps:cNvSpPr/>
                        <wps:spPr>
                          <a:xfrm>
                            <a:off x="0" y="0"/>
                            <a:ext cx="5587292" cy="16861"/>
                          </a:xfrm>
                          <a:custGeom>
                            <a:avLst/>
                            <a:gdLst/>
                            <a:ahLst/>
                            <a:cxnLst/>
                            <a:rect l="0" t="0" r="0" b="0"/>
                            <a:pathLst>
                              <a:path w="5587292" h="16861">
                                <a:moveTo>
                                  <a:pt x="0" y="8430"/>
                                </a:moveTo>
                                <a:lnTo>
                                  <a:pt x="5587292" y="8430"/>
                                </a:lnTo>
                              </a:path>
                            </a:pathLst>
                          </a:custGeom>
                          <a:ln w="1686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9189" style="width:439.944pt;height:1.32764pt;mso-position-horizontal-relative:char;mso-position-vertical-relative:line" coordsize="55872,168">
                <v:shape id="Shape 49188" style="position:absolute;width:55872;height:168;left:0;top:0;" coordsize="5587292,16861" path="m0,8430l5587292,8430">
                  <v:stroke weight="1.32764pt" endcap="flat" joinstyle="miter" miterlimit="1" on="true" color="#000000"/>
                  <v:fill on="false" color="#000000"/>
                </v:shape>
              </v:group>
            </w:pict>
          </mc:Fallback>
        </mc:AlternateContent>
      </w:r>
    </w:p>
    <w:sectPr w:rsidR="00C5589D">
      <w:footerReference w:type="even" r:id="rId22"/>
      <w:footerReference w:type="default" r:id="rId23"/>
      <w:footerReference w:type="first" r:id="rId24"/>
      <w:pgSz w:w="11900" w:h="16840"/>
      <w:pgMar w:top="2241" w:right="1540" w:bottom="1508" w:left="15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2E0E7" w14:textId="77777777" w:rsidR="002C4FF5" w:rsidRDefault="002C4FF5">
      <w:pPr>
        <w:spacing w:after="0" w:line="240" w:lineRule="auto"/>
      </w:pPr>
      <w:r>
        <w:separator/>
      </w:r>
    </w:p>
  </w:endnote>
  <w:endnote w:type="continuationSeparator" w:id="0">
    <w:p w14:paraId="08F28E44" w14:textId="77777777" w:rsidR="002C4FF5" w:rsidRDefault="002C4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D63B" w14:textId="77777777" w:rsidR="00C5589D" w:rsidRDefault="00000000">
    <w:pPr>
      <w:spacing w:after="0"/>
      <w:ind w:left="276" w:right="7567" w:firstLine="0"/>
      <w:jc w:val="left"/>
    </w:pPr>
    <w:r>
      <w:rPr>
        <w:noProof/>
      </w:rPr>
      <w:drawing>
        <wp:anchor distT="0" distB="0" distL="114300" distR="114300" simplePos="0" relativeHeight="251658240" behindDoc="0" locked="0" layoutInCell="1" allowOverlap="0" wp14:anchorId="411A0251" wp14:editId="1DD7C4C1">
          <wp:simplePos x="0" y="0"/>
          <wp:positionH relativeFrom="page">
            <wp:posOffset>1156573</wp:posOffset>
          </wp:positionH>
          <wp:positionV relativeFrom="page">
            <wp:posOffset>9664864</wp:posOffset>
          </wp:positionV>
          <wp:extent cx="178713" cy="6745"/>
          <wp:effectExtent l="0" t="0" r="0" b="0"/>
          <wp:wrapSquare wrapText="bothSides"/>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1"/>
                  <a:stretch>
                    <a:fillRect/>
                  </a:stretch>
                </pic:blipFill>
                <pic:spPr>
                  <a:xfrm>
                    <a:off x="0" y="0"/>
                    <a:ext cx="178713" cy="6745"/>
                  </a:xfrm>
                  <a:prstGeom prst="rect">
                    <a:avLst/>
                  </a:prstGeom>
                </pic:spPr>
              </pic:pic>
            </a:graphicData>
          </a:graphic>
        </wp:anchor>
      </w:drawing>
    </w:r>
    <w:r>
      <w:rPr>
        <w:noProof/>
      </w:rPr>
      <w:drawing>
        <wp:anchor distT="0" distB="0" distL="114300" distR="114300" simplePos="0" relativeHeight="251659264" behindDoc="0" locked="0" layoutInCell="1" allowOverlap="0" wp14:anchorId="79A3E618" wp14:editId="1FBF1996">
          <wp:simplePos x="0" y="0"/>
          <wp:positionH relativeFrom="page">
            <wp:posOffset>1598296</wp:posOffset>
          </wp:positionH>
          <wp:positionV relativeFrom="page">
            <wp:posOffset>9664864</wp:posOffset>
          </wp:positionV>
          <wp:extent cx="178712" cy="6745"/>
          <wp:effectExtent l="0" t="0" r="0" b="0"/>
          <wp:wrapSquare wrapText="bothSides"/>
          <wp:docPr id="4081" name="Picture 4081"/>
          <wp:cNvGraphicFramePr/>
          <a:graphic xmlns:a="http://schemas.openxmlformats.org/drawingml/2006/main">
            <a:graphicData uri="http://schemas.openxmlformats.org/drawingml/2006/picture">
              <pic:pic xmlns:pic="http://schemas.openxmlformats.org/drawingml/2006/picture">
                <pic:nvPicPr>
                  <pic:cNvPr id="4081" name="Picture 4081"/>
                  <pic:cNvPicPr/>
                </pic:nvPicPr>
                <pic:blipFill>
                  <a:blip r:embed="rId1"/>
                  <a:stretch>
                    <a:fillRect/>
                  </a:stretch>
                </pic:blipFill>
                <pic:spPr>
                  <a:xfrm>
                    <a:off x="0" y="0"/>
                    <a:ext cx="178712" cy="6745"/>
                  </a:xfrm>
                  <a:prstGeom prst="rect">
                    <a:avLst/>
                  </a:prstGeom>
                </pic:spPr>
              </pic:pic>
            </a:graphicData>
          </a:graphic>
        </wp:anchor>
      </w:drawing>
    </w:r>
    <w:r>
      <w:rPr>
        <w:sz w:val="24"/>
      </w:rPr>
      <w:t xml:space="preserve"> </w:t>
    </w: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F306" w14:textId="77777777" w:rsidR="00C5589D" w:rsidRDefault="00000000">
    <w:pPr>
      <w:spacing w:after="0"/>
      <w:ind w:left="0" w:right="361" w:firstLine="0"/>
      <w:jc w:val="right"/>
    </w:pPr>
    <w:r>
      <w:rPr>
        <w:noProof/>
      </w:rPr>
      <w:drawing>
        <wp:anchor distT="0" distB="0" distL="114300" distR="114300" simplePos="0" relativeHeight="251660288" behindDoc="0" locked="0" layoutInCell="1" allowOverlap="0" wp14:anchorId="01455481" wp14:editId="5BC79781">
          <wp:simplePos x="0" y="0"/>
          <wp:positionH relativeFrom="page">
            <wp:posOffset>5728913</wp:posOffset>
          </wp:positionH>
          <wp:positionV relativeFrom="page">
            <wp:posOffset>9664864</wp:posOffset>
          </wp:positionV>
          <wp:extent cx="178712" cy="6745"/>
          <wp:effectExtent l="0" t="0" r="0" b="0"/>
          <wp:wrapSquare wrapText="bothSides"/>
          <wp:docPr id="1065" name="Picture 1065"/>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1"/>
                  <a:stretch>
                    <a:fillRect/>
                  </a:stretch>
                </pic:blipFill>
                <pic:spPr>
                  <a:xfrm>
                    <a:off x="0" y="0"/>
                    <a:ext cx="178712" cy="6745"/>
                  </a:xfrm>
                  <a:prstGeom prst="rect">
                    <a:avLst/>
                  </a:prstGeom>
                </pic:spPr>
              </pic:pic>
            </a:graphicData>
          </a:graphic>
        </wp:anchor>
      </w:drawing>
    </w:r>
    <w:r>
      <w:rPr>
        <w:noProof/>
      </w:rPr>
      <w:drawing>
        <wp:anchor distT="0" distB="0" distL="114300" distR="114300" simplePos="0" relativeHeight="251661312" behindDoc="0" locked="0" layoutInCell="1" allowOverlap="0" wp14:anchorId="130C0403" wp14:editId="4F02A55B">
          <wp:simplePos x="0" y="0"/>
          <wp:positionH relativeFrom="page">
            <wp:posOffset>6174008</wp:posOffset>
          </wp:positionH>
          <wp:positionV relativeFrom="page">
            <wp:posOffset>9664864</wp:posOffset>
          </wp:positionV>
          <wp:extent cx="178713" cy="6745"/>
          <wp:effectExtent l="0" t="0" r="0" b="0"/>
          <wp:wrapSquare wrapText="bothSides"/>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
                  <a:stretch>
                    <a:fillRect/>
                  </a:stretch>
                </pic:blipFill>
                <pic:spPr>
                  <a:xfrm>
                    <a:off x="0" y="0"/>
                    <a:ext cx="178713" cy="6745"/>
                  </a:xfrm>
                  <a:prstGeom prst="rect">
                    <a:avLst/>
                  </a:prstGeom>
                </pic:spPr>
              </pic:pic>
            </a:graphicData>
          </a:graphic>
        </wp:anchor>
      </w:drawing>
    </w:r>
    <w:r>
      <w:rPr>
        <w:sz w:val="34"/>
      </w:rPr>
      <w:t xml:space="preserve"> </w:t>
    </w:r>
    <w:r>
      <w:fldChar w:fldCharType="begin"/>
    </w:r>
    <w:r>
      <w:instrText xml:space="preserve"> PAGE   \* MERGEFORMAT </w:instrText>
    </w:r>
    <w:r>
      <w:fldChar w:fldCharType="separate"/>
    </w:r>
    <w:r>
      <w:rPr>
        <w:sz w:val="34"/>
      </w:rPr>
      <w:t>1</w:t>
    </w:r>
    <w:r>
      <w:rPr>
        <w:sz w:val="34"/>
      </w:rPr>
      <w:fldChar w:fldCharType="end"/>
    </w:r>
    <w:r>
      <w:rPr>
        <w:sz w:val="3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E197" w14:textId="77777777" w:rsidR="00C5589D" w:rsidRDefault="00000000">
    <w:pPr>
      <w:spacing w:after="0"/>
      <w:ind w:left="0" w:right="361" w:firstLine="0"/>
      <w:jc w:val="right"/>
    </w:pPr>
    <w:r>
      <w:rPr>
        <w:noProof/>
      </w:rPr>
      <w:drawing>
        <wp:anchor distT="0" distB="0" distL="114300" distR="114300" simplePos="0" relativeHeight="251662336" behindDoc="0" locked="0" layoutInCell="1" allowOverlap="0" wp14:anchorId="338E6BBA" wp14:editId="79C785F9">
          <wp:simplePos x="0" y="0"/>
          <wp:positionH relativeFrom="page">
            <wp:posOffset>5728913</wp:posOffset>
          </wp:positionH>
          <wp:positionV relativeFrom="page">
            <wp:posOffset>9664864</wp:posOffset>
          </wp:positionV>
          <wp:extent cx="178712" cy="6745"/>
          <wp:effectExtent l="0" t="0" r="0" b="0"/>
          <wp:wrapSquare wrapText="bothSides"/>
          <wp:docPr id="1191911677" name="Picture 1065"/>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1"/>
                  <a:stretch>
                    <a:fillRect/>
                  </a:stretch>
                </pic:blipFill>
                <pic:spPr>
                  <a:xfrm>
                    <a:off x="0" y="0"/>
                    <a:ext cx="178712" cy="6745"/>
                  </a:xfrm>
                  <a:prstGeom prst="rect">
                    <a:avLst/>
                  </a:prstGeom>
                </pic:spPr>
              </pic:pic>
            </a:graphicData>
          </a:graphic>
        </wp:anchor>
      </w:drawing>
    </w:r>
    <w:r>
      <w:rPr>
        <w:noProof/>
      </w:rPr>
      <w:drawing>
        <wp:anchor distT="0" distB="0" distL="114300" distR="114300" simplePos="0" relativeHeight="251663360" behindDoc="0" locked="0" layoutInCell="1" allowOverlap="0" wp14:anchorId="766BA5A1" wp14:editId="1ABDFB37">
          <wp:simplePos x="0" y="0"/>
          <wp:positionH relativeFrom="page">
            <wp:posOffset>6174008</wp:posOffset>
          </wp:positionH>
          <wp:positionV relativeFrom="page">
            <wp:posOffset>9664864</wp:posOffset>
          </wp:positionV>
          <wp:extent cx="178713" cy="6745"/>
          <wp:effectExtent l="0" t="0" r="0" b="0"/>
          <wp:wrapSquare wrapText="bothSides"/>
          <wp:docPr id="1006372833"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
                  <a:stretch>
                    <a:fillRect/>
                  </a:stretch>
                </pic:blipFill>
                <pic:spPr>
                  <a:xfrm>
                    <a:off x="0" y="0"/>
                    <a:ext cx="178713" cy="6745"/>
                  </a:xfrm>
                  <a:prstGeom prst="rect">
                    <a:avLst/>
                  </a:prstGeom>
                </pic:spPr>
              </pic:pic>
            </a:graphicData>
          </a:graphic>
        </wp:anchor>
      </w:drawing>
    </w:r>
    <w:r>
      <w:rPr>
        <w:sz w:val="34"/>
      </w:rPr>
      <w:t xml:space="preserve"> </w:t>
    </w:r>
    <w:r>
      <w:fldChar w:fldCharType="begin"/>
    </w:r>
    <w:r>
      <w:instrText xml:space="preserve"> PAGE   \* MERGEFORMAT </w:instrText>
    </w:r>
    <w:r>
      <w:fldChar w:fldCharType="separate"/>
    </w:r>
    <w:r>
      <w:rPr>
        <w:sz w:val="34"/>
      </w:rPr>
      <w:t>1</w:t>
    </w:r>
    <w:r>
      <w:rPr>
        <w:sz w:val="34"/>
      </w:rPr>
      <w:fldChar w:fldCharType="end"/>
    </w:r>
    <w:r>
      <w:rPr>
        <w:sz w:val="3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8D0C" w14:textId="77777777" w:rsidR="00C5589D" w:rsidRDefault="00C5589D">
    <w:pPr>
      <w:spacing w:after="160"/>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0537" w14:textId="77777777" w:rsidR="00C5589D" w:rsidRDefault="00C5589D">
    <w:pPr>
      <w:spacing w:after="160"/>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611C" w14:textId="77777777" w:rsidR="00C5589D" w:rsidRDefault="00C5589D">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95BB" w14:textId="77777777" w:rsidR="002C4FF5" w:rsidRDefault="002C4FF5">
      <w:pPr>
        <w:spacing w:after="0" w:line="240" w:lineRule="auto"/>
      </w:pPr>
      <w:r>
        <w:separator/>
      </w:r>
    </w:p>
  </w:footnote>
  <w:footnote w:type="continuationSeparator" w:id="0">
    <w:p w14:paraId="6257B27A" w14:textId="77777777" w:rsidR="002C4FF5" w:rsidRDefault="002C4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67FE"/>
    <w:multiLevelType w:val="hybridMultilevel"/>
    <w:tmpl w:val="5F023DE0"/>
    <w:lvl w:ilvl="0" w:tplc="358C8692">
      <w:start w:val="1"/>
      <w:numFmt w:val="ideographDigital"/>
      <w:lvlText w:val="（%1）"/>
      <w:lvlJc w:val="left"/>
      <w:pPr>
        <w:ind w:left="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FEA47A98">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8968E23C">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C18CB54A">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8B06111C">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D1460464">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E76E21AA">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BE08BB8E">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D8527F40">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56D2B2E"/>
    <w:multiLevelType w:val="hybridMultilevel"/>
    <w:tmpl w:val="821E38FC"/>
    <w:lvl w:ilvl="0" w:tplc="6B528DA8">
      <w:start w:val="1"/>
      <w:numFmt w:val="decimal"/>
      <w:lvlText w:val="%1"/>
      <w:lvlJc w:val="left"/>
      <w:pPr>
        <w:ind w:left="802"/>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0108C8B2">
      <w:start w:val="1"/>
      <w:numFmt w:val="lowerLetter"/>
      <w:lvlText w:val="%2"/>
      <w:lvlJc w:val="left"/>
      <w:pPr>
        <w:ind w:left="171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F9D4EC8C">
      <w:start w:val="1"/>
      <w:numFmt w:val="lowerRoman"/>
      <w:lvlText w:val="%3"/>
      <w:lvlJc w:val="left"/>
      <w:pPr>
        <w:ind w:left="243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38743262">
      <w:start w:val="1"/>
      <w:numFmt w:val="decimal"/>
      <w:lvlText w:val="%4"/>
      <w:lvlJc w:val="left"/>
      <w:pPr>
        <w:ind w:left="315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4F92E8CE">
      <w:start w:val="1"/>
      <w:numFmt w:val="lowerLetter"/>
      <w:lvlText w:val="%5"/>
      <w:lvlJc w:val="left"/>
      <w:pPr>
        <w:ind w:left="387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AC6EA46E">
      <w:start w:val="1"/>
      <w:numFmt w:val="lowerRoman"/>
      <w:lvlText w:val="%6"/>
      <w:lvlJc w:val="left"/>
      <w:pPr>
        <w:ind w:left="459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852E9CC0">
      <w:start w:val="1"/>
      <w:numFmt w:val="decimal"/>
      <w:lvlText w:val="%7"/>
      <w:lvlJc w:val="left"/>
      <w:pPr>
        <w:ind w:left="531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E6D0544C">
      <w:start w:val="1"/>
      <w:numFmt w:val="lowerLetter"/>
      <w:lvlText w:val="%8"/>
      <w:lvlJc w:val="left"/>
      <w:pPr>
        <w:ind w:left="603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64E2B256">
      <w:start w:val="1"/>
      <w:numFmt w:val="lowerRoman"/>
      <w:lvlText w:val="%9"/>
      <w:lvlJc w:val="left"/>
      <w:pPr>
        <w:ind w:left="675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237D25FF"/>
    <w:multiLevelType w:val="hybridMultilevel"/>
    <w:tmpl w:val="DE226C16"/>
    <w:lvl w:ilvl="0" w:tplc="1A4090C0">
      <w:start w:val="2"/>
      <w:numFmt w:val="decimal"/>
      <w:lvlText w:val="%1"/>
      <w:lvlJc w:val="left"/>
      <w:pPr>
        <w:ind w:left="11"/>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94089DB0">
      <w:start w:val="1"/>
      <w:numFmt w:val="lowerLetter"/>
      <w:lvlText w:val="%2"/>
      <w:lvlJc w:val="left"/>
      <w:pPr>
        <w:ind w:left="172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72A3B8A">
      <w:start w:val="1"/>
      <w:numFmt w:val="lowerRoman"/>
      <w:lvlText w:val="%3"/>
      <w:lvlJc w:val="left"/>
      <w:pPr>
        <w:ind w:left="244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9EDE1A58">
      <w:start w:val="1"/>
      <w:numFmt w:val="decimal"/>
      <w:lvlText w:val="%4"/>
      <w:lvlJc w:val="left"/>
      <w:pPr>
        <w:ind w:left="316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E7EA8606">
      <w:start w:val="1"/>
      <w:numFmt w:val="lowerLetter"/>
      <w:lvlText w:val="%5"/>
      <w:lvlJc w:val="left"/>
      <w:pPr>
        <w:ind w:left="388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36304A38">
      <w:start w:val="1"/>
      <w:numFmt w:val="lowerRoman"/>
      <w:lvlText w:val="%6"/>
      <w:lvlJc w:val="left"/>
      <w:pPr>
        <w:ind w:left="460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D2664252">
      <w:start w:val="1"/>
      <w:numFmt w:val="decimal"/>
      <w:lvlText w:val="%7"/>
      <w:lvlJc w:val="left"/>
      <w:pPr>
        <w:ind w:left="532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B268AFCE">
      <w:start w:val="1"/>
      <w:numFmt w:val="lowerLetter"/>
      <w:lvlText w:val="%8"/>
      <w:lvlJc w:val="left"/>
      <w:pPr>
        <w:ind w:left="604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17ECFD5C">
      <w:start w:val="1"/>
      <w:numFmt w:val="lowerRoman"/>
      <w:lvlText w:val="%9"/>
      <w:lvlJc w:val="left"/>
      <w:pPr>
        <w:ind w:left="676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112172"/>
    <w:multiLevelType w:val="hybridMultilevel"/>
    <w:tmpl w:val="B5DC69A2"/>
    <w:lvl w:ilvl="0" w:tplc="0B10E5EC">
      <w:start w:val="1"/>
      <w:numFmt w:val="ideographDigital"/>
      <w:lvlText w:val="（%1）"/>
      <w:lvlJc w:val="left"/>
      <w:pPr>
        <w:ind w:left="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38A21FE4">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F84415D2">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86B8A732">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C158F8C6">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85A22E00">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0A3046E2">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99340F38">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1B4CA4B0">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4EDA5854"/>
    <w:multiLevelType w:val="hybridMultilevel"/>
    <w:tmpl w:val="984E9342"/>
    <w:lvl w:ilvl="0" w:tplc="B2BC7AB2">
      <w:start w:val="1"/>
      <w:numFmt w:val="ideographDigital"/>
      <w:lvlText w:val="（%1）"/>
      <w:lvlJc w:val="left"/>
      <w:pPr>
        <w:ind w:left="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87A65300">
      <w:start w:val="1"/>
      <w:numFmt w:val="lowerLetter"/>
      <w:lvlText w:val="%2"/>
      <w:lvlJc w:val="left"/>
      <w:pPr>
        <w:ind w:left="18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865C1284">
      <w:start w:val="1"/>
      <w:numFmt w:val="lowerRoman"/>
      <w:lvlText w:val="%3"/>
      <w:lvlJc w:val="left"/>
      <w:pPr>
        <w:ind w:left="25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9A0EA256">
      <w:start w:val="1"/>
      <w:numFmt w:val="decimal"/>
      <w:lvlText w:val="%4"/>
      <w:lvlJc w:val="left"/>
      <w:pPr>
        <w:ind w:left="32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5B9C06DC">
      <w:start w:val="1"/>
      <w:numFmt w:val="lowerLetter"/>
      <w:lvlText w:val="%5"/>
      <w:lvlJc w:val="left"/>
      <w:pPr>
        <w:ind w:left="401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8F728C2A">
      <w:start w:val="1"/>
      <w:numFmt w:val="lowerRoman"/>
      <w:lvlText w:val="%6"/>
      <w:lvlJc w:val="left"/>
      <w:pPr>
        <w:ind w:left="473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CFA6C604">
      <w:start w:val="1"/>
      <w:numFmt w:val="decimal"/>
      <w:lvlText w:val="%7"/>
      <w:lvlJc w:val="left"/>
      <w:pPr>
        <w:ind w:left="54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11E24826">
      <w:start w:val="1"/>
      <w:numFmt w:val="lowerLetter"/>
      <w:lvlText w:val="%8"/>
      <w:lvlJc w:val="left"/>
      <w:pPr>
        <w:ind w:left="61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44B2D17C">
      <w:start w:val="1"/>
      <w:numFmt w:val="lowerRoman"/>
      <w:lvlText w:val="%9"/>
      <w:lvlJc w:val="left"/>
      <w:pPr>
        <w:ind w:left="68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678C39A0"/>
    <w:multiLevelType w:val="hybridMultilevel"/>
    <w:tmpl w:val="D1ECF40A"/>
    <w:lvl w:ilvl="0" w:tplc="AC5E1334">
      <w:start w:val="1"/>
      <w:numFmt w:val="ideographDigital"/>
      <w:lvlText w:val="（%1）"/>
      <w:lvlJc w:val="left"/>
      <w:pPr>
        <w:ind w:left="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0A769194">
      <w:start w:val="1"/>
      <w:numFmt w:val="lowerLetter"/>
      <w:lvlText w:val="%2"/>
      <w:lvlJc w:val="left"/>
      <w:pPr>
        <w:ind w:left="18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7CDEAF88">
      <w:start w:val="1"/>
      <w:numFmt w:val="lowerRoman"/>
      <w:lvlText w:val="%3"/>
      <w:lvlJc w:val="left"/>
      <w:pPr>
        <w:ind w:left="25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96C23848">
      <w:start w:val="1"/>
      <w:numFmt w:val="decimal"/>
      <w:lvlText w:val="%4"/>
      <w:lvlJc w:val="left"/>
      <w:pPr>
        <w:ind w:left="32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6E6C9336">
      <w:start w:val="1"/>
      <w:numFmt w:val="lowerLetter"/>
      <w:lvlText w:val="%5"/>
      <w:lvlJc w:val="left"/>
      <w:pPr>
        <w:ind w:left="401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07BC3480">
      <w:start w:val="1"/>
      <w:numFmt w:val="lowerRoman"/>
      <w:lvlText w:val="%6"/>
      <w:lvlJc w:val="left"/>
      <w:pPr>
        <w:ind w:left="473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7F3A71C8">
      <w:start w:val="1"/>
      <w:numFmt w:val="decimal"/>
      <w:lvlText w:val="%7"/>
      <w:lvlJc w:val="left"/>
      <w:pPr>
        <w:ind w:left="54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884E8748">
      <w:start w:val="1"/>
      <w:numFmt w:val="lowerLetter"/>
      <w:lvlText w:val="%8"/>
      <w:lvlJc w:val="left"/>
      <w:pPr>
        <w:ind w:left="61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3DA8D030">
      <w:start w:val="1"/>
      <w:numFmt w:val="lowerRoman"/>
      <w:lvlText w:val="%9"/>
      <w:lvlJc w:val="left"/>
      <w:pPr>
        <w:ind w:left="68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num w:numId="1" w16cid:durableId="963854831">
    <w:abstractNumId w:val="0"/>
  </w:num>
  <w:num w:numId="2" w16cid:durableId="1224372689">
    <w:abstractNumId w:val="2"/>
  </w:num>
  <w:num w:numId="3" w16cid:durableId="2070567077">
    <w:abstractNumId w:val="3"/>
  </w:num>
  <w:num w:numId="4" w16cid:durableId="1928348534">
    <w:abstractNumId w:val="4"/>
  </w:num>
  <w:num w:numId="5" w16cid:durableId="1704552275">
    <w:abstractNumId w:val="5"/>
  </w:num>
  <w:num w:numId="6" w16cid:durableId="341472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89D"/>
    <w:rsid w:val="002C4FF5"/>
    <w:rsid w:val="004053E7"/>
    <w:rsid w:val="00C5589D"/>
    <w:rsid w:val="00DF6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EE4B4"/>
  <w15:docId w15:val="{143B66BB-757D-427A-A596-91E166BC2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1" w:firstLine="771"/>
      <w:jc w:val="both"/>
    </w:pPr>
    <w:rPr>
      <w:rFonts w:ascii="微软雅黑" w:eastAsia="微软雅黑" w:hAnsi="微软雅黑" w:cs="微软雅黑"/>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2139</Words>
  <Characters>2140</Characters>
  <Application>Microsoft Office Word</Application>
  <DocSecurity>0</DocSecurity>
  <Lines>97</Lines>
  <Paragraphs>66</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2026-01-28T07:22:00Z</dcterms:created>
  <dcterms:modified xsi:type="dcterms:W3CDTF">2026-01-28T07:22:00Z</dcterms:modified>
</cp:coreProperties>
</file>