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04E6A" w14:textId="77777777" w:rsidR="00365ED1" w:rsidRDefault="00000000">
      <w:pPr>
        <w:spacing w:after="0" w:line="273" w:lineRule="auto"/>
        <w:ind w:left="621" w:firstLine="7185"/>
        <w:jc w:val="left"/>
      </w:pPr>
      <w:r>
        <w:rPr>
          <w:sz w:val="98"/>
        </w:rPr>
        <w:t>特急中国人民银行文件</w:t>
      </w:r>
    </w:p>
    <w:p w14:paraId="22FD1280" w14:textId="77777777" w:rsidR="00365ED1" w:rsidRDefault="00000000">
      <w:pPr>
        <w:spacing w:after="0" w:line="259" w:lineRule="auto"/>
        <w:ind w:right="48" w:firstLine="0"/>
        <w:jc w:val="center"/>
      </w:pPr>
      <w:r>
        <w:rPr>
          <w:sz w:val="34"/>
        </w:rPr>
        <w:t>银发〔2 0 1 1〕1 1 6号</w:t>
      </w:r>
    </w:p>
    <w:p w14:paraId="61BB71BE" w14:textId="77777777" w:rsidR="00365ED1" w:rsidRDefault="00000000">
      <w:pPr>
        <w:spacing w:after="955" w:line="259" w:lineRule="auto"/>
        <w:ind w:left="-21" w:right="-64" w:firstLine="0"/>
        <w:jc w:val="left"/>
      </w:pPr>
      <w:r>
        <w:rPr>
          <w:rFonts w:ascii="Calibri" w:eastAsia="Calibri" w:hAnsi="Calibri" w:cs="Calibri"/>
          <w:noProof/>
          <w:sz w:val="22"/>
        </w:rPr>
        <mc:AlternateContent>
          <mc:Choice Requires="wpg">
            <w:drawing>
              <wp:inline distT="0" distB="0" distL="0" distR="0" wp14:anchorId="5908342D" wp14:editId="2AC69570">
                <wp:extent cx="5587292" cy="20234"/>
                <wp:effectExtent l="0" t="0" r="0" b="0"/>
                <wp:docPr id="38731" name="Group 38731"/>
                <wp:cNvGraphicFramePr/>
                <a:graphic xmlns:a="http://schemas.openxmlformats.org/drawingml/2006/main">
                  <a:graphicData uri="http://schemas.microsoft.com/office/word/2010/wordprocessingGroup">
                    <wpg:wgp>
                      <wpg:cNvGrpSpPr/>
                      <wpg:grpSpPr>
                        <a:xfrm>
                          <a:off x="0" y="0"/>
                          <a:ext cx="5587292" cy="20234"/>
                          <a:chOff x="0" y="0"/>
                          <a:chExt cx="5587292" cy="20234"/>
                        </a:xfrm>
                      </wpg:grpSpPr>
                      <wps:wsp>
                        <wps:cNvPr id="38730" name="Shape 38730"/>
                        <wps:cNvSpPr/>
                        <wps:spPr>
                          <a:xfrm>
                            <a:off x="0" y="0"/>
                            <a:ext cx="5587292" cy="20234"/>
                          </a:xfrm>
                          <a:custGeom>
                            <a:avLst/>
                            <a:gdLst/>
                            <a:ahLst/>
                            <a:cxnLst/>
                            <a:rect l="0" t="0" r="0" b="0"/>
                            <a:pathLst>
                              <a:path w="5587292" h="20234">
                                <a:moveTo>
                                  <a:pt x="0" y="10117"/>
                                </a:moveTo>
                                <a:lnTo>
                                  <a:pt x="5587292" y="10117"/>
                                </a:lnTo>
                              </a:path>
                            </a:pathLst>
                          </a:custGeom>
                          <a:ln w="202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8731" style="width:439.944pt;height:1.5932pt;mso-position-horizontal-relative:char;mso-position-vertical-relative:line" coordsize="55872,202">
                <v:shape id="Shape 38730" style="position:absolute;width:55872;height:202;left:0;top:0;" coordsize="5587292,20234" path="m0,10117l5587292,10117">
                  <v:stroke weight="1.5932pt" endcap="flat" joinstyle="miter" miterlimit="1" on="true" color="#000000"/>
                  <v:fill on="false" color="#000000"/>
                </v:shape>
              </v:group>
            </w:pict>
          </mc:Fallback>
        </mc:AlternateContent>
      </w:r>
    </w:p>
    <w:p w14:paraId="6F077D88" w14:textId="77777777" w:rsidR="00365ED1" w:rsidRDefault="00000000">
      <w:pPr>
        <w:spacing w:after="0" w:line="259" w:lineRule="auto"/>
        <w:ind w:right="11" w:firstLine="0"/>
        <w:jc w:val="center"/>
      </w:pPr>
      <w:r>
        <w:rPr>
          <w:sz w:val="38"/>
        </w:rPr>
        <w:t>中国人民银行关于进一步加强人民币银行</w:t>
      </w:r>
    </w:p>
    <w:p w14:paraId="0D67BFBF" w14:textId="77777777" w:rsidR="00365ED1" w:rsidRDefault="00000000">
      <w:pPr>
        <w:spacing w:after="183" w:line="259" w:lineRule="auto"/>
        <w:ind w:left="287" w:firstLine="0"/>
        <w:jc w:val="left"/>
      </w:pPr>
      <w:r>
        <w:rPr>
          <w:sz w:val="38"/>
        </w:rPr>
        <w:t>结算账户开立、转账、现金支取业务管理的通知</w:t>
      </w:r>
    </w:p>
    <w:p w14:paraId="6033C73F" w14:textId="77777777" w:rsidR="00365ED1" w:rsidRDefault="00000000">
      <w:pPr>
        <w:spacing w:after="0"/>
        <w:ind w:left="6" w:right="12" w:firstLine="37"/>
      </w:pPr>
      <w:r>
        <w:t>中国人民银行上海总部，各分行、营业管理部，各省会（首府）城市中心支行，深圳市中心支行；国家开发银行，各政策性银行、国有商业银行、股份制商业银行，中国邮政储蓄银行：</w:t>
      </w:r>
    </w:p>
    <w:p w14:paraId="3D6F92F4" w14:textId="77777777" w:rsidR="00365ED1" w:rsidRDefault="00000000">
      <w:pPr>
        <w:spacing w:after="10" w:line="248" w:lineRule="auto"/>
        <w:ind w:firstLine="632"/>
      </w:pPr>
      <w:r>
        <w:rPr>
          <w:sz w:val="26"/>
        </w:rPr>
        <w:t>近年来，银行业金融机构（以下简称银行）不断加强人民币支付结算业务管理，创新支付结算业务模式，建立健全风险防范机制，为社会公众提供了高效、便捷、安全的支付结算服务，满足了社会公众日益增长的支付需求。但是，也有个别银行不严格按照现行的法规制度办理人民币支付结算业务和</w:t>
      </w:r>
      <w:r>
        <w:rPr>
          <w:sz w:val="26"/>
        </w:rPr>
        <w:lastRenderedPageBreak/>
        <w:t>履行反洗钱义务，人民币银行结算账户开立、转账、现金支取、可疑交易报告业务方面的问题较为突出，扰乱了国家正常的经济金融秩序，客观上为不法分子逃税骗税、贪污受贿、洗钱等违法犯罪活动转移资金提供了便利。为进一步加强人民币支付结算业务管理和反洗钱工作，现就有关事项通知如下</w:t>
      </w:r>
      <w:r>
        <w:rPr>
          <w:noProof/>
        </w:rPr>
        <w:drawing>
          <wp:inline distT="0" distB="0" distL="0" distR="0" wp14:anchorId="1F5FC387" wp14:editId="37DCE3B7">
            <wp:extent cx="23604" cy="91051"/>
            <wp:effectExtent l="0" t="0" r="0" b="0"/>
            <wp:docPr id="38733" name="Picture 38733"/>
            <wp:cNvGraphicFramePr/>
            <a:graphic xmlns:a="http://schemas.openxmlformats.org/drawingml/2006/main">
              <a:graphicData uri="http://schemas.openxmlformats.org/drawingml/2006/picture">
                <pic:pic xmlns:pic="http://schemas.openxmlformats.org/drawingml/2006/picture">
                  <pic:nvPicPr>
                    <pic:cNvPr id="38733" name="Picture 38733"/>
                    <pic:cNvPicPr/>
                  </pic:nvPicPr>
                  <pic:blipFill>
                    <a:blip r:embed="rId7"/>
                    <a:stretch>
                      <a:fillRect/>
                    </a:stretch>
                  </pic:blipFill>
                  <pic:spPr>
                    <a:xfrm>
                      <a:off x="0" y="0"/>
                      <a:ext cx="23604" cy="91051"/>
                    </a:xfrm>
                    <a:prstGeom prst="rect">
                      <a:avLst/>
                    </a:prstGeom>
                  </pic:spPr>
                </pic:pic>
              </a:graphicData>
            </a:graphic>
          </wp:inline>
        </w:drawing>
      </w:r>
    </w:p>
    <w:p w14:paraId="7C657706" w14:textId="77777777" w:rsidR="00365ED1" w:rsidRDefault="00000000">
      <w:pPr>
        <w:spacing w:after="10" w:line="248" w:lineRule="auto"/>
        <w:ind w:left="659" w:hanging="10"/>
      </w:pPr>
      <w:r>
        <w:rPr>
          <w:noProof/>
        </w:rPr>
        <w:drawing>
          <wp:inline distT="0" distB="0" distL="0" distR="0" wp14:anchorId="3018BCDF" wp14:editId="4012853D">
            <wp:extent cx="151737" cy="23606"/>
            <wp:effectExtent l="0" t="0" r="0" b="0"/>
            <wp:docPr id="5683" name="Picture 5683"/>
            <wp:cNvGraphicFramePr/>
            <a:graphic xmlns:a="http://schemas.openxmlformats.org/drawingml/2006/main">
              <a:graphicData uri="http://schemas.openxmlformats.org/drawingml/2006/picture">
                <pic:pic xmlns:pic="http://schemas.openxmlformats.org/drawingml/2006/picture">
                  <pic:nvPicPr>
                    <pic:cNvPr id="5683" name="Picture 5683"/>
                    <pic:cNvPicPr/>
                  </pic:nvPicPr>
                  <pic:blipFill>
                    <a:blip r:embed="rId8"/>
                    <a:stretch>
                      <a:fillRect/>
                    </a:stretch>
                  </pic:blipFill>
                  <pic:spPr>
                    <a:xfrm>
                      <a:off x="0" y="0"/>
                      <a:ext cx="151737" cy="23606"/>
                    </a:xfrm>
                    <a:prstGeom prst="rect">
                      <a:avLst/>
                    </a:prstGeom>
                  </pic:spPr>
                </pic:pic>
              </a:graphicData>
            </a:graphic>
          </wp:inline>
        </w:drawing>
      </w:r>
      <w:r>
        <w:rPr>
          <w:sz w:val="26"/>
        </w:rPr>
        <w:t>、严格按照法规制度办理人民币银行结算账户开立业务</w:t>
      </w:r>
    </w:p>
    <w:p w14:paraId="5B941FF5" w14:textId="77777777" w:rsidR="00365ED1" w:rsidRDefault="00000000">
      <w:pPr>
        <w:spacing w:after="170"/>
        <w:ind w:left="6" w:right="12"/>
      </w:pPr>
      <w:r>
        <w:t>银行应严格按照《中华人民共和国反洗钱法》、《个人存款账户实名制规定》（中华人民共和国国务院令第2 8 5号发布），《人民币银行结算账户管理办法》（中国人民银行令〔2 0 0 3〕第5号发布）、《金融机构客户身份识别和客户身份资料及交易记录保存管理办法》（中国人民银行中国银行业监督管理委员会中国证券监督管理委员会中国保险监督管理委员会令〔2 0 07〕第2号发布）、《中国人民银行关于进一步加强金融机构反洗钱工作的通知》（银发〔2 0 0 8〕3 9 1号）等法规制度，勤勉尽责，遵循“了解你的客户"的原则，履行客户身份识别义务，落实银行账户实名</w:t>
      </w:r>
    </w:p>
    <w:p w14:paraId="5C9AE0BB" w14:textId="77777777" w:rsidR="00365ED1" w:rsidRDefault="00000000">
      <w:pPr>
        <w:numPr>
          <w:ilvl w:val="0"/>
          <w:numId w:val="1"/>
        </w:numPr>
        <w:spacing w:after="10" w:line="248" w:lineRule="auto"/>
        <w:ind w:right="6" w:hanging="722"/>
      </w:pPr>
      <w:r>
        <w:rPr>
          <w:sz w:val="26"/>
        </w:rPr>
        <w:t>切实落实个人银行账户实名制。</w:t>
      </w:r>
    </w:p>
    <w:p w14:paraId="3CAC40E6" w14:textId="77777777" w:rsidR="00365ED1" w:rsidRDefault="00000000">
      <w:pPr>
        <w:ind w:left="6" w:right="12"/>
      </w:pPr>
      <w:r>
        <w:t>存款人申请开立个人银行结算账户的，银行应严格核对存款人身份证明文件的姓名、身份证件号码及照片，防止存款人以虚假身份证件或者借用、冒用他人身份证件开立个人银行结算账户。对于存款人出示居民身份证的，应按照规定通过联网核查公民身份信息系统进行核查。</w:t>
      </w:r>
    </w:p>
    <w:p w14:paraId="37427EAA" w14:textId="77777777" w:rsidR="00365ED1" w:rsidRDefault="00000000">
      <w:pPr>
        <w:ind w:left="6" w:right="12"/>
      </w:pPr>
      <w:r>
        <w:t>对于代理开立个人银行结算账户的，银行应严格审核代理人的身份证件，联系被代理人进行核实，并留存电话记录等联系资料。如被代理人先前在本行办理过业务的，银行可以使用已留存的被代理人的联系方式。</w:t>
      </w:r>
    </w:p>
    <w:p w14:paraId="0D0201B3" w14:textId="77777777" w:rsidR="00365ED1" w:rsidRDefault="00000000">
      <w:pPr>
        <w:spacing w:after="0" w:line="249" w:lineRule="auto"/>
        <w:ind w:left="6" w:right="-15" w:firstLine="617"/>
        <w:jc w:val="left"/>
      </w:pPr>
      <w:r>
        <w:rPr>
          <w:sz w:val="26"/>
        </w:rPr>
        <w:t xml:space="preserve">对于同一自然人在一家银行开立个人银行结算账户累计1 0 </w:t>
      </w:r>
      <w:proofErr w:type="gramStart"/>
      <w:r>
        <w:rPr>
          <w:sz w:val="26"/>
        </w:rPr>
        <w:t>户以上</w:t>
      </w:r>
      <w:proofErr w:type="gramEnd"/>
      <w:r>
        <w:rPr>
          <w:sz w:val="26"/>
        </w:rPr>
        <w:t>的，银行应将相关账户作为重点监测对象，对于有合理理由怀疑账户的支付交易</w:t>
      </w:r>
      <w:r>
        <w:rPr>
          <w:sz w:val="26"/>
        </w:rPr>
        <w:lastRenderedPageBreak/>
        <w:t>涉及违法犯罪活动的，应将其作为可疑交易按规定报告中国反洗钱监测分析中心，明显涉嫌犯罪活动的，应同时向中国人民银行当地分支机构报告。</w:t>
      </w:r>
    </w:p>
    <w:p w14:paraId="2107DD83" w14:textId="77777777" w:rsidR="00365ED1" w:rsidRDefault="00000000">
      <w:pPr>
        <w:numPr>
          <w:ilvl w:val="0"/>
          <w:numId w:val="1"/>
        </w:numPr>
        <w:ind w:right="6" w:hanging="722"/>
      </w:pPr>
      <w:r>
        <w:t>加强单位银行结算账户开立管理。</w:t>
      </w:r>
    </w:p>
    <w:p w14:paraId="45C9A7E2" w14:textId="77777777" w:rsidR="00365ED1" w:rsidRDefault="00000000">
      <w:pPr>
        <w:ind w:left="6" w:right="12"/>
      </w:pPr>
      <w:r>
        <w:t>对于法定代表人或者单位负责人授权他人办理单位银行结算账户开立业务的，被授权人应是授权单位工作人</w:t>
      </w:r>
      <w:proofErr w:type="gramStart"/>
      <w:r>
        <w:t>丿吕</w:t>
      </w:r>
      <w:proofErr w:type="gramEnd"/>
      <w:r>
        <w:t>、，银行应采取审核被授权人工作证件等措施予以核实。</w:t>
      </w:r>
    </w:p>
    <w:p w14:paraId="643A52E7" w14:textId="77777777" w:rsidR="00365ED1" w:rsidRDefault="00000000">
      <w:pPr>
        <w:spacing w:after="0" w:line="249" w:lineRule="auto"/>
        <w:ind w:left="6" w:right="-15" w:firstLine="617"/>
        <w:jc w:val="left"/>
      </w:pPr>
      <w:r>
        <w:rPr>
          <w:sz w:val="26"/>
        </w:rPr>
        <w:t>对于同一自然人作为具体经办人员办理两个以上单位的银行结算账户开立业务的，或者同一自然人是两个以上单位的法定代表人或者单位负责人的，或者两个以上单位银行结算账户信息中的联系电话、地址等相同的，银行除审核存款人提供的开户证明文件外，应采取回访、实地查访、向公安、工商行政管理部门核实等一项或多项措施进一步核实存款人身份，并重点关注相关账户的支付交易情况。银行经甄别后，对于有合理理由怀疑支付交易涉及违法犯罪活动的，应将其作为可疑交易按规定报告中国反洗钱监测分析中心。</w:t>
      </w:r>
    </w:p>
    <w:p w14:paraId="2C8B64E6" w14:textId="77777777" w:rsidR="00365ED1" w:rsidRDefault="00000000">
      <w:pPr>
        <w:spacing w:after="10" w:line="248" w:lineRule="auto"/>
        <w:ind w:left="16" w:firstLine="611"/>
      </w:pPr>
      <w:r>
        <w:rPr>
          <w:sz w:val="26"/>
        </w:rPr>
        <w:t>对于新开立的单位银行结算账户，银行应严格执行3个工作日生效制度。对于注册验资的临时存款账户，在验资期间只收不付，注册验资资金的</w:t>
      </w:r>
      <w:proofErr w:type="gramStart"/>
      <w:r>
        <w:rPr>
          <w:sz w:val="26"/>
        </w:rPr>
        <w:t>汇缴人与</w:t>
      </w:r>
      <w:proofErr w:type="gramEnd"/>
      <w:r>
        <w:rPr>
          <w:sz w:val="26"/>
        </w:rPr>
        <w:t>出资人名称应一致。</w:t>
      </w:r>
    </w:p>
    <w:p w14:paraId="7AAAA47E" w14:textId="77777777" w:rsidR="00365ED1" w:rsidRDefault="00000000">
      <w:pPr>
        <w:spacing w:after="0" w:line="257" w:lineRule="auto"/>
        <w:ind w:left="5" w:firstLine="616"/>
        <w:jc w:val="left"/>
      </w:pPr>
      <w:r>
        <w:t>银行得知存款人注</w:t>
      </w:r>
      <w:proofErr w:type="gramStart"/>
      <w:r>
        <w:t>钅</w:t>
      </w:r>
      <w:proofErr w:type="gramEnd"/>
      <w:r>
        <w:t>肖或被吊</w:t>
      </w:r>
      <w:proofErr w:type="gramStart"/>
      <w:r>
        <w:t>钅</w:t>
      </w:r>
      <w:proofErr w:type="gramEnd"/>
      <w:r>
        <w:t>肖营业执照的，如存款人超过规定期限未主动办理撤</w:t>
      </w:r>
      <w:proofErr w:type="gramStart"/>
      <w:r>
        <w:t>钅肖手续</w:t>
      </w:r>
      <w:proofErr w:type="gramEnd"/>
      <w:r>
        <w:t>的，银行有权停止其银行结算账户的对外支付，并要求存款人撤</w:t>
      </w:r>
      <w:proofErr w:type="gramStart"/>
      <w:r>
        <w:t>钅肖银行</w:t>
      </w:r>
      <w:proofErr w:type="gramEnd"/>
      <w:r>
        <w:t>结算账户。</w:t>
      </w:r>
    </w:p>
    <w:p w14:paraId="7F7566E9" w14:textId="77777777" w:rsidR="00365ED1" w:rsidRDefault="00000000">
      <w:pPr>
        <w:ind w:left="6" w:right="12"/>
      </w:pPr>
      <w:r>
        <w:t>对于存款人未参加年检，存在工商营业执照、法定代表人或者单位负责人身份证件等重要开户证明文件超过有效期等不符合银行结算账户开立规定情形的，银行应撤</w:t>
      </w:r>
      <w:proofErr w:type="gramStart"/>
      <w:r>
        <w:t>钅肖银行</w:t>
      </w:r>
      <w:proofErr w:type="gramEnd"/>
      <w:r>
        <w:t>结算账户。如该账户为基本存款账户，银行应停止账户的对外支付，待其他银行结算账户撤</w:t>
      </w:r>
      <w:proofErr w:type="gramStart"/>
      <w:r>
        <w:t>钅</w:t>
      </w:r>
      <w:proofErr w:type="gramEnd"/>
      <w:r>
        <w:t>肖后，再撤</w:t>
      </w:r>
      <w:proofErr w:type="gramStart"/>
      <w:r>
        <w:t>钅</w:t>
      </w:r>
      <w:proofErr w:type="gramEnd"/>
      <w:r>
        <w:t>肖基本存款账户。</w:t>
      </w:r>
    </w:p>
    <w:p w14:paraId="55FA03A3" w14:textId="77777777" w:rsidR="00365ED1" w:rsidRDefault="00000000">
      <w:pPr>
        <w:ind w:left="6" w:right="12"/>
      </w:pPr>
      <w:r>
        <w:lastRenderedPageBreak/>
        <w:t>对于伪造变造居民身份证、工商营业执照、税务登记证等开户证明文件骗取开立银行结算账户的，银行应按照《中国人民银行关于规范人民币银行结算账户管理有关问题的通知》（银发〔2 0 0 6〕7 1号）的规定，采取相关措施配合中国人民银行对相关单位及个人进行处理。同时，银行应采取加强业务培训、利用技术手段、建立与公安、工商部门协作机制等各种措施，切实提高识别证明文件真伪及了解客户的能力。</w:t>
      </w:r>
    </w:p>
    <w:p w14:paraId="736A5BF4" w14:textId="77777777" w:rsidR="00365ED1" w:rsidRDefault="00000000">
      <w:pPr>
        <w:spacing w:after="10" w:line="248" w:lineRule="auto"/>
        <w:ind w:left="659" w:hanging="10"/>
      </w:pPr>
      <w:r>
        <w:rPr>
          <w:noProof/>
        </w:rPr>
        <w:drawing>
          <wp:inline distT="0" distB="0" distL="0" distR="0" wp14:anchorId="218E40EA" wp14:editId="695D1CFC">
            <wp:extent cx="151737" cy="101167"/>
            <wp:effectExtent l="0" t="0" r="0" b="0"/>
            <wp:docPr id="38736" name="Picture 38736"/>
            <wp:cNvGraphicFramePr/>
            <a:graphic xmlns:a="http://schemas.openxmlformats.org/drawingml/2006/main">
              <a:graphicData uri="http://schemas.openxmlformats.org/drawingml/2006/picture">
                <pic:pic xmlns:pic="http://schemas.openxmlformats.org/drawingml/2006/picture">
                  <pic:nvPicPr>
                    <pic:cNvPr id="38736" name="Picture 38736"/>
                    <pic:cNvPicPr/>
                  </pic:nvPicPr>
                  <pic:blipFill>
                    <a:blip r:embed="rId9"/>
                    <a:stretch>
                      <a:fillRect/>
                    </a:stretch>
                  </pic:blipFill>
                  <pic:spPr>
                    <a:xfrm>
                      <a:off x="0" y="0"/>
                      <a:ext cx="151737" cy="101167"/>
                    </a:xfrm>
                    <a:prstGeom prst="rect">
                      <a:avLst/>
                    </a:prstGeom>
                  </pic:spPr>
                </pic:pic>
              </a:graphicData>
            </a:graphic>
          </wp:inline>
        </w:drawing>
      </w:r>
      <w:r>
        <w:rPr>
          <w:sz w:val="26"/>
        </w:rPr>
        <w:t>、严格按照法规制度办理人民币银行结算账户转账业务</w:t>
      </w:r>
    </w:p>
    <w:p w14:paraId="52569461" w14:textId="77777777" w:rsidR="00365ED1" w:rsidRDefault="00000000">
      <w:pPr>
        <w:spacing w:after="55"/>
        <w:ind w:left="6" w:right="12"/>
      </w:pPr>
      <w:r>
        <w:t>银行应按照《中华人民共和国反洗钱法》、《人民币银行结算账户管理办法》、《金融机构大额交易和可疑交易报告管理办法》（中国人民银行令〔2 0 0 6〕第2号发布）、《中国人民银行关于改进个人支付结算服务的通知》（银发〔2 0 0 7〕1 5 4号）、《中国人民银行关于明确可疑交易报告制度有关执行问题的通知》（银发〔2 0 1 0〕4 8号）等法规制度，加强转账、汇兑等业务管理，将大额和可疑交易按规定报告中国反洗钱监测分析中心，明显涉嫌犯罪活动的，应同时向中国人民银行当地分支机构报告。</w:t>
      </w:r>
    </w:p>
    <w:p w14:paraId="5E872713" w14:textId="77777777" w:rsidR="00365ED1" w:rsidRDefault="00000000">
      <w:pPr>
        <w:spacing w:after="0"/>
        <w:ind w:left="6" w:right="12" w:firstLine="743"/>
      </w:pPr>
      <w:r>
        <w:t>（一）对于单位银行结算账户向个人银行结算账户转账单笔超过5万元的，存款人若在付款用途栏或备注栏注明事由，可不再另行出具付款依据。但是，具有下列一种或多种特征的可疑交易，银行应关闭单位银行结算账户的网上银行转账功能，要求存款人到银行网点柜台办理转账业务，并出具书面付款依据或相关证明文件；如存款人未提供相关依据或相关依据不符合规定的，银行应拒绝办理转账业务：</w:t>
      </w:r>
    </w:p>
    <w:p w14:paraId="01F2FBF1" w14:textId="77777777" w:rsidR="00365ED1" w:rsidRDefault="00000000">
      <w:pPr>
        <w:numPr>
          <w:ilvl w:val="0"/>
          <w:numId w:val="2"/>
        </w:numPr>
        <w:ind w:firstLine="603"/>
      </w:pPr>
      <w:r>
        <w:t>.账户资金集中转入，分散转出，跨区域交易；</w:t>
      </w:r>
    </w:p>
    <w:p w14:paraId="61B7FF93" w14:textId="77777777" w:rsidR="00365ED1" w:rsidRDefault="00000000">
      <w:pPr>
        <w:numPr>
          <w:ilvl w:val="0"/>
          <w:numId w:val="2"/>
        </w:numPr>
        <w:spacing w:after="10" w:line="248" w:lineRule="auto"/>
        <w:ind w:firstLine="603"/>
      </w:pPr>
      <w:r>
        <w:rPr>
          <w:sz w:val="26"/>
        </w:rPr>
        <w:t>·账户资金快进快出，不留余额或者留下一定比例余额后转出，过渡性质明显；</w:t>
      </w:r>
    </w:p>
    <w:p w14:paraId="6AD49EFE" w14:textId="77777777" w:rsidR="00365ED1" w:rsidRDefault="00000000">
      <w:pPr>
        <w:numPr>
          <w:ilvl w:val="0"/>
          <w:numId w:val="2"/>
        </w:numPr>
        <w:ind w:firstLine="603"/>
      </w:pPr>
      <w:r>
        <w:t>·拆分交易，故意规避交易限额；</w:t>
      </w:r>
    </w:p>
    <w:p w14:paraId="79E45907" w14:textId="77777777" w:rsidR="00365ED1" w:rsidRDefault="00000000">
      <w:pPr>
        <w:numPr>
          <w:ilvl w:val="0"/>
          <w:numId w:val="2"/>
        </w:numPr>
        <w:spacing w:after="10" w:line="248" w:lineRule="auto"/>
        <w:ind w:firstLine="603"/>
      </w:pPr>
      <w:r>
        <w:rPr>
          <w:sz w:val="26"/>
        </w:rPr>
        <w:lastRenderedPageBreak/>
        <w:t xml:space="preserve">·账户资金金额较大，对外收付金额与单位经营规模、 </w:t>
      </w:r>
      <w:proofErr w:type="gramStart"/>
      <w:r>
        <w:rPr>
          <w:sz w:val="26"/>
        </w:rPr>
        <w:t>然昔活动</w:t>
      </w:r>
      <w:proofErr w:type="gramEnd"/>
      <w:r>
        <w:rPr>
          <w:sz w:val="26"/>
        </w:rPr>
        <w:t>明显不符；</w:t>
      </w:r>
    </w:p>
    <w:p w14:paraId="48384AF8" w14:textId="77777777" w:rsidR="00365ED1" w:rsidRDefault="00000000">
      <w:pPr>
        <w:numPr>
          <w:ilvl w:val="0"/>
          <w:numId w:val="2"/>
        </w:numPr>
        <w:spacing w:after="10" w:line="248" w:lineRule="auto"/>
        <w:ind w:firstLine="603"/>
      </w:pPr>
      <w:r>
        <w:rPr>
          <w:sz w:val="26"/>
        </w:rPr>
        <w:t>·其他可疑情形。</w:t>
      </w:r>
    </w:p>
    <w:p w14:paraId="32A0D573" w14:textId="77777777" w:rsidR="00365ED1" w:rsidRDefault="00000000">
      <w:pPr>
        <w:ind w:left="6" w:right="12" w:firstLine="727"/>
      </w:pPr>
      <w:r>
        <w:t>（二）银行应根据存款人注册资金大小，结合企业正常经营需求，分别核定存款人单位银行结算账户网上银行转账限额。</w:t>
      </w:r>
    </w:p>
    <w:p w14:paraId="5F296FF2" w14:textId="77777777" w:rsidR="00365ED1" w:rsidRDefault="00000000">
      <w:pPr>
        <w:spacing w:after="10" w:line="248" w:lineRule="auto"/>
        <w:ind w:left="659" w:hanging="10"/>
      </w:pPr>
      <w:r>
        <w:rPr>
          <w:noProof/>
        </w:rPr>
        <w:drawing>
          <wp:inline distT="0" distB="0" distL="0" distR="0" wp14:anchorId="342DD06E" wp14:editId="5CA1E07B">
            <wp:extent cx="141621" cy="134890"/>
            <wp:effectExtent l="0" t="0" r="0" b="0"/>
            <wp:docPr id="38739" name="Picture 38739"/>
            <wp:cNvGraphicFramePr/>
            <a:graphic xmlns:a="http://schemas.openxmlformats.org/drawingml/2006/main">
              <a:graphicData uri="http://schemas.openxmlformats.org/drawingml/2006/picture">
                <pic:pic xmlns:pic="http://schemas.openxmlformats.org/drawingml/2006/picture">
                  <pic:nvPicPr>
                    <pic:cNvPr id="38739" name="Picture 38739"/>
                    <pic:cNvPicPr/>
                  </pic:nvPicPr>
                  <pic:blipFill>
                    <a:blip r:embed="rId10"/>
                    <a:stretch>
                      <a:fillRect/>
                    </a:stretch>
                  </pic:blipFill>
                  <pic:spPr>
                    <a:xfrm>
                      <a:off x="0" y="0"/>
                      <a:ext cx="141621" cy="134890"/>
                    </a:xfrm>
                    <a:prstGeom prst="rect">
                      <a:avLst/>
                    </a:prstGeom>
                  </pic:spPr>
                </pic:pic>
              </a:graphicData>
            </a:graphic>
          </wp:inline>
        </w:drawing>
      </w:r>
      <w:r>
        <w:rPr>
          <w:sz w:val="26"/>
        </w:rPr>
        <w:t>、严格按照法规制度办理人民币现金支取业务</w:t>
      </w:r>
    </w:p>
    <w:p w14:paraId="53B88894" w14:textId="77777777" w:rsidR="00365ED1" w:rsidRDefault="00000000">
      <w:pPr>
        <w:ind w:left="6" w:right="12"/>
      </w:pPr>
      <w:r>
        <w:t>银行应严格按照《中华人民共和国反洗钱法》、《金融机构客户身份识别和客户身份资料及交易记录保存管理办法》、《金融机构大额交易和可疑交易报告管理办法》等法规制度，加强现金支取管理。</w:t>
      </w:r>
    </w:p>
    <w:p w14:paraId="695C84A8" w14:textId="77777777" w:rsidR="00365ED1" w:rsidRDefault="00000000">
      <w:pPr>
        <w:numPr>
          <w:ilvl w:val="0"/>
          <w:numId w:val="3"/>
        </w:numPr>
        <w:ind w:right="12" w:firstLine="746"/>
      </w:pPr>
      <w:r>
        <w:t>为个人存款人办理人民币单笔5万元以上现金支取业务的，银行应核对存款人的有效身份证件。对于他人代理办理的，银行应严格审核存款人及代理人的身份证件，并留存存款人及代理人的身份证件复印件或者影印件。</w:t>
      </w:r>
    </w:p>
    <w:p w14:paraId="1D5A1AA4" w14:textId="77777777" w:rsidR="00365ED1" w:rsidRDefault="00000000">
      <w:pPr>
        <w:numPr>
          <w:ilvl w:val="0"/>
          <w:numId w:val="3"/>
        </w:numPr>
        <w:ind w:right="12" w:firstLine="746"/>
      </w:pPr>
      <w:r>
        <w:t>对于单笔或者当日累计人民币交易2 0万元以上的现金支取、现金票据解付及其他形式的现金支取，银行应按规定向中国反洗钱监测分析中心报告。</w:t>
      </w:r>
    </w:p>
    <w:p w14:paraId="24BCD7DA" w14:textId="77777777" w:rsidR="00365ED1" w:rsidRDefault="00000000">
      <w:pPr>
        <w:numPr>
          <w:ilvl w:val="0"/>
          <w:numId w:val="3"/>
        </w:numPr>
        <w:spacing w:after="10" w:line="248" w:lineRule="auto"/>
        <w:ind w:right="12" w:firstLine="746"/>
      </w:pPr>
      <w:r>
        <w:rPr>
          <w:sz w:val="26"/>
        </w:rPr>
        <w:t>有合理理由认为现金支取与洗钱、恐怖主义活动及其他违法犯罪活动有关的，银行应按规定报告中国反洗钱监测分析中心，同时向中国人民银行当地分支机构报告。</w:t>
      </w:r>
    </w:p>
    <w:p w14:paraId="7BB18A9A" w14:textId="77777777" w:rsidR="00365ED1" w:rsidRDefault="00000000">
      <w:pPr>
        <w:numPr>
          <w:ilvl w:val="0"/>
          <w:numId w:val="3"/>
        </w:numPr>
        <w:ind w:right="12" w:firstLine="746"/>
      </w:pPr>
      <w:r>
        <w:t>存款人通过自动柜员机（ATM）支取现金，每卡每日累计不得超过人民币2万元。</w:t>
      </w:r>
    </w:p>
    <w:p w14:paraId="651F2FED" w14:textId="77777777" w:rsidR="00365ED1" w:rsidRDefault="00000000">
      <w:pPr>
        <w:spacing w:after="10" w:line="248" w:lineRule="auto"/>
        <w:ind w:left="659" w:hanging="10"/>
      </w:pPr>
      <w:r>
        <w:rPr>
          <w:sz w:val="26"/>
        </w:rPr>
        <w:t>四、加大支付结算业务监督管理力度</w:t>
      </w:r>
    </w:p>
    <w:p w14:paraId="787E8C35" w14:textId="77777777" w:rsidR="00365ED1" w:rsidRDefault="00000000">
      <w:pPr>
        <w:ind w:left="6" w:right="12"/>
      </w:pPr>
      <w:r>
        <w:t>为严肃支付结算纪律，提高支付服务水平，中国人民银行分支机构和银行应对人民币银行结算账户开立、转账、现金支取等业务进行检查。</w:t>
      </w:r>
    </w:p>
    <w:p w14:paraId="29D5C9C9" w14:textId="77777777" w:rsidR="00365ED1" w:rsidRDefault="00000000">
      <w:pPr>
        <w:numPr>
          <w:ilvl w:val="0"/>
          <w:numId w:val="4"/>
        </w:numPr>
        <w:spacing w:after="53"/>
        <w:ind w:right="12" w:firstLine="691"/>
      </w:pPr>
      <w:r>
        <w:lastRenderedPageBreak/>
        <w:t>银行自查。各银行应按照银行结算账户管理、反洗钱及本通知规定，组织开展全行自查工作，对本行所有营业网点的人民币银行结算账户开立、转账及现金支取业务进行全面检查。各银行应制定检查方案，对本行分支机构检查工作予以督导，对于检查发现的问题，应立即进行整改，及时制定或修订有关政策制度，依法对相关责任单位及个人进行处理，切实将检查落到实处，防止走过场。</w:t>
      </w:r>
    </w:p>
    <w:p w14:paraId="09AAF9AB" w14:textId="77777777" w:rsidR="00365ED1" w:rsidRDefault="00000000">
      <w:pPr>
        <w:ind w:left="6" w:right="12"/>
      </w:pPr>
      <w:r>
        <w:t>各银行应于2 0 1 1年8月底前完成自查工作，并根据本通知要求完善行内反洗钱监测系统。2 0 1 1年9月巧日前，各银行将检查方案、检查步骤、存在问题及整改情况等报送中国人民银行当地分支机构。国家开发银行，各政策性银行、国有商业银行、股份制商业银行，中国邮政储蓄银行应将检查情况报告中国人民银行总行。</w:t>
      </w:r>
    </w:p>
    <w:p w14:paraId="7F38B9D5" w14:textId="77777777" w:rsidR="00365ED1" w:rsidRDefault="00000000">
      <w:pPr>
        <w:numPr>
          <w:ilvl w:val="0"/>
          <w:numId w:val="4"/>
        </w:numPr>
        <w:spacing w:after="1"/>
        <w:ind w:right="12" w:firstLine="691"/>
      </w:pPr>
      <w:r>
        <w:t>中国人民银行检查。中国人民银行分支机构应依据《中国人民银行关于开展银行业金融机构支付结算执法检查的通知》（银发〔2 0 1 1〕6 1号）的规定，对人民币银行结算账户开立业务进行重点检查。同时，在日常账户检查和反洗</w:t>
      </w:r>
      <w:proofErr w:type="gramStart"/>
      <w:r>
        <w:t>钱检查</w:t>
      </w:r>
      <w:proofErr w:type="gramEnd"/>
      <w:r>
        <w:t>工作中，应将人民币银行结算账户开立业务、人民币单位银行结算账户向个人银行结算账户转账业务、现金支取业务作为重点检查内容。</w:t>
      </w:r>
    </w:p>
    <w:p w14:paraId="3E3E20BB" w14:textId="77777777" w:rsidR="00365ED1" w:rsidRDefault="00000000">
      <w:pPr>
        <w:spacing w:after="0"/>
        <w:ind w:left="6" w:right="12"/>
      </w:pPr>
      <w:r>
        <w:t>经检查，对存在违规行为的银行，中国人民银行分支机构应严格按照有关法规制度进行处罚，并进一步采取约见单位负责人诫勉谈话、通报、列入下一年度重点检查对象等措施。</w:t>
      </w:r>
    </w:p>
    <w:p w14:paraId="707A859D" w14:textId="77777777" w:rsidR="00365ED1" w:rsidRDefault="00000000">
      <w:pPr>
        <w:spacing w:after="2139"/>
        <w:ind w:left="6" w:right="12"/>
      </w:pPr>
      <w:r>
        <w:t>请中国人民银行上海总部，各分行、营业管理部、省会（首府）城市中心支行，深圳市中心支行及时将该通知转发至辖区内各城市商业银行、农村商业银行、农村合作银行、城市信用社、农村信用社和外资银行等银行。</w:t>
      </w:r>
    </w:p>
    <w:p w14:paraId="2764D684" w14:textId="77777777" w:rsidR="00365ED1" w:rsidRDefault="00000000">
      <w:pPr>
        <w:spacing w:after="4990" w:line="248" w:lineRule="auto"/>
        <w:ind w:left="4449" w:hanging="10"/>
      </w:pPr>
      <w:r>
        <w:rPr>
          <w:sz w:val="26"/>
        </w:rPr>
        <w:lastRenderedPageBreak/>
        <w:t>二O一一年五月十二日</w:t>
      </w:r>
    </w:p>
    <w:p w14:paraId="628650CE" w14:textId="77777777" w:rsidR="00365ED1" w:rsidRDefault="00000000">
      <w:pPr>
        <w:pStyle w:val="1"/>
      </w:pPr>
      <w:r>
        <w:t>主题词：支付结算账户管理 通知</w:t>
      </w:r>
    </w:p>
    <w:p w14:paraId="55D6DA48" w14:textId="77777777" w:rsidR="00365ED1" w:rsidRDefault="00000000">
      <w:pPr>
        <w:spacing w:after="72" w:line="259" w:lineRule="auto"/>
        <w:ind w:left="-11" w:right="-117" w:firstLine="0"/>
        <w:jc w:val="left"/>
      </w:pPr>
      <w:r>
        <w:rPr>
          <w:rFonts w:ascii="Calibri" w:eastAsia="Calibri" w:hAnsi="Calibri" w:cs="Calibri"/>
          <w:noProof/>
          <w:sz w:val="22"/>
        </w:rPr>
        <mc:AlternateContent>
          <mc:Choice Requires="wpg">
            <w:drawing>
              <wp:inline distT="0" distB="0" distL="0" distR="0" wp14:anchorId="492DA454" wp14:editId="7705F597">
                <wp:extent cx="5594036" cy="10116"/>
                <wp:effectExtent l="0" t="0" r="0" b="0"/>
                <wp:docPr id="38742" name="Group 38742"/>
                <wp:cNvGraphicFramePr/>
                <a:graphic xmlns:a="http://schemas.openxmlformats.org/drawingml/2006/main">
                  <a:graphicData uri="http://schemas.microsoft.com/office/word/2010/wordprocessingGroup">
                    <wpg:wgp>
                      <wpg:cNvGrpSpPr/>
                      <wpg:grpSpPr>
                        <a:xfrm>
                          <a:off x="0" y="0"/>
                          <a:ext cx="5594036" cy="10116"/>
                          <a:chOff x="0" y="0"/>
                          <a:chExt cx="5594036" cy="10116"/>
                        </a:xfrm>
                      </wpg:grpSpPr>
                      <wps:wsp>
                        <wps:cNvPr id="38741" name="Shape 38741"/>
                        <wps:cNvSpPr/>
                        <wps:spPr>
                          <a:xfrm>
                            <a:off x="0" y="0"/>
                            <a:ext cx="5594036" cy="10116"/>
                          </a:xfrm>
                          <a:custGeom>
                            <a:avLst/>
                            <a:gdLst/>
                            <a:ahLst/>
                            <a:cxnLst/>
                            <a:rect l="0" t="0" r="0" b="0"/>
                            <a:pathLst>
                              <a:path w="5594036" h="10116">
                                <a:moveTo>
                                  <a:pt x="0" y="5058"/>
                                </a:moveTo>
                                <a:lnTo>
                                  <a:pt x="5594036" y="5058"/>
                                </a:lnTo>
                              </a:path>
                            </a:pathLst>
                          </a:custGeom>
                          <a:ln w="101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8742" style="width:440.475pt;height:0.79657pt;mso-position-horizontal-relative:char;mso-position-vertical-relative:line" coordsize="55940,101">
                <v:shape id="Shape 38741" style="position:absolute;width:55940;height:101;left:0;top:0;" coordsize="5594036,10116" path="m0,5058l5594036,5058">
                  <v:stroke weight="0.79657pt" endcap="flat" joinstyle="miter" miterlimit="1" on="true" color="#000000"/>
                  <v:fill on="false" color="#000000"/>
                </v:shape>
              </v:group>
            </w:pict>
          </mc:Fallback>
        </mc:AlternateContent>
      </w:r>
    </w:p>
    <w:p w14:paraId="2E80E821" w14:textId="77777777" w:rsidR="00365ED1" w:rsidRDefault="00000000">
      <w:pPr>
        <w:spacing w:after="27" w:line="229" w:lineRule="auto"/>
        <w:ind w:left="240" w:firstLine="0"/>
        <w:jc w:val="left"/>
      </w:pPr>
      <w:r>
        <w:rPr>
          <w:sz w:val="22"/>
        </w:rPr>
        <w:t>抄送：国家外汇管理局。</w:t>
      </w:r>
    </w:p>
    <w:p w14:paraId="22560A04" w14:textId="77777777" w:rsidR="00365ED1" w:rsidRDefault="00000000">
      <w:pPr>
        <w:spacing w:after="0" w:line="229" w:lineRule="auto"/>
        <w:ind w:left="1514" w:hanging="1274"/>
        <w:jc w:val="left"/>
      </w:pPr>
      <w:r>
        <w:rPr>
          <w:sz w:val="22"/>
        </w:rPr>
        <w:t>内部发送：办公厅，支付司，条法司，</w:t>
      </w:r>
      <w:proofErr w:type="gramStart"/>
      <w:r>
        <w:rPr>
          <w:sz w:val="22"/>
        </w:rPr>
        <w:t>货金局</w:t>
      </w:r>
      <w:proofErr w:type="gramEnd"/>
      <w:r>
        <w:rPr>
          <w:sz w:val="22"/>
        </w:rPr>
        <w:t>，征信管理局，反洗钱局，中国反洗钱监测分析中心。</w:t>
      </w:r>
    </w:p>
    <w:p w14:paraId="59CAEEA1" w14:textId="77777777" w:rsidR="00365ED1" w:rsidRDefault="00000000">
      <w:pPr>
        <w:spacing w:after="80" w:line="259" w:lineRule="auto"/>
        <w:ind w:left="-11" w:right="-117" w:firstLine="0"/>
        <w:jc w:val="left"/>
      </w:pPr>
      <w:r>
        <w:rPr>
          <w:rFonts w:ascii="Calibri" w:eastAsia="Calibri" w:hAnsi="Calibri" w:cs="Calibri"/>
          <w:noProof/>
          <w:sz w:val="22"/>
        </w:rPr>
        <mc:AlternateContent>
          <mc:Choice Requires="wpg">
            <w:drawing>
              <wp:inline distT="0" distB="0" distL="0" distR="0" wp14:anchorId="3AABA235" wp14:editId="657AAAEF">
                <wp:extent cx="5594036" cy="10117"/>
                <wp:effectExtent l="0" t="0" r="0" b="0"/>
                <wp:docPr id="38744" name="Group 38744"/>
                <wp:cNvGraphicFramePr/>
                <a:graphic xmlns:a="http://schemas.openxmlformats.org/drawingml/2006/main">
                  <a:graphicData uri="http://schemas.microsoft.com/office/word/2010/wordprocessingGroup">
                    <wpg:wgp>
                      <wpg:cNvGrpSpPr/>
                      <wpg:grpSpPr>
                        <a:xfrm>
                          <a:off x="0" y="0"/>
                          <a:ext cx="5594036" cy="10117"/>
                          <a:chOff x="0" y="0"/>
                          <a:chExt cx="5594036" cy="10117"/>
                        </a:xfrm>
                      </wpg:grpSpPr>
                      <wps:wsp>
                        <wps:cNvPr id="38743" name="Shape 38743"/>
                        <wps:cNvSpPr/>
                        <wps:spPr>
                          <a:xfrm>
                            <a:off x="0" y="0"/>
                            <a:ext cx="5594036" cy="10117"/>
                          </a:xfrm>
                          <a:custGeom>
                            <a:avLst/>
                            <a:gdLst/>
                            <a:ahLst/>
                            <a:cxnLst/>
                            <a:rect l="0" t="0" r="0" b="0"/>
                            <a:pathLst>
                              <a:path w="5594036" h="10117">
                                <a:moveTo>
                                  <a:pt x="0" y="5059"/>
                                </a:moveTo>
                                <a:lnTo>
                                  <a:pt x="5594036" y="5059"/>
                                </a:lnTo>
                              </a:path>
                            </a:pathLst>
                          </a:custGeom>
                          <a:ln w="1011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8744" style="width:440.475pt;height:0.796631pt;mso-position-horizontal-relative:char;mso-position-vertical-relative:line" coordsize="55940,101">
                <v:shape id="Shape 38743" style="position:absolute;width:55940;height:101;left:0;top:0;" coordsize="5594036,10117" path="m0,5059l5594036,5059">
                  <v:stroke weight="0.796631pt" endcap="flat" joinstyle="miter" miterlimit="1" on="true" color="#000000"/>
                  <v:fill on="false" color="#000000"/>
                </v:shape>
              </v:group>
            </w:pict>
          </mc:Fallback>
        </mc:AlternateContent>
      </w:r>
    </w:p>
    <w:p w14:paraId="593172A6" w14:textId="77777777" w:rsidR="00365ED1" w:rsidRDefault="00000000">
      <w:pPr>
        <w:spacing w:after="0" w:line="276" w:lineRule="auto"/>
        <w:ind w:left="250" w:right="85" w:hanging="16"/>
        <w:jc w:val="left"/>
      </w:pPr>
      <w:r>
        <w:rPr>
          <w:sz w:val="22"/>
          <w:u w:val="single" w:color="000000"/>
        </w:rPr>
        <w:t>联系人 ： 杨 青 联系电话 ： 66194067 （共印 52份）中国人民银行办公厅 2 0 1 1年5月 16 日印发</w:t>
      </w:r>
    </w:p>
    <w:sectPr w:rsidR="00365ED1">
      <w:footerReference w:type="even" r:id="rId11"/>
      <w:footerReference w:type="default" r:id="rId12"/>
      <w:footerReference w:type="first" r:id="rId13"/>
      <w:pgSz w:w="11900" w:h="16840"/>
      <w:pgMar w:top="2222" w:right="1636" w:bottom="2098" w:left="1551" w:header="720" w:footer="1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B8BF7" w14:textId="77777777" w:rsidR="00E10086" w:rsidRDefault="00E10086">
      <w:pPr>
        <w:spacing w:after="0" w:line="240" w:lineRule="auto"/>
      </w:pPr>
      <w:r>
        <w:separator/>
      </w:r>
    </w:p>
  </w:endnote>
  <w:endnote w:type="continuationSeparator" w:id="0">
    <w:p w14:paraId="74441DAC" w14:textId="77777777" w:rsidR="00E10086" w:rsidRDefault="00E10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3E91" w14:textId="77777777" w:rsidR="00365ED1" w:rsidRDefault="00000000">
    <w:pPr>
      <w:spacing w:after="0" w:line="259" w:lineRule="auto"/>
      <w:ind w:left="266" w:right="7471" w:firstLine="0"/>
      <w:jc w:val="left"/>
    </w:pPr>
    <w:r>
      <w:rPr>
        <w:noProof/>
      </w:rPr>
      <w:drawing>
        <wp:anchor distT="0" distB="0" distL="114300" distR="114300" simplePos="0" relativeHeight="251658240" behindDoc="0" locked="0" layoutInCell="1" allowOverlap="0" wp14:anchorId="452B5E36" wp14:editId="2BCA08B2">
          <wp:simplePos x="0" y="0"/>
          <wp:positionH relativeFrom="page">
            <wp:posOffset>1153201</wp:posOffset>
          </wp:positionH>
          <wp:positionV relativeFrom="page">
            <wp:posOffset>9698587</wp:posOffset>
          </wp:positionV>
          <wp:extent cx="175340" cy="6744"/>
          <wp:effectExtent l="0" t="0" r="0" b="0"/>
          <wp:wrapSquare wrapText="bothSides"/>
          <wp:docPr id="5684" name="Picture 5684"/>
          <wp:cNvGraphicFramePr/>
          <a:graphic xmlns:a="http://schemas.openxmlformats.org/drawingml/2006/main">
            <a:graphicData uri="http://schemas.openxmlformats.org/drawingml/2006/picture">
              <pic:pic xmlns:pic="http://schemas.openxmlformats.org/drawingml/2006/picture">
                <pic:nvPicPr>
                  <pic:cNvPr id="5684" name="Picture 5684"/>
                  <pic:cNvPicPr/>
                </pic:nvPicPr>
                <pic:blipFill>
                  <a:blip r:embed="rId1"/>
                  <a:stretch>
                    <a:fillRect/>
                  </a:stretch>
                </pic:blipFill>
                <pic:spPr>
                  <a:xfrm>
                    <a:off x="0" y="0"/>
                    <a:ext cx="175340" cy="6744"/>
                  </a:xfrm>
                  <a:prstGeom prst="rect">
                    <a:avLst/>
                  </a:prstGeom>
                </pic:spPr>
              </pic:pic>
            </a:graphicData>
          </a:graphic>
        </wp:anchor>
      </w:drawing>
    </w:r>
    <w:r>
      <w:rPr>
        <w:noProof/>
      </w:rPr>
      <w:drawing>
        <wp:anchor distT="0" distB="0" distL="114300" distR="114300" simplePos="0" relativeHeight="251659264" behindDoc="0" locked="0" layoutInCell="1" allowOverlap="0" wp14:anchorId="00BC6EA8" wp14:editId="57EDDC46">
          <wp:simplePos x="0" y="0"/>
          <wp:positionH relativeFrom="page">
            <wp:posOffset>1598296</wp:posOffset>
          </wp:positionH>
          <wp:positionV relativeFrom="page">
            <wp:posOffset>9698587</wp:posOffset>
          </wp:positionV>
          <wp:extent cx="175340" cy="6744"/>
          <wp:effectExtent l="0" t="0" r="0" b="0"/>
          <wp:wrapSquare wrapText="bothSides"/>
          <wp:docPr id="5685" name="Picture 5685"/>
          <wp:cNvGraphicFramePr/>
          <a:graphic xmlns:a="http://schemas.openxmlformats.org/drawingml/2006/main">
            <a:graphicData uri="http://schemas.openxmlformats.org/drawingml/2006/picture">
              <pic:pic xmlns:pic="http://schemas.openxmlformats.org/drawingml/2006/picture">
                <pic:nvPicPr>
                  <pic:cNvPr id="5685" name="Picture 5685"/>
                  <pic:cNvPicPr/>
                </pic:nvPicPr>
                <pic:blipFill>
                  <a:blip r:embed="rId1"/>
                  <a:stretch>
                    <a:fillRect/>
                  </a:stretch>
                </pic:blipFill>
                <pic:spPr>
                  <a:xfrm>
                    <a:off x="0" y="0"/>
                    <a:ext cx="175340" cy="6744"/>
                  </a:xfrm>
                  <a:prstGeom prst="rect">
                    <a:avLst/>
                  </a:prstGeom>
                </pic:spPr>
              </pic:pic>
            </a:graphicData>
          </a:graphic>
        </wp:anchor>
      </w:drawing>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CC68" w14:textId="77777777" w:rsidR="00365ED1" w:rsidRDefault="00000000">
    <w:pPr>
      <w:spacing w:after="0" w:line="259" w:lineRule="auto"/>
      <w:ind w:right="266" w:firstLine="0"/>
      <w:jc w:val="right"/>
    </w:pPr>
    <w:r>
      <w:rPr>
        <w:noProof/>
      </w:rPr>
      <w:drawing>
        <wp:anchor distT="0" distB="0" distL="114300" distR="114300" simplePos="0" relativeHeight="251660288" behindDoc="0" locked="0" layoutInCell="1" allowOverlap="0" wp14:anchorId="5B2860F1" wp14:editId="371BD7FD">
          <wp:simplePos x="0" y="0"/>
          <wp:positionH relativeFrom="page">
            <wp:posOffset>5732285</wp:posOffset>
          </wp:positionH>
          <wp:positionV relativeFrom="page">
            <wp:posOffset>9698587</wp:posOffset>
          </wp:positionV>
          <wp:extent cx="175340" cy="6744"/>
          <wp:effectExtent l="0" t="0" r="0" b="0"/>
          <wp:wrapSquare wrapText="bothSides"/>
          <wp:docPr id="2048" name="Picture 2048"/>
          <wp:cNvGraphicFramePr/>
          <a:graphic xmlns:a="http://schemas.openxmlformats.org/drawingml/2006/main">
            <a:graphicData uri="http://schemas.openxmlformats.org/drawingml/2006/picture">
              <pic:pic xmlns:pic="http://schemas.openxmlformats.org/drawingml/2006/picture">
                <pic:nvPicPr>
                  <pic:cNvPr id="2048" name="Picture 2048"/>
                  <pic:cNvPicPr/>
                </pic:nvPicPr>
                <pic:blipFill>
                  <a:blip r:embed="rId1"/>
                  <a:stretch>
                    <a:fillRect/>
                  </a:stretch>
                </pic:blipFill>
                <pic:spPr>
                  <a:xfrm>
                    <a:off x="0" y="0"/>
                    <a:ext cx="175340" cy="6744"/>
                  </a:xfrm>
                  <a:prstGeom prst="rect">
                    <a:avLst/>
                  </a:prstGeom>
                </pic:spPr>
              </pic:pic>
            </a:graphicData>
          </a:graphic>
        </wp:anchor>
      </w:drawing>
    </w:r>
    <w:r>
      <w:rPr>
        <w:noProof/>
      </w:rPr>
      <w:drawing>
        <wp:anchor distT="0" distB="0" distL="114300" distR="114300" simplePos="0" relativeHeight="251661312" behindDoc="0" locked="0" layoutInCell="1" allowOverlap="0" wp14:anchorId="4239E7F7" wp14:editId="4284CD84">
          <wp:simplePos x="0" y="0"/>
          <wp:positionH relativeFrom="page">
            <wp:posOffset>6174008</wp:posOffset>
          </wp:positionH>
          <wp:positionV relativeFrom="page">
            <wp:posOffset>9698587</wp:posOffset>
          </wp:positionV>
          <wp:extent cx="175340" cy="6744"/>
          <wp:effectExtent l="0" t="0" r="0" b="0"/>
          <wp:wrapSquare wrapText="bothSides"/>
          <wp:docPr id="2049" name="Picture 2049"/>
          <wp:cNvGraphicFramePr/>
          <a:graphic xmlns:a="http://schemas.openxmlformats.org/drawingml/2006/main">
            <a:graphicData uri="http://schemas.openxmlformats.org/drawingml/2006/picture">
              <pic:pic xmlns:pic="http://schemas.openxmlformats.org/drawingml/2006/picture">
                <pic:nvPicPr>
                  <pic:cNvPr id="2049" name="Picture 2049"/>
                  <pic:cNvPicPr/>
                </pic:nvPicPr>
                <pic:blipFill>
                  <a:blip r:embed="rId1"/>
                  <a:stretch>
                    <a:fillRect/>
                  </a:stretch>
                </pic:blipFill>
                <pic:spPr>
                  <a:xfrm>
                    <a:off x="0" y="0"/>
                    <a:ext cx="175340" cy="6744"/>
                  </a:xfrm>
                  <a:prstGeom prst="rect">
                    <a:avLst/>
                  </a:prstGeom>
                </pic:spPr>
              </pic:pic>
            </a:graphicData>
          </a:graphic>
        </wp:anchor>
      </w:drawing>
    </w:r>
    <w:r>
      <w:rPr>
        <w:sz w:val="30"/>
      </w:rPr>
      <w:t xml:space="preserve"> </w:t>
    </w:r>
    <w:r>
      <w:fldChar w:fldCharType="begin"/>
    </w:r>
    <w:r>
      <w:instrText xml:space="preserve"> PAGE   \* MERGEFORMAT </w:instrText>
    </w:r>
    <w:r>
      <w:fldChar w:fldCharType="separate"/>
    </w:r>
    <w:r>
      <w:rPr>
        <w:sz w:val="30"/>
      </w:rPr>
      <w:t>1</w:t>
    </w:r>
    <w:r>
      <w:rPr>
        <w:sz w:val="30"/>
      </w:rPr>
      <w:fldChar w:fldCharType="end"/>
    </w:r>
    <w:r>
      <w:rPr>
        <w:sz w:val="3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FEF6" w14:textId="77777777" w:rsidR="00365ED1" w:rsidRDefault="00000000">
    <w:pPr>
      <w:spacing w:after="0" w:line="259" w:lineRule="auto"/>
      <w:ind w:right="266" w:firstLine="0"/>
      <w:jc w:val="right"/>
    </w:pPr>
    <w:r>
      <w:rPr>
        <w:noProof/>
      </w:rPr>
      <w:drawing>
        <wp:anchor distT="0" distB="0" distL="114300" distR="114300" simplePos="0" relativeHeight="251662336" behindDoc="0" locked="0" layoutInCell="1" allowOverlap="0" wp14:anchorId="7BCD122C" wp14:editId="053F1E4B">
          <wp:simplePos x="0" y="0"/>
          <wp:positionH relativeFrom="page">
            <wp:posOffset>5732285</wp:posOffset>
          </wp:positionH>
          <wp:positionV relativeFrom="page">
            <wp:posOffset>9698587</wp:posOffset>
          </wp:positionV>
          <wp:extent cx="175340" cy="6744"/>
          <wp:effectExtent l="0" t="0" r="0" b="0"/>
          <wp:wrapSquare wrapText="bothSides"/>
          <wp:docPr id="1132963785" name="Picture 2048"/>
          <wp:cNvGraphicFramePr/>
          <a:graphic xmlns:a="http://schemas.openxmlformats.org/drawingml/2006/main">
            <a:graphicData uri="http://schemas.openxmlformats.org/drawingml/2006/picture">
              <pic:pic xmlns:pic="http://schemas.openxmlformats.org/drawingml/2006/picture">
                <pic:nvPicPr>
                  <pic:cNvPr id="2048" name="Picture 2048"/>
                  <pic:cNvPicPr/>
                </pic:nvPicPr>
                <pic:blipFill>
                  <a:blip r:embed="rId1"/>
                  <a:stretch>
                    <a:fillRect/>
                  </a:stretch>
                </pic:blipFill>
                <pic:spPr>
                  <a:xfrm>
                    <a:off x="0" y="0"/>
                    <a:ext cx="175340" cy="6744"/>
                  </a:xfrm>
                  <a:prstGeom prst="rect">
                    <a:avLst/>
                  </a:prstGeom>
                </pic:spPr>
              </pic:pic>
            </a:graphicData>
          </a:graphic>
        </wp:anchor>
      </w:drawing>
    </w:r>
    <w:r>
      <w:rPr>
        <w:noProof/>
      </w:rPr>
      <w:drawing>
        <wp:anchor distT="0" distB="0" distL="114300" distR="114300" simplePos="0" relativeHeight="251663360" behindDoc="0" locked="0" layoutInCell="1" allowOverlap="0" wp14:anchorId="6179E3E8" wp14:editId="1C29321F">
          <wp:simplePos x="0" y="0"/>
          <wp:positionH relativeFrom="page">
            <wp:posOffset>6174008</wp:posOffset>
          </wp:positionH>
          <wp:positionV relativeFrom="page">
            <wp:posOffset>9698587</wp:posOffset>
          </wp:positionV>
          <wp:extent cx="175340" cy="6744"/>
          <wp:effectExtent l="0" t="0" r="0" b="0"/>
          <wp:wrapSquare wrapText="bothSides"/>
          <wp:docPr id="1332176826" name="Picture 2049"/>
          <wp:cNvGraphicFramePr/>
          <a:graphic xmlns:a="http://schemas.openxmlformats.org/drawingml/2006/main">
            <a:graphicData uri="http://schemas.openxmlformats.org/drawingml/2006/picture">
              <pic:pic xmlns:pic="http://schemas.openxmlformats.org/drawingml/2006/picture">
                <pic:nvPicPr>
                  <pic:cNvPr id="2049" name="Picture 2049"/>
                  <pic:cNvPicPr/>
                </pic:nvPicPr>
                <pic:blipFill>
                  <a:blip r:embed="rId1"/>
                  <a:stretch>
                    <a:fillRect/>
                  </a:stretch>
                </pic:blipFill>
                <pic:spPr>
                  <a:xfrm>
                    <a:off x="0" y="0"/>
                    <a:ext cx="175340" cy="6744"/>
                  </a:xfrm>
                  <a:prstGeom prst="rect">
                    <a:avLst/>
                  </a:prstGeom>
                </pic:spPr>
              </pic:pic>
            </a:graphicData>
          </a:graphic>
        </wp:anchor>
      </w:drawing>
    </w:r>
    <w:r>
      <w:rPr>
        <w:sz w:val="30"/>
      </w:rPr>
      <w:t xml:space="preserve"> </w:t>
    </w:r>
    <w:r>
      <w:fldChar w:fldCharType="begin"/>
    </w:r>
    <w:r>
      <w:instrText xml:space="preserve"> PAGE   \* MERGEFORMAT </w:instrText>
    </w:r>
    <w:r>
      <w:fldChar w:fldCharType="separate"/>
    </w:r>
    <w:r>
      <w:rPr>
        <w:sz w:val="30"/>
      </w:rPr>
      <w:t>1</w:t>
    </w:r>
    <w:r>
      <w:rPr>
        <w:sz w:val="30"/>
      </w:rPr>
      <w:fldChar w:fldCharType="end"/>
    </w:r>
    <w:r>
      <w:rPr>
        <w:sz w:val="3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1FF4B" w14:textId="77777777" w:rsidR="00E10086" w:rsidRDefault="00E10086">
      <w:pPr>
        <w:spacing w:after="0" w:line="240" w:lineRule="auto"/>
      </w:pPr>
      <w:r>
        <w:separator/>
      </w:r>
    </w:p>
  </w:footnote>
  <w:footnote w:type="continuationSeparator" w:id="0">
    <w:p w14:paraId="3A50D827" w14:textId="77777777" w:rsidR="00E10086" w:rsidRDefault="00E10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9B3"/>
    <w:multiLevelType w:val="hybridMultilevel"/>
    <w:tmpl w:val="83E09D2A"/>
    <w:lvl w:ilvl="0" w:tplc="F40ADDFE">
      <w:start w:val="1"/>
      <w:numFmt w:val="decimal"/>
      <w:lvlText w:val="%1"/>
      <w:lvlJc w:val="left"/>
      <w:pPr>
        <w:ind w:left="648"/>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1" w:tplc="E3AE0A84">
      <w:start w:val="1"/>
      <w:numFmt w:val="lowerLetter"/>
      <w:lvlText w:val="%2"/>
      <w:lvlJc w:val="left"/>
      <w:pPr>
        <w:ind w:left="171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2" w:tplc="B194E7BE">
      <w:start w:val="1"/>
      <w:numFmt w:val="lowerRoman"/>
      <w:lvlText w:val="%3"/>
      <w:lvlJc w:val="left"/>
      <w:pPr>
        <w:ind w:left="243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3" w:tplc="0AF6F37A">
      <w:start w:val="1"/>
      <w:numFmt w:val="decimal"/>
      <w:lvlText w:val="%4"/>
      <w:lvlJc w:val="left"/>
      <w:pPr>
        <w:ind w:left="315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4" w:tplc="588C6882">
      <w:start w:val="1"/>
      <w:numFmt w:val="lowerLetter"/>
      <w:lvlText w:val="%5"/>
      <w:lvlJc w:val="left"/>
      <w:pPr>
        <w:ind w:left="387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5" w:tplc="A8787790">
      <w:start w:val="1"/>
      <w:numFmt w:val="lowerRoman"/>
      <w:lvlText w:val="%6"/>
      <w:lvlJc w:val="left"/>
      <w:pPr>
        <w:ind w:left="459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6" w:tplc="3A60D272">
      <w:start w:val="1"/>
      <w:numFmt w:val="decimal"/>
      <w:lvlText w:val="%7"/>
      <w:lvlJc w:val="left"/>
      <w:pPr>
        <w:ind w:left="531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7" w:tplc="E830FE24">
      <w:start w:val="1"/>
      <w:numFmt w:val="lowerLetter"/>
      <w:lvlText w:val="%8"/>
      <w:lvlJc w:val="left"/>
      <w:pPr>
        <w:ind w:left="603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8" w:tplc="79A05A88">
      <w:start w:val="1"/>
      <w:numFmt w:val="lowerRoman"/>
      <w:lvlText w:val="%9"/>
      <w:lvlJc w:val="left"/>
      <w:pPr>
        <w:ind w:left="6759"/>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04CE0091"/>
    <w:multiLevelType w:val="hybridMultilevel"/>
    <w:tmpl w:val="22F8F1E4"/>
    <w:lvl w:ilvl="0" w:tplc="7CA8A17E">
      <w:start w:val="1"/>
      <w:numFmt w:val="ideographDigital"/>
      <w:lvlText w:val="（%1）"/>
      <w:lvlJc w:val="left"/>
      <w:pPr>
        <w:ind w:left="1484"/>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1" w:tplc="F670B52E">
      <w:start w:val="1"/>
      <w:numFmt w:val="lowerLetter"/>
      <w:lvlText w:val="%2"/>
      <w:lvlJc w:val="left"/>
      <w:pPr>
        <w:ind w:left="184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2" w:tplc="506A41DC">
      <w:start w:val="1"/>
      <w:numFmt w:val="lowerRoman"/>
      <w:lvlText w:val="%3"/>
      <w:lvlJc w:val="left"/>
      <w:pPr>
        <w:ind w:left="256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3" w:tplc="E32A4736">
      <w:start w:val="1"/>
      <w:numFmt w:val="decimal"/>
      <w:lvlText w:val="%4"/>
      <w:lvlJc w:val="left"/>
      <w:pPr>
        <w:ind w:left="328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4" w:tplc="6678677C">
      <w:start w:val="1"/>
      <w:numFmt w:val="lowerLetter"/>
      <w:lvlText w:val="%5"/>
      <w:lvlJc w:val="left"/>
      <w:pPr>
        <w:ind w:left="400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5" w:tplc="6520E76A">
      <w:start w:val="1"/>
      <w:numFmt w:val="lowerRoman"/>
      <w:lvlText w:val="%6"/>
      <w:lvlJc w:val="left"/>
      <w:pPr>
        <w:ind w:left="472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6" w:tplc="8B3858B8">
      <w:start w:val="1"/>
      <w:numFmt w:val="decimal"/>
      <w:lvlText w:val="%7"/>
      <w:lvlJc w:val="left"/>
      <w:pPr>
        <w:ind w:left="544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7" w:tplc="032861AC">
      <w:start w:val="1"/>
      <w:numFmt w:val="lowerLetter"/>
      <w:lvlText w:val="%8"/>
      <w:lvlJc w:val="left"/>
      <w:pPr>
        <w:ind w:left="616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8" w:tplc="8110B04E">
      <w:start w:val="1"/>
      <w:numFmt w:val="lowerRoman"/>
      <w:lvlText w:val="%9"/>
      <w:lvlJc w:val="left"/>
      <w:pPr>
        <w:ind w:left="6882"/>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17526B07"/>
    <w:multiLevelType w:val="hybridMultilevel"/>
    <w:tmpl w:val="594A0576"/>
    <w:lvl w:ilvl="0" w:tplc="BC2090EC">
      <w:start w:val="1"/>
      <w:numFmt w:val="ideographDigital"/>
      <w:lvlText w:val="（%1）"/>
      <w:lvlJc w:val="left"/>
      <w:pPr>
        <w:ind w:left="6"/>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1" w:tplc="3B70A334">
      <w:start w:val="1"/>
      <w:numFmt w:val="lowerLetter"/>
      <w:lvlText w:val="%2"/>
      <w:lvlJc w:val="left"/>
      <w:pPr>
        <w:ind w:left="180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2" w:tplc="9DB22AAC">
      <w:start w:val="1"/>
      <w:numFmt w:val="lowerRoman"/>
      <w:lvlText w:val="%3"/>
      <w:lvlJc w:val="left"/>
      <w:pPr>
        <w:ind w:left="252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3" w:tplc="60646026">
      <w:start w:val="1"/>
      <w:numFmt w:val="decimal"/>
      <w:lvlText w:val="%4"/>
      <w:lvlJc w:val="left"/>
      <w:pPr>
        <w:ind w:left="324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4" w:tplc="ECF0459A">
      <w:start w:val="1"/>
      <w:numFmt w:val="lowerLetter"/>
      <w:lvlText w:val="%5"/>
      <w:lvlJc w:val="left"/>
      <w:pPr>
        <w:ind w:left="396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5" w:tplc="AD0297EC">
      <w:start w:val="1"/>
      <w:numFmt w:val="lowerRoman"/>
      <w:lvlText w:val="%6"/>
      <w:lvlJc w:val="left"/>
      <w:pPr>
        <w:ind w:left="468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6" w:tplc="D5F22C84">
      <w:start w:val="1"/>
      <w:numFmt w:val="decimal"/>
      <w:lvlText w:val="%7"/>
      <w:lvlJc w:val="left"/>
      <w:pPr>
        <w:ind w:left="540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7" w:tplc="14648E62">
      <w:start w:val="1"/>
      <w:numFmt w:val="lowerLetter"/>
      <w:lvlText w:val="%8"/>
      <w:lvlJc w:val="left"/>
      <w:pPr>
        <w:ind w:left="612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8" w:tplc="B4C2FD54">
      <w:start w:val="1"/>
      <w:numFmt w:val="lowerRoman"/>
      <w:lvlText w:val="%9"/>
      <w:lvlJc w:val="left"/>
      <w:pPr>
        <w:ind w:left="684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207C64E1"/>
    <w:multiLevelType w:val="hybridMultilevel"/>
    <w:tmpl w:val="D2AA7298"/>
    <w:lvl w:ilvl="0" w:tplc="D5E8D5A0">
      <w:start w:val="1"/>
      <w:numFmt w:val="ideographDigital"/>
      <w:lvlText w:val="（%1）"/>
      <w:lvlJc w:val="left"/>
      <w:pPr>
        <w:ind w:left="6"/>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1" w:tplc="DFCC13DA">
      <w:start w:val="1"/>
      <w:numFmt w:val="lowerLetter"/>
      <w:lvlText w:val="%2"/>
      <w:lvlJc w:val="left"/>
      <w:pPr>
        <w:ind w:left="1831"/>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2" w:tplc="0CE4E47A">
      <w:start w:val="1"/>
      <w:numFmt w:val="lowerRoman"/>
      <w:lvlText w:val="%3"/>
      <w:lvlJc w:val="left"/>
      <w:pPr>
        <w:ind w:left="2551"/>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3" w:tplc="D776738E">
      <w:start w:val="1"/>
      <w:numFmt w:val="decimal"/>
      <w:lvlText w:val="%4"/>
      <w:lvlJc w:val="left"/>
      <w:pPr>
        <w:ind w:left="3271"/>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4" w:tplc="945E6DD6">
      <w:start w:val="1"/>
      <w:numFmt w:val="lowerLetter"/>
      <w:lvlText w:val="%5"/>
      <w:lvlJc w:val="left"/>
      <w:pPr>
        <w:ind w:left="3991"/>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5" w:tplc="33CC82E8">
      <w:start w:val="1"/>
      <w:numFmt w:val="lowerRoman"/>
      <w:lvlText w:val="%6"/>
      <w:lvlJc w:val="left"/>
      <w:pPr>
        <w:ind w:left="4711"/>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6" w:tplc="6100C56C">
      <w:start w:val="1"/>
      <w:numFmt w:val="decimal"/>
      <w:lvlText w:val="%7"/>
      <w:lvlJc w:val="left"/>
      <w:pPr>
        <w:ind w:left="5431"/>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7" w:tplc="4ADA11DA">
      <w:start w:val="1"/>
      <w:numFmt w:val="lowerLetter"/>
      <w:lvlText w:val="%8"/>
      <w:lvlJc w:val="left"/>
      <w:pPr>
        <w:ind w:left="6151"/>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8" w:tplc="23A623AE">
      <w:start w:val="1"/>
      <w:numFmt w:val="lowerRoman"/>
      <w:lvlText w:val="%9"/>
      <w:lvlJc w:val="left"/>
      <w:pPr>
        <w:ind w:left="6871"/>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abstractNum>
  <w:num w:numId="1" w16cid:durableId="1981381883">
    <w:abstractNumId w:val="1"/>
  </w:num>
  <w:num w:numId="2" w16cid:durableId="1824664404">
    <w:abstractNumId w:val="0"/>
  </w:num>
  <w:num w:numId="3" w16cid:durableId="1570650624">
    <w:abstractNumId w:val="3"/>
  </w:num>
  <w:num w:numId="4" w16cid:durableId="6366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mirrorMargins/>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ED1"/>
    <w:rsid w:val="00365ED1"/>
    <w:rsid w:val="00633D93"/>
    <w:rsid w:val="00C1366D"/>
    <w:rsid w:val="00E10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E399CF"/>
  <w15:docId w15:val="{EBAB11D8-A273-4F17-A258-B03387372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8" w:line="232" w:lineRule="auto"/>
      <w:ind w:firstLine="627"/>
      <w:jc w:val="both"/>
    </w:pPr>
    <w:rPr>
      <w:rFonts w:ascii="微软雅黑" w:eastAsia="微软雅黑" w:hAnsi="微软雅黑" w:cs="微软雅黑"/>
      <w:color w:val="000000"/>
      <w:sz w:val="28"/>
    </w:rPr>
  </w:style>
  <w:style w:type="paragraph" w:styleId="1">
    <w:name w:val="heading 1"/>
    <w:next w:val="a"/>
    <w:link w:val="10"/>
    <w:uiPriority w:val="9"/>
    <w:qFormat/>
    <w:pPr>
      <w:keepNext/>
      <w:keepLines/>
      <w:spacing w:after="0" w:line="259" w:lineRule="auto"/>
      <w:ind w:left="21"/>
      <w:outlineLvl w:val="0"/>
    </w:pPr>
    <w:rPr>
      <w:rFonts w:ascii="微软雅黑" w:eastAsia="微软雅黑" w:hAnsi="微软雅黑" w:cs="微软雅黑"/>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foot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1894</Words>
  <Characters>1895</Characters>
  <Application>Microsoft Office Word</Application>
  <DocSecurity>0</DocSecurity>
  <Lines>75</Lines>
  <Paragraphs>46</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2026-01-28T07:23:00Z</dcterms:created>
  <dcterms:modified xsi:type="dcterms:W3CDTF">2026-01-28T07:23:00Z</dcterms:modified>
</cp:coreProperties>
</file>