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5715" w14:textId="77777777" w:rsidR="0009651B" w:rsidRDefault="00000000">
      <w:pPr>
        <w:spacing w:after="2109" w:line="248" w:lineRule="auto"/>
        <w:ind w:left="22" w:right="12" w:hanging="10"/>
      </w:pPr>
      <w:r>
        <w:rPr>
          <w:sz w:val="28"/>
        </w:rPr>
        <w:t>特急</w:t>
      </w:r>
    </w:p>
    <w:p w14:paraId="36D2ABDA" w14:textId="77777777" w:rsidR="0009651B" w:rsidRDefault="00000000">
      <w:pPr>
        <w:spacing w:after="0" w:line="259" w:lineRule="auto"/>
        <w:ind w:left="966" w:firstLine="0"/>
        <w:jc w:val="left"/>
      </w:pPr>
      <w:r>
        <w:rPr>
          <w:sz w:val="90"/>
        </w:rPr>
        <w:t>中国人民银行文件</w:t>
      </w:r>
    </w:p>
    <w:p w14:paraId="4B17A143" w14:textId="77777777" w:rsidR="0009651B" w:rsidRDefault="00000000">
      <w:pPr>
        <w:spacing w:after="0" w:line="259" w:lineRule="auto"/>
        <w:ind w:left="0" w:right="42" w:firstLine="0"/>
        <w:jc w:val="center"/>
      </w:pPr>
      <w:r>
        <w:rPr>
          <w:sz w:val="24"/>
        </w:rPr>
        <w:t>银发〔2 0 1 6〕2 61号</w:t>
      </w:r>
    </w:p>
    <w:p w14:paraId="649263B9" w14:textId="77777777" w:rsidR="0009651B" w:rsidRDefault="00000000">
      <w:pPr>
        <w:spacing w:after="1561" w:line="259" w:lineRule="auto"/>
        <w:ind w:left="-5" w:firstLine="0"/>
        <w:jc w:val="left"/>
      </w:pPr>
      <w:r>
        <w:rPr>
          <w:rFonts w:ascii="Calibri" w:eastAsia="Calibri" w:hAnsi="Calibri" w:cs="Calibri"/>
          <w:noProof/>
          <w:sz w:val="22"/>
        </w:rPr>
        <mc:AlternateContent>
          <mc:Choice Requires="wpg">
            <w:drawing>
              <wp:inline distT="0" distB="0" distL="0" distR="0" wp14:anchorId="7F22360E" wp14:editId="5E80C200">
                <wp:extent cx="5594036" cy="20234"/>
                <wp:effectExtent l="0" t="0" r="0" b="0"/>
                <wp:docPr id="69398" name="Group 69398"/>
                <wp:cNvGraphicFramePr/>
                <a:graphic xmlns:a="http://schemas.openxmlformats.org/drawingml/2006/main">
                  <a:graphicData uri="http://schemas.microsoft.com/office/word/2010/wordprocessingGroup">
                    <wpg:wgp>
                      <wpg:cNvGrpSpPr/>
                      <wpg:grpSpPr>
                        <a:xfrm>
                          <a:off x="0" y="0"/>
                          <a:ext cx="5594036" cy="20234"/>
                          <a:chOff x="0" y="0"/>
                          <a:chExt cx="5594036" cy="20234"/>
                        </a:xfrm>
                      </wpg:grpSpPr>
                      <wps:wsp>
                        <wps:cNvPr id="69397" name="Shape 69397"/>
                        <wps:cNvSpPr/>
                        <wps:spPr>
                          <a:xfrm>
                            <a:off x="0" y="0"/>
                            <a:ext cx="5594036" cy="20234"/>
                          </a:xfrm>
                          <a:custGeom>
                            <a:avLst/>
                            <a:gdLst/>
                            <a:ahLst/>
                            <a:cxnLst/>
                            <a:rect l="0" t="0" r="0" b="0"/>
                            <a:pathLst>
                              <a:path w="5594036" h="20234">
                                <a:moveTo>
                                  <a:pt x="0" y="10117"/>
                                </a:moveTo>
                                <a:lnTo>
                                  <a:pt x="5594036" y="10117"/>
                                </a:lnTo>
                              </a:path>
                            </a:pathLst>
                          </a:custGeom>
                          <a:ln w="202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9398" style="width:440.475pt;height:1.5932pt;mso-position-horizontal-relative:char;mso-position-vertical-relative:line" coordsize="55940,202">
                <v:shape id="Shape 69397" style="position:absolute;width:55940;height:202;left:0;top:0;" coordsize="5594036,20234" path="m0,10117l5594036,10117">
                  <v:stroke weight="1.5932pt" endcap="flat" joinstyle="miter" miterlimit="1" on="true" color="#000000"/>
                  <v:fill on="false" color="#000000"/>
                </v:shape>
              </v:group>
            </w:pict>
          </mc:Fallback>
        </mc:AlternateContent>
      </w:r>
    </w:p>
    <w:p w14:paraId="5F08AEFC" w14:textId="77777777" w:rsidR="0009651B" w:rsidRDefault="00000000">
      <w:pPr>
        <w:pStyle w:val="1"/>
      </w:pPr>
      <w:r>
        <w:t>中国人民银行关于加强支付结算管理</w:t>
      </w:r>
    </w:p>
    <w:p w14:paraId="6B2DE045" w14:textId="77777777" w:rsidR="0009651B" w:rsidRDefault="00000000">
      <w:pPr>
        <w:spacing w:after="180" w:line="259" w:lineRule="auto"/>
        <w:ind w:left="303" w:firstLine="0"/>
        <w:jc w:val="left"/>
      </w:pPr>
      <w:r>
        <w:rPr>
          <w:sz w:val="44"/>
        </w:rPr>
        <w:t>防范电信网络新型违法犯罪有关事项的通知</w:t>
      </w:r>
    </w:p>
    <w:p w14:paraId="5A01B864" w14:textId="77777777" w:rsidR="0009651B" w:rsidRDefault="00000000">
      <w:pPr>
        <w:spacing w:after="11" w:line="248" w:lineRule="auto"/>
        <w:ind w:left="22" w:right="12" w:hanging="10"/>
      </w:pPr>
      <w:r>
        <w:rPr>
          <w:sz w:val="28"/>
        </w:rPr>
        <w:t>中国人民银行上海总部，各分行、营业管理部，各省会（首府）城市中心支行，深圳市中心支行；国家开发银行，各政策性银行、国有商业银行、股份制商业银行，中国邮政储蓄银行；中国银联股份有限公司，中国支付清算协会；各非银行支付机构：</w:t>
      </w:r>
    </w:p>
    <w:p w14:paraId="0F0BC1F4" w14:textId="77777777" w:rsidR="0009651B" w:rsidRDefault="00000000">
      <w:pPr>
        <w:spacing w:after="11" w:line="248" w:lineRule="auto"/>
        <w:ind w:left="12" w:right="12" w:firstLine="621"/>
      </w:pPr>
      <w:r>
        <w:rPr>
          <w:sz w:val="28"/>
        </w:rPr>
        <w:t>为有效防范电信网络新型违法犯罪，切实保护人民群众财产安全和合法权益，现就加强支付结算管理有关事项通知如下</w:t>
      </w:r>
      <w:r>
        <w:rPr>
          <w:noProof/>
        </w:rPr>
        <w:drawing>
          <wp:inline distT="0" distB="0" distL="0" distR="0" wp14:anchorId="0C9F7137" wp14:editId="5BC6FE15">
            <wp:extent cx="26975" cy="94423"/>
            <wp:effectExtent l="0" t="0" r="0" b="0"/>
            <wp:docPr id="69395" name="Picture 69395"/>
            <wp:cNvGraphicFramePr/>
            <a:graphic xmlns:a="http://schemas.openxmlformats.org/drawingml/2006/main">
              <a:graphicData uri="http://schemas.openxmlformats.org/drawingml/2006/picture">
                <pic:pic xmlns:pic="http://schemas.openxmlformats.org/drawingml/2006/picture">
                  <pic:nvPicPr>
                    <pic:cNvPr id="69395" name="Picture 69395"/>
                    <pic:cNvPicPr/>
                  </pic:nvPicPr>
                  <pic:blipFill>
                    <a:blip r:embed="rId7"/>
                    <a:stretch>
                      <a:fillRect/>
                    </a:stretch>
                  </pic:blipFill>
                  <pic:spPr>
                    <a:xfrm>
                      <a:off x="0" y="0"/>
                      <a:ext cx="26975" cy="94423"/>
                    </a:xfrm>
                    <a:prstGeom prst="rect">
                      <a:avLst/>
                    </a:prstGeom>
                  </pic:spPr>
                </pic:pic>
              </a:graphicData>
            </a:graphic>
          </wp:inline>
        </w:drawing>
      </w:r>
    </w:p>
    <w:p w14:paraId="511C5726" w14:textId="77777777" w:rsidR="0009651B" w:rsidRDefault="00000000">
      <w:pPr>
        <w:ind w:right="12"/>
      </w:pPr>
      <w:r>
        <w:rPr>
          <w:noProof/>
        </w:rPr>
        <w:drawing>
          <wp:inline distT="0" distB="0" distL="0" distR="0" wp14:anchorId="7C0E40D2" wp14:editId="49D9A649">
            <wp:extent cx="175340" cy="20233"/>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8"/>
                    <a:stretch>
                      <a:fillRect/>
                    </a:stretch>
                  </pic:blipFill>
                  <pic:spPr>
                    <a:xfrm>
                      <a:off x="0" y="0"/>
                      <a:ext cx="175340" cy="20233"/>
                    </a:xfrm>
                    <a:prstGeom prst="rect">
                      <a:avLst/>
                    </a:prstGeom>
                  </pic:spPr>
                </pic:pic>
              </a:graphicData>
            </a:graphic>
          </wp:inline>
        </w:drawing>
      </w:r>
      <w:r>
        <w:t>、加强账户实名制管理</w:t>
      </w:r>
    </w:p>
    <w:p w14:paraId="47483EC5" w14:textId="77777777" w:rsidR="0009651B" w:rsidRDefault="00000000">
      <w:pPr>
        <w:spacing w:after="0" w:line="259" w:lineRule="auto"/>
        <w:ind w:left="781" w:firstLine="0"/>
        <w:jc w:val="left"/>
      </w:pPr>
      <w:r>
        <w:rPr>
          <w:sz w:val="32"/>
        </w:rPr>
        <w:lastRenderedPageBreak/>
        <w:t>（一）全面推进个人账户分类管理。</w:t>
      </w:r>
    </w:p>
    <w:p w14:paraId="399CEFF9" w14:textId="77777777" w:rsidR="0009651B" w:rsidRDefault="00000000">
      <w:pPr>
        <w:numPr>
          <w:ilvl w:val="0"/>
          <w:numId w:val="1"/>
        </w:numPr>
        <w:spacing w:after="49" w:line="248" w:lineRule="auto"/>
        <w:ind w:right="4" w:firstLine="645"/>
        <w:jc w:val="left"/>
      </w:pPr>
      <w:r>
        <w:rPr>
          <w:sz w:val="28"/>
        </w:rPr>
        <w:t>.个人银行结算账户。自2016年12月1日起，银行业金融机构（以下简称银行）为个人开立银行结算账户的，同一个人在同一家银行（以法人为单位，下同）只能开立一个1类户，已开立1类户，再新开户的，应当开立11类户或111类户。银行对本银行行内异地存取现、转账等业务，收取异地手续费的，应当自本通知发布之日起三个月内实现免费。</w:t>
      </w:r>
    </w:p>
    <w:p w14:paraId="54AEE638" w14:textId="77777777" w:rsidR="0009651B" w:rsidRDefault="00000000">
      <w:pPr>
        <w:spacing w:after="11" w:line="248" w:lineRule="auto"/>
        <w:ind w:left="12" w:right="12" w:firstLine="632"/>
      </w:pPr>
      <w:r>
        <w:rPr>
          <w:sz w:val="28"/>
        </w:rPr>
        <w:t>个人于2 0 1 6年1 1月3 0日前在同一家银行开立多个1类户的，银行应当对同一存款人开户数量较多的情况进行摸排清理，要求存款人</w:t>
      </w:r>
      <w:proofErr w:type="gramStart"/>
      <w:r>
        <w:rPr>
          <w:sz w:val="28"/>
        </w:rPr>
        <w:t>作出</w:t>
      </w:r>
      <w:proofErr w:type="gramEnd"/>
      <w:r>
        <w:rPr>
          <w:sz w:val="28"/>
        </w:rPr>
        <w:t>说明，核实其开户的合理性。对于无法核实开户合理性的，银行应当引导存款人撤销或归并账户，或者采取降低账户类别等措施，使存款人运用账户分类机制，合理存放资金，保护资金安全。</w:t>
      </w:r>
    </w:p>
    <w:p w14:paraId="54C2C61D" w14:textId="77777777" w:rsidR="0009651B" w:rsidRDefault="00000000">
      <w:pPr>
        <w:numPr>
          <w:ilvl w:val="0"/>
          <w:numId w:val="1"/>
        </w:numPr>
        <w:spacing w:after="33" w:line="245" w:lineRule="auto"/>
        <w:ind w:right="4" w:firstLine="645"/>
        <w:jc w:val="left"/>
      </w:pPr>
      <w:r>
        <w:t>·个人支付账户。自2016年12月1日起，非银行支付机构（以下简称支付机构）为个人开立支付账户的，同一个人在同一家支付机构只能开立一个Ill类账户。支付机构应当于2016年1 1 月30日前完成存量支付账户清理工作，联系开户人确认需保留的账户，其余账户降低类别管理或予以撤并；开户人未按规定时间确认的，支付机构应当保留其使用频率较高和金额较大的账户，后续可根据其申请进行变更。</w:t>
      </w:r>
    </w:p>
    <w:p w14:paraId="4F372339" w14:textId="77777777" w:rsidR="0009651B" w:rsidRDefault="00000000">
      <w:pPr>
        <w:numPr>
          <w:ilvl w:val="0"/>
          <w:numId w:val="2"/>
        </w:numPr>
        <w:spacing w:after="29" w:line="260" w:lineRule="auto"/>
        <w:ind w:right="12" w:firstLine="770"/>
      </w:pPr>
      <w:r>
        <w:t>暂停涉案账户开户人名下所有账户的业务。自2017</w:t>
      </w:r>
    </w:p>
    <w:p w14:paraId="114F0FA3" w14:textId="77777777" w:rsidR="0009651B" w:rsidRDefault="00000000">
      <w:pPr>
        <w:ind w:left="6" w:right="12"/>
      </w:pPr>
      <w:r>
        <w:t>年1月1日起，对于不法分子用于开展电信网络新型违法犯罪的作案银行账户和支付账户，经设区的市级及以上公安机关认定并纳入</w:t>
      </w:r>
      <w:r>
        <w:lastRenderedPageBreak/>
        <w:t>电信网络新型违法犯罪交易风险事件管理平台“涉案账户" 名单的，银行和支付机构中止该账户所有业务。</w:t>
      </w:r>
    </w:p>
    <w:p w14:paraId="21179019" w14:textId="77777777" w:rsidR="0009651B" w:rsidRDefault="00000000">
      <w:pPr>
        <w:ind w:left="6" w:right="12" w:firstLine="621"/>
      </w:pPr>
      <w:r>
        <w:t>银行和支付机构应当通知涉案账户开户人重新核实身份，如其未在3日内向银行或者支付机构重新核实身份的，应当对账户开户人名下其他银行账户暂停非柜面业务，支付账户暂停所有业务。银行和支付机构重新核实账户开户人身份后，可以恢复除涉案账户外的其他账户业务；账户开户人确认账户为他人冒名开立的，应当向银行和支付机构出具被冒用身份开户并同意销户的声明，银行和支付机构予以销户。</w:t>
      </w:r>
    </w:p>
    <w:p w14:paraId="1FFFC52F" w14:textId="77777777" w:rsidR="0009651B" w:rsidRDefault="00000000">
      <w:pPr>
        <w:numPr>
          <w:ilvl w:val="0"/>
          <w:numId w:val="2"/>
        </w:numPr>
        <w:ind w:right="12" w:firstLine="770"/>
      </w:pPr>
      <w:r>
        <w:t>建立对买卖银行账户和支付账户、冒名开户的惩戒机制。自2 0 1 7年1月1日起，银行和支付机构对经设区的市级及以上公安机关认定的出租、出借、出售、购买银行账户（含银行卡，下同）或者支付账户的单位和个人及相关组织者，假冒他人身份或者虚构代理关系开立银行账户或者支付账户的单位和个</w:t>
      </w:r>
      <w:r>
        <w:rPr>
          <w:noProof/>
        </w:rPr>
        <w:drawing>
          <wp:inline distT="0" distB="0" distL="0" distR="0" wp14:anchorId="3DCD0ADF" wp14:editId="7E26EA5E">
            <wp:extent cx="182084" cy="178729"/>
            <wp:effectExtent l="0" t="0" r="0" b="0"/>
            <wp:docPr id="7918" name="Picture 7918"/>
            <wp:cNvGraphicFramePr/>
            <a:graphic xmlns:a="http://schemas.openxmlformats.org/drawingml/2006/main">
              <a:graphicData uri="http://schemas.openxmlformats.org/drawingml/2006/picture">
                <pic:pic xmlns:pic="http://schemas.openxmlformats.org/drawingml/2006/picture">
                  <pic:nvPicPr>
                    <pic:cNvPr id="7918" name="Picture 7918"/>
                    <pic:cNvPicPr/>
                  </pic:nvPicPr>
                  <pic:blipFill>
                    <a:blip r:embed="rId9"/>
                    <a:stretch>
                      <a:fillRect/>
                    </a:stretch>
                  </pic:blipFill>
                  <pic:spPr>
                    <a:xfrm>
                      <a:off x="0" y="0"/>
                      <a:ext cx="182084" cy="178729"/>
                    </a:xfrm>
                    <a:prstGeom prst="rect">
                      <a:avLst/>
                    </a:prstGeom>
                  </pic:spPr>
                </pic:pic>
              </a:graphicData>
            </a:graphic>
          </wp:inline>
        </w:drawing>
      </w:r>
      <w:r>
        <w:t>，5年内暂停其银行账户非柜面业务、支付账户所有业务，3 年内不得为其新开立账户。人民银行将上述单位和个人信息移送金融信用信息基础数据库并向社会公布。</w:t>
      </w:r>
    </w:p>
    <w:p w14:paraId="323C5519" w14:textId="77777777" w:rsidR="0009651B" w:rsidRDefault="00000000">
      <w:pPr>
        <w:numPr>
          <w:ilvl w:val="0"/>
          <w:numId w:val="2"/>
        </w:numPr>
        <w:spacing w:after="11" w:line="248" w:lineRule="auto"/>
        <w:ind w:right="12" w:firstLine="770"/>
      </w:pPr>
      <w:r>
        <w:rPr>
          <w:sz w:val="28"/>
        </w:rPr>
        <w:t>加强对冒名开户的惩戒力度。银行在办理开户业务时，发现个人冒用他人身份开立账户的，应当及时向公安机关报案并将被冒用的身份证件移交公安机关。</w:t>
      </w:r>
    </w:p>
    <w:p w14:paraId="4F995C53" w14:textId="77777777" w:rsidR="0009651B" w:rsidRDefault="00000000">
      <w:pPr>
        <w:numPr>
          <w:ilvl w:val="0"/>
          <w:numId w:val="2"/>
        </w:numPr>
        <w:ind w:right="12" w:firstLine="770"/>
      </w:pPr>
      <w:r>
        <w:t>建立单位开户审慎核实机制。对于被全国企业信用信</w:t>
      </w:r>
      <w:r>
        <w:rPr>
          <w:noProof/>
        </w:rPr>
        <w:drawing>
          <wp:inline distT="0" distB="0" distL="0" distR="0" wp14:anchorId="35FA24CA" wp14:editId="586230F9">
            <wp:extent cx="16860" cy="47211"/>
            <wp:effectExtent l="0" t="0" r="0" b="0"/>
            <wp:docPr id="11645" name="Picture 11645"/>
            <wp:cNvGraphicFramePr/>
            <a:graphic xmlns:a="http://schemas.openxmlformats.org/drawingml/2006/main">
              <a:graphicData uri="http://schemas.openxmlformats.org/drawingml/2006/picture">
                <pic:pic xmlns:pic="http://schemas.openxmlformats.org/drawingml/2006/picture">
                  <pic:nvPicPr>
                    <pic:cNvPr id="11645" name="Picture 11645"/>
                    <pic:cNvPicPr/>
                  </pic:nvPicPr>
                  <pic:blipFill>
                    <a:blip r:embed="rId10"/>
                    <a:stretch>
                      <a:fillRect/>
                    </a:stretch>
                  </pic:blipFill>
                  <pic:spPr>
                    <a:xfrm>
                      <a:off x="0" y="0"/>
                      <a:ext cx="16860" cy="47211"/>
                    </a:xfrm>
                    <a:prstGeom prst="rect">
                      <a:avLst/>
                    </a:prstGeom>
                  </pic:spPr>
                </pic:pic>
              </a:graphicData>
            </a:graphic>
          </wp:inline>
        </w:drawing>
      </w:r>
      <w:r>
        <w:t>自公示系统列入“严重违法失信企业名单"，以及经银行和支付</w:t>
      </w:r>
      <w:r>
        <w:lastRenderedPageBreak/>
        <w:t>机构核实单位注册地址不存在或者虚构经营场所的单位，银行和支付机构不得为其开户。银行和支付机构应当至少每季度排查企业是否属于严重违法企业，情况属实的，应当在3个月内暂停其业务，逐步清理。</w:t>
      </w:r>
    </w:p>
    <w:p w14:paraId="4977B77D" w14:textId="77777777" w:rsidR="0009651B" w:rsidRDefault="00000000">
      <w:pPr>
        <w:spacing w:after="34" w:line="248" w:lineRule="auto"/>
        <w:ind w:left="12" w:right="12" w:firstLine="637"/>
      </w:pPr>
      <w:r>
        <w:rPr>
          <w:sz w:val="28"/>
        </w:rPr>
        <w:t>对存在法定代表人或者负责人对单位经营规模及业务背景等情况不清楚、注册地和经营地均在异地等异常情况的单位，银行和支付机构应当加强对单位开户意愿的核查。银行应当对法定代表人或者负责人</w:t>
      </w:r>
      <w:proofErr w:type="gramStart"/>
      <w:r>
        <w:rPr>
          <w:sz w:val="28"/>
        </w:rPr>
        <w:t>面签并</w:t>
      </w:r>
      <w:proofErr w:type="gramEnd"/>
      <w:r>
        <w:rPr>
          <w:sz w:val="28"/>
        </w:rPr>
        <w:t>留存视频、音频资料等，开户初期原则上不开通非柜面业务，待后续了解后再审慎开通。支付机构应当留存单位法定代表人或者负责人开户时的视频、音频资料等。</w:t>
      </w:r>
    </w:p>
    <w:p w14:paraId="10C7205D" w14:textId="77777777" w:rsidR="0009651B" w:rsidRDefault="00000000">
      <w:pPr>
        <w:spacing w:after="11" w:line="248" w:lineRule="auto"/>
        <w:ind w:left="12" w:right="12" w:firstLine="637"/>
      </w:pPr>
      <w:r>
        <w:rPr>
          <w:sz w:val="28"/>
        </w:rPr>
        <w:t>支付机构为单位开立支付账户，应当参照《人民币银行结算账户管理办法》（中国人民银行令〔2003〕第5号发布）第十七条、第二十四条、第二十六条等相关规定，要求单位提供相关证明文件，并自主或者委托合作机构以面对面方式核实客户身份，或者以非面对面方式通过至少三个合法安全的外部渠道对单位基本信</w:t>
      </w:r>
      <w:r>
        <w:rPr>
          <w:noProof/>
        </w:rPr>
        <w:drawing>
          <wp:inline distT="0" distB="0" distL="0" distR="0" wp14:anchorId="49FDA742" wp14:editId="230670E9">
            <wp:extent cx="16860" cy="47211"/>
            <wp:effectExtent l="0" t="0" r="0" b="0"/>
            <wp:docPr id="11646" name="Picture 11646"/>
            <wp:cNvGraphicFramePr/>
            <a:graphic xmlns:a="http://schemas.openxmlformats.org/drawingml/2006/main">
              <a:graphicData uri="http://schemas.openxmlformats.org/drawingml/2006/picture">
                <pic:pic xmlns:pic="http://schemas.openxmlformats.org/drawingml/2006/picture">
                  <pic:nvPicPr>
                    <pic:cNvPr id="11646" name="Picture 11646"/>
                    <pic:cNvPicPr/>
                  </pic:nvPicPr>
                  <pic:blipFill>
                    <a:blip r:embed="rId10"/>
                    <a:stretch>
                      <a:fillRect/>
                    </a:stretch>
                  </pic:blipFill>
                  <pic:spPr>
                    <a:xfrm>
                      <a:off x="0" y="0"/>
                      <a:ext cx="16860" cy="47211"/>
                    </a:xfrm>
                    <a:prstGeom prst="rect">
                      <a:avLst/>
                    </a:prstGeom>
                  </pic:spPr>
                </pic:pic>
              </a:graphicData>
            </a:graphic>
          </wp:inline>
        </w:drawing>
      </w:r>
      <w:proofErr w:type="gramStart"/>
      <w:r>
        <w:rPr>
          <w:sz w:val="28"/>
        </w:rPr>
        <w:t>自进行</w:t>
      </w:r>
      <w:proofErr w:type="gramEnd"/>
      <w:r>
        <w:rPr>
          <w:sz w:val="28"/>
        </w:rPr>
        <w:t>多重交叉验证。对于本通知发布之日前已经开立支付账户的单位，支付机构应当于2017年6月底前按照上述要求核实身份，完成核实前不得为其开立新的支付账户；逾期未完成核实的，支付账户只收不付。支付机构完成核实工作后，将有关情况报告法人所在地人民银行分支机构。</w:t>
      </w:r>
    </w:p>
    <w:p w14:paraId="42313D1E" w14:textId="77777777" w:rsidR="0009651B" w:rsidRDefault="00000000">
      <w:pPr>
        <w:ind w:left="6" w:right="12" w:firstLine="621"/>
      </w:pPr>
      <w:r>
        <w:t>支付机构应当加强对使用个人支付账户开展经营性活动的资金交易监测和持续性客户管理。</w:t>
      </w:r>
    </w:p>
    <w:p w14:paraId="76027D9D" w14:textId="77777777" w:rsidR="0009651B" w:rsidRDefault="00000000">
      <w:pPr>
        <w:ind w:left="6" w:right="12" w:firstLine="770"/>
      </w:pPr>
      <w:r>
        <w:rPr>
          <w:noProof/>
        </w:rPr>
        <w:drawing>
          <wp:inline distT="0" distB="0" distL="0" distR="0" wp14:anchorId="49265DA1" wp14:editId="5FE2D229">
            <wp:extent cx="43835" cy="165240"/>
            <wp:effectExtent l="0" t="0" r="0" b="0"/>
            <wp:docPr id="14928" name="Picture 14928"/>
            <wp:cNvGraphicFramePr/>
            <a:graphic xmlns:a="http://schemas.openxmlformats.org/drawingml/2006/main">
              <a:graphicData uri="http://schemas.openxmlformats.org/drawingml/2006/picture">
                <pic:pic xmlns:pic="http://schemas.openxmlformats.org/drawingml/2006/picture">
                  <pic:nvPicPr>
                    <pic:cNvPr id="14928" name="Picture 14928"/>
                    <pic:cNvPicPr/>
                  </pic:nvPicPr>
                  <pic:blipFill>
                    <a:blip r:embed="rId11"/>
                    <a:stretch>
                      <a:fillRect/>
                    </a:stretch>
                  </pic:blipFill>
                  <pic:spPr>
                    <a:xfrm>
                      <a:off x="0" y="0"/>
                      <a:ext cx="43835" cy="165240"/>
                    </a:xfrm>
                    <a:prstGeom prst="rect">
                      <a:avLst/>
                    </a:prstGeom>
                  </pic:spPr>
                </pic:pic>
              </a:graphicData>
            </a:graphic>
          </wp:inline>
        </w:drawing>
      </w:r>
      <w:r>
        <w:t>六）加强对异常开户行为的审核。有下列情形之一的，银行和支付机构有权拒绝开户：</w:t>
      </w:r>
    </w:p>
    <w:p w14:paraId="5899E872" w14:textId="77777777" w:rsidR="0009651B" w:rsidRDefault="00000000">
      <w:pPr>
        <w:numPr>
          <w:ilvl w:val="0"/>
          <w:numId w:val="3"/>
        </w:numPr>
        <w:spacing w:after="26"/>
        <w:ind w:right="12" w:firstLine="648"/>
      </w:pPr>
      <w:r>
        <w:lastRenderedPageBreak/>
        <w:t>.对单位和个人身份信息存在疑义，要求出示辅助证件，单位和个人拒绝出示的。</w:t>
      </w:r>
    </w:p>
    <w:p w14:paraId="2377335C" w14:textId="77777777" w:rsidR="0009651B" w:rsidRDefault="00000000">
      <w:pPr>
        <w:numPr>
          <w:ilvl w:val="0"/>
          <w:numId w:val="3"/>
        </w:numPr>
        <w:spacing w:after="11" w:line="248" w:lineRule="auto"/>
        <w:ind w:right="12" w:firstLine="648"/>
      </w:pPr>
      <w:r>
        <w:rPr>
          <w:sz w:val="28"/>
        </w:rPr>
        <w:t>·单位和个人组织他人同时或者分批开立账户的。</w:t>
      </w:r>
    </w:p>
    <w:p w14:paraId="2EFA1103" w14:textId="77777777" w:rsidR="0009651B" w:rsidRDefault="00000000">
      <w:pPr>
        <w:numPr>
          <w:ilvl w:val="0"/>
          <w:numId w:val="3"/>
        </w:numPr>
        <w:spacing w:after="11" w:line="248" w:lineRule="auto"/>
        <w:ind w:right="12" w:firstLine="648"/>
      </w:pPr>
      <w:r>
        <w:rPr>
          <w:sz w:val="28"/>
        </w:rPr>
        <w:t>·有明显理由怀疑开立账户从事违法犯罪活动的。</w:t>
      </w:r>
    </w:p>
    <w:p w14:paraId="4A6B6998" w14:textId="77777777" w:rsidR="0009651B" w:rsidRDefault="00000000">
      <w:pPr>
        <w:ind w:left="6" w:right="12" w:firstLine="627"/>
      </w:pPr>
      <w:r>
        <w:t>银行和支付机构应当加强账户交易活动监测，对开户之日起 6个月内无交易记录的账户，银行应当暂停其非柜面业务，支付机构应当暂停其所有业务，银行和支付机构向单位和个人重新核实身份后，可以恢复其业务。</w:t>
      </w:r>
    </w:p>
    <w:p w14:paraId="15BECD54" w14:textId="77777777" w:rsidR="0009651B" w:rsidRDefault="00000000">
      <w:pPr>
        <w:numPr>
          <w:ilvl w:val="0"/>
          <w:numId w:val="4"/>
        </w:numPr>
        <w:spacing w:after="11" w:line="248" w:lineRule="auto"/>
        <w:ind w:right="12" w:firstLine="770"/>
      </w:pPr>
      <w:r>
        <w:rPr>
          <w:sz w:val="28"/>
        </w:rPr>
        <w:t>严格联系电话号码与身份证件号码的对应关系。银行和支付机构应当建立联系电话号码与个人身份证件号码的</w:t>
      </w:r>
      <w:proofErr w:type="gramStart"/>
      <w:r>
        <w:rPr>
          <w:sz w:val="28"/>
        </w:rPr>
        <w:t>一</w:t>
      </w:r>
      <w:proofErr w:type="gramEnd"/>
      <w:r>
        <w:rPr>
          <w:noProof/>
        </w:rPr>
        <w:drawing>
          <wp:inline distT="0" distB="0" distL="0" distR="0" wp14:anchorId="1BA56595" wp14:editId="3336D42E">
            <wp:extent cx="370912" cy="195590"/>
            <wp:effectExtent l="0" t="0" r="0" b="0"/>
            <wp:docPr id="69400" name="Picture 69400"/>
            <wp:cNvGraphicFramePr/>
            <a:graphic xmlns:a="http://schemas.openxmlformats.org/drawingml/2006/main">
              <a:graphicData uri="http://schemas.openxmlformats.org/drawingml/2006/picture">
                <pic:pic xmlns:pic="http://schemas.openxmlformats.org/drawingml/2006/picture">
                  <pic:nvPicPr>
                    <pic:cNvPr id="69400" name="Picture 69400"/>
                    <pic:cNvPicPr/>
                  </pic:nvPicPr>
                  <pic:blipFill>
                    <a:blip r:embed="rId12"/>
                    <a:stretch>
                      <a:fillRect/>
                    </a:stretch>
                  </pic:blipFill>
                  <pic:spPr>
                    <a:xfrm>
                      <a:off x="0" y="0"/>
                      <a:ext cx="370912" cy="195590"/>
                    </a:xfrm>
                    <a:prstGeom prst="rect">
                      <a:avLst/>
                    </a:prstGeom>
                  </pic:spPr>
                </pic:pic>
              </a:graphicData>
            </a:graphic>
          </wp:inline>
        </w:drawing>
      </w:r>
      <w:r>
        <w:rPr>
          <w:sz w:val="28"/>
        </w:rPr>
        <w:t>应关系，对多人使用同</w:t>
      </w:r>
      <w:proofErr w:type="gramStart"/>
      <w:r>
        <w:rPr>
          <w:sz w:val="28"/>
        </w:rPr>
        <w:t>一联系</w:t>
      </w:r>
      <w:proofErr w:type="gramEnd"/>
      <w:r>
        <w:rPr>
          <w:sz w:val="28"/>
        </w:rPr>
        <w:t>电话号码开立和使用账户的情况进行排查清理，联系相关当事人进行确认。对于成年人代理未成年人或者老年人开户预留本人联系电话等合理情形的，由相关当事人出具说明后可以保持不变；对于单位批量开户，预留财务人</w:t>
      </w:r>
      <w:r>
        <w:rPr>
          <w:noProof/>
        </w:rPr>
        <w:drawing>
          <wp:inline distT="0" distB="0" distL="0" distR="0" wp14:anchorId="5976B463" wp14:editId="39F32556">
            <wp:extent cx="134877" cy="188847"/>
            <wp:effectExtent l="0" t="0" r="0" b="0"/>
            <wp:docPr id="14931" name="Picture 14931"/>
            <wp:cNvGraphicFramePr/>
            <a:graphic xmlns:a="http://schemas.openxmlformats.org/drawingml/2006/main">
              <a:graphicData uri="http://schemas.openxmlformats.org/drawingml/2006/picture">
                <pic:pic xmlns:pic="http://schemas.openxmlformats.org/drawingml/2006/picture">
                  <pic:nvPicPr>
                    <pic:cNvPr id="14931" name="Picture 14931"/>
                    <pic:cNvPicPr/>
                  </pic:nvPicPr>
                  <pic:blipFill>
                    <a:blip r:embed="rId13"/>
                    <a:stretch>
                      <a:fillRect/>
                    </a:stretch>
                  </pic:blipFill>
                  <pic:spPr>
                    <a:xfrm>
                      <a:off x="0" y="0"/>
                      <a:ext cx="134877" cy="188847"/>
                    </a:xfrm>
                    <a:prstGeom prst="rect">
                      <a:avLst/>
                    </a:prstGeom>
                  </pic:spPr>
                </pic:pic>
              </a:graphicData>
            </a:graphic>
          </wp:inline>
        </w:drawing>
      </w:r>
      <w:r>
        <w:rPr>
          <w:sz w:val="28"/>
        </w:rPr>
        <w:t>联系电话等情形的，应当变更为账户所有人本人的联系电话；对于无法证明合理性的，应当对相关银行账户暂停非柜面业务，支付账户暂停所有业务。</w:t>
      </w:r>
    </w:p>
    <w:p w14:paraId="53D7D293" w14:textId="77777777" w:rsidR="0009651B" w:rsidRDefault="00000000">
      <w:pPr>
        <w:ind w:right="12"/>
      </w:pPr>
      <w:r>
        <w:rPr>
          <w:noProof/>
        </w:rPr>
        <w:drawing>
          <wp:inline distT="0" distB="0" distL="0" distR="0" wp14:anchorId="3FEC393F" wp14:editId="645CFA08">
            <wp:extent cx="175340" cy="128145"/>
            <wp:effectExtent l="0" t="0" r="0" b="0"/>
            <wp:docPr id="69403" name="Picture 69403"/>
            <wp:cNvGraphicFramePr/>
            <a:graphic xmlns:a="http://schemas.openxmlformats.org/drawingml/2006/main">
              <a:graphicData uri="http://schemas.openxmlformats.org/drawingml/2006/picture">
                <pic:pic xmlns:pic="http://schemas.openxmlformats.org/drawingml/2006/picture">
                  <pic:nvPicPr>
                    <pic:cNvPr id="69403" name="Picture 69403"/>
                    <pic:cNvPicPr/>
                  </pic:nvPicPr>
                  <pic:blipFill>
                    <a:blip r:embed="rId14"/>
                    <a:stretch>
                      <a:fillRect/>
                    </a:stretch>
                  </pic:blipFill>
                  <pic:spPr>
                    <a:xfrm>
                      <a:off x="0" y="0"/>
                      <a:ext cx="175340" cy="128145"/>
                    </a:xfrm>
                    <a:prstGeom prst="rect">
                      <a:avLst/>
                    </a:prstGeom>
                  </pic:spPr>
                </pic:pic>
              </a:graphicData>
            </a:graphic>
          </wp:inline>
        </w:drawing>
      </w:r>
      <w:r>
        <w:t>、加强转账管理</w:t>
      </w:r>
    </w:p>
    <w:p w14:paraId="19B6410C" w14:textId="77777777" w:rsidR="0009651B" w:rsidRDefault="00000000">
      <w:pPr>
        <w:numPr>
          <w:ilvl w:val="0"/>
          <w:numId w:val="4"/>
        </w:numPr>
        <w:ind w:right="12" w:firstLine="770"/>
      </w:pPr>
      <w:r>
        <w:t>增加转账方式，调整转账时间。自2 016年1 2月1日起，银行和支付机构提供转账服务时应当执行下列规定：</w:t>
      </w:r>
    </w:p>
    <w:p w14:paraId="7FEA358F" w14:textId="77777777" w:rsidR="0009651B" w:rsidRDefault="00000000">
      <w:pPr>
        <w:numPr>
          <w:ilvl w:val="0"/>
          <w:numId w:val="5"/>
        </w:numPr>
        <w:spacing w:after="11" w:line="248" w:lineRule="auto"/>
        <w:ind w:right="12" w:firstLine="637"/>
      </w:pPr>
      <w:r>
        <w:rPr>
          <w:sz w:val="28"/>
        </w:rPr>
        <w:t>.向存款人提供实时到账、普通到账、次日到账等多种转账方式选择，存款人在选择后才能办理业务。</w:t>
      </w:r>
    </w:p>
    <w:p w14:paraId="5715A4BC" w14:textId="77777777" w:rsidR="0009651B" w:rsidRDefault="00000000">
      <w:pPr>
        <w:numPr>
          <w:ilvl w:val="0"/>
          <w:numId w:val="5"/>
        </w:numPr>
        <w:spacing w:after="36"/>
        <w:ind w:right="12" w:firstLine="637"/>
      </w:pPr>
      <w:r>
        <w:lastRenderedPageBreak/>
        <w:t>·除向本人同行账户转账外，个人通过自助柜员机（含其他具有存取款功能的自助设备，下同）转账的，发卡行在受理24 小时后办理资金转账。在发卡行受理后24小时内，个人可以向发卡行申请撤销转账。受理</w:t>
      </w:r>
      <w:proofErr w:type="gramStart"/>
      <w:r>
        <w:t>行应当</w:t>
      </w:r>
      <w:proofErr w:type="gramEnd"/>
      <w:r>
        <w:t>在受理结果界面对转账业务办理时间和</w:t>
      </w:r>
      <w:proofErr w:type="gramStart"/>
      <w:r>
        <w:t>可</w:t>
      </w:r>
      <w:proofErr w:type="gramEnd"/>
      <w:r>
        <w:t>撤销规定</w:t>
      </w:r>
      <w:proofErr w:type="gramStart"/>
      <w:r>
        <w:t>作出</w:t>
      </w:r>
      <w:proofErr w:type="gramEnd"/>
      <w:r>
        <w:t>明确提示。</w:t>
      </w:r>
    </w:p>
    <w:p w14:paraId="745DAED0" w14:textId="77777777" w:rsidR="0009651B" w:rsidRDefault="00000000">
      <w:pPr>
        <w:numPr>
          <w:ilvl w:val="0"/>
          <w:numId w:val="5"/>
        </w:numPr>
        <w:spacing w:after="2" w:line="245" w:lineRule="auto"/>
        <w:ind w:right="12" w:firstLine="637"/>
      </w:pPr>
      <w:r>
        <w:t>·银行通过自助柜员机为个人办理转账业务的，应当增加汉语语音提示，并通过文字、标识、</w:t>
      </w:r>
      <w:proofErr w:type="gramStart"/>
      <w:r>
        <w:t>弹窗等</w:t>
      </w:r>
      <w:proofErr w:type="gramEnd"/>
      <w:r>
        <w:t>设置防诈骗提醒；非汉语提示界面应当对资金转出等核心关键字段提供汉语提示，无法提示的，不得提供转账。</w:t>
      </w:r>
    </w:p>
    <w:p w14:paraId="49085EB1" w14:textId="77777777" w:rsidR="0009651B" w:rsidRDefault="00000000">
      <w:pPr>
        <w:numPr>
          <w:ilvl w:val="0"/>
          <w:numId w:val="6"/>
        </w:numPr>
        <w:spacing w:after="561"/>
        <w:ind w:right="12" w:firstLine="770"/>
      </w:pPr>
      <w:r>
        <w:t>加强银行非柜面转账管理。自2016年12月1日起，银行在为存款人开通非柜面转账业务时，应当与存款人签订协议，约定非柜面渠道向非同名银行账户和支付账户转账的日累计限额、笔数和年累计限额等，超出限额和笔数的，应当到银行柜面</w:t>
      </w:r>
    </w:p>
    <w:p w14:paraId="61259353" w14:textId="77777777" w:rsidR="0009651B" w:rsidRDefault="00000000">
      <w:pPr>
        <w:ind w:left="6" w:right="12" w:firstLine="648"/>
      </w:pPr>
      <w:r>
        <w:t>除向本人同行账户转账外，银行为个人办理非柜面转账业务，单日累计金额超过5万元的，应当采用数字证书或者电子签名等安全可靠的支付指令验证方式。单位、个人银行账户非柜面转账单日累计金额分别超过100万元、30万元的，银行应当进行大额交易提醒，单位、个人确认后方可转账。</w:t>
      </w:r>
    </w:p>
    <w:p w14:paraId="7991CDFC" w14:textId="77777777" w:rsidR="0009651B" w:rsidRDefault="00000000">
      <w:pPr>
        <w:numPr>
          <w:ilvl w:val="0"/>
          <w:numId w:val="6"/>
        </w:numPr>
        <w:ind w:right="12" w:firstLine="770"/>
      </w:pPr>
      <w:r>
        <w:t>加强支付账户转账管理。自2 0 1 6年1 2月1日起，支付机构在为单位和个人开立支付账户时，应当与单位和个人</w:t>
      </w:r>
      <w:r>
        <w:lastRenderedPageBreak/>
        <w:t>签订协议，约定支付账户与支付账户、支付账户与银行账户之间的日累计转账限额和笔数，超出限额和笔数的，不得再办理转账业务。</w:t>
      </w:r>
    </w:p>
    <w:p w14:paraId="69983FE5" w14:textId="77777777" w:rsidR="0009651B" w:rsidRDefault="00000000">
      <w:pPr>
        <w:numPr>
          <w:ilvl w:val="0"/>
          <w:numId w:val="6"/>
        </w:numPr>
        <w:spacing w:after="58"/>
        <w:ind w:right="12" w:firstLine="770"/>
      </w:pPr>
      <w:r>
        <w:t>加强交易背景调查。银行和支付机构发现账户存在大量转入转出交易的，应当按照“了解你的客户"原则，对单位或者个人的交易背景进行调查。如发现存在异常的，应当按照审慎原则调整向单位和个人提供的相关服务。</w:t>
      </w:r>
    </w:p>
    <w:p w14:paraId="10D81E11" w14:textId="77777777" w:rsidR="0009651B" w:rsidRDefault="00000000">
      <w:pPr>
        <w:numPr>
          <w:ilvl w:val="0"/>
          <w:numId w:val="6"/>
        </w:numPr>
        <w:spacing w:after="11" w:line="248" w:lineRule="auto"/>
        <w:ind w:right="12" w:firstLine="770"/>
      </w:pPr>
      <w:r>
        <w:rPr>
          <w:sz w:val="28"/>
        </w:rPr>
        <w:t>加强特约商户资金结算管理。银行和支付机构为特约商户提供T+ 0资金结算服务的，应当对特约商户加强交易监测和风险管理，不得为入网不满90日或者入网后连续正常交易不满 30日的特约商户提供T+O资金结算服务。</w:t>
      </w:r>
    </w:p>
    <w:p w14:paraId="4E063EE7" w14:textId="77777777" w:rsidR="0009651B" w:rsidRDefault="00000000">
      <w:pPr>
        <w:ind w:right="12"/>
      </w:pPr>
      <w:r>
        <w:rPr>
          <w:noProof/>
        </w:rPr>
        <w:drawing>
          <wp:inline distT="0" distB="0" distL="0" distR="0" wp14:anchorId="5DF0DE12" wp14:editId="7C843838">
            <wp:extent cx="175340" cy="148379"/>
            <wp:effectExtent l="0" t="0" r="0" b="0"/>
            <wp:docPr id="69406" name="Picture 69406"/>
            <wp:cNvGraphicFramePr/>
            <a:graphic xmlns:a="http://schemas.openxmlformats.org/drawingml/2006/main">
              <a:graphicData uri="http://schemas.openxmlformats.org/drawingml/2006/picture">
                <pic:pic xmlns:pic="http://schemas.openxmlformats.org/drawingml/2006/picture">
                  <pic:nvPicPr>
                    <pic:cNvPr id="69406" name="Picture 69406"/>
                    <pic:cNvPicPr/>
                  </pic:nvPicPr>
                  <pic:blipFill>
                    <a:blip r:embed="rId15"/>
                    <a:stretch>
                      <a:fillRect/>
                    </a:stretch>
                  </pic:blipFill>
                  <pic:spPr>
                    <a:xfrm>
                      <a:off x="0" y="0"/>
                      <a:ext cx="175340" cy="148379"/>
                    </a:xfrm>
                    <a:prstGeom prst="rect">
                      <a:avLst/>
                    </a:prstGeom>
                  </pic:spPr>
                </pic:pic>
              </a:graphicData>
            </a:graphic>
          </wp:inline>
        </w:drawing>
      </w:r>
      <w:r>
        <w:t>、加强银行卡业务管理</w:t>
      </w:r>
    </w:p>
    <w:p w14:paraId="60A7FDC1" w14:textId="77777777" w:rsidR="0009651B" w:rsidRDefault="00000000">
      <w:pPr>
        <w:numPr>
          <w:ilvl w:val="0"/>
          <w:numId w:val="6"/>
        </w:numPr>
        <w:ind w:right="12" w:firstLine="770"/>
      </w:pPr>
      <w:r>
        <w:t>严格审核特约商户资质，规范受理终端管理。任何单位和个人不得在网上买卖POS机（包括MPOS）、刷卡器等受理终端。银行和支付机构应当对全部实体特约商户进行现场检查，逐一核对其受理终端的使用地点。对于违规移机使用、无法确认实际使用地点的受理终端一律停止业务功能。银行和支付机构应当于2016年11月30日前形成检查报告备查。</w:t>
      </w:r>
    </w:p>
    <w:p w14:paraId="27BECD26" w14:textId="77777777" w:rsidR="0009651B" w:rsidRDefault="00000000">
      <w:pPr>
        <w:numPr>
          <w:ilvl w:val="0"/>
          <w:numId w:val="6"/>
        </w:numPr>
        <w:spacing w:after="3" w:line="259" w:lineRule="auto"/>
        <w:ind w:right="12" w:firstLine="770"/>
      </w:pPr>
      <w:r>
        <w:rPr>
          <w:sz w:val="28"/>
        </w:rPr>
        <w:t>建立健全特约商户信息管理系统和黑名单管理机</w:t>
      </w:r>
    </w:p>
    <w:p w14:paraId="5DD10431" w14:textId="77777777" w:rsidR="0009651B" w:rsidRDefault="00000000">
      <w:pPr>
        <w:spacing w:after="40"/>
        <w:ind w:left="6" w:right="12"/>
      </w:pPr>
      <w:r>
        <w:t>制。中国支付清算协会、银行卡清算机构应当建立健全特约商户信息管理系统，组织银行、支付机构详细记录特约商户基本</w:t>
      </w:r>
      <w:proofErr w:type="gramStart"/>
      <w:r>
        <w:t>佇</w:t>
      </w:r>
      <w:proofErr w:type="gramEnd"/>
      <w:r>
        <w:t>自</w:t>
      </w:r>
      <w:r>
        <w:rPr>
          <w:noProof/>
        </w:rPr>
        <w:drawing>
          <wp:inline distT="0" distB="0" distL="0" distR="0" wp14:anchorId="776DBAD2" wp14:editId="47A4FB81">
            <wp:extent cx="40463" cy="40467"/>
            <wp:effectExtent l="0" t="0" r="0" b="0"/>
            <wp:docPr id="25392" name="Picture 25392"/>
            <wp:cNvGraphicFramePr/>
            <a:graphic xmlns:a="http://schemas.openxmlformats.org/drawingml/2006/main">
              <a:graphicData uri="http://schemas.openxmlformats.org/drawingml/2006/picture">
                <pic:pic xmlns:pic="http://schemas.openxmlformats.org/drawingml/2006/picture">
                  <pic:nvPicPr>
                    <pic:cNvPr id="25392" name="Picture 25392"/>
                    <pic:cNvPicPr/>
                  </pic:nvPicPr>
                  <pic:blipFill>
                    <a:blip r:embed="rId16"/>
                    <a:stretch>
                      <a:fillRect/>
                    </a:stretch>
                  </pic:blipFill>
                  <pic:spPr>
                    <a:xfrm>
                      <a:off x="0" y="0"/>
                      <a:ext cx="40463" cy="40467"/>
                    </a:xfrm>
                    <a:prstGeom prst="rect">
                      <a:avLst/>
                    </a:prstGeom>
                  </pic:spPr>
                </pic:pic>
              </a:graphicData>
            </a:graphic>
          </wp:inline>
        </w:drawing>
      </w:r>
      <w:r>
        <w:t>启动和终止服务情况、合</w:t>
      </w:r>
      <w:proofErr w:type="gramStart"/>
      <w:r>
        <w:t>规</w:t>
      </w:r>
      <w:proofErr w:type="gramEnd"/>
      <w:r>
        <w:t>风险状况等。对同一特约商户或者同一个人</w:t>
      </w:r>
      <w:r>
        <w:lastRenderedPageBreak/>
        <w:t>控制的特约商户反复更换服务机构等异常状况的，银行和支付机构应当审慎为其提供服务。</w:t>
      </w:r>
    </w:p>
    <w:p w14:paraId="369AC064" w14:textId="77777777" w:rsidR="0009651B" w:rsidRDefault="00000000">
      <w:pPr>
        <w:spacing w:after="11" w:line="248" w:lineRule="auto"/>
        <w:ind w:left="12" w:right="12" w:firstLine="658"/>
      </w:pPr>
      <w:r>
        <w:rPr>
          <w:sz w:val="28"/>
        </w:rPr>
        <w:t>中国支付清算协会、银行卡清算机构应当建立健全特约商户黑名单管理机制，将因存在重大违规行为被银行和支付机构终止服务的特约商户及其法定代表人或者负责人、公安机关认定为违法犯罪活动转移赃款提供便利的特约商户及相关个人、公安机关认定的买卖账户的单位和个人等，列入黑名单管理。中国支付清算协会应当将黑名单信息移送金融信用信息基础数据库。银行和支付机构不得将黑名单中的单位以及由相关个人担任法定代表人或者负责人的单位拓展为特约商户；已经拓展为特约商户的，应当自该特约商户被列入黑名单之日起1 0日内予以清退。</w:t>
      </w:r>
    </w:p>
    <w:p w14:paraId="69D38814" w14:textId="77777777" w:rsidR="0009651B" w:rsidRDefault="00000000">
      <w:pPr>
        <w:ind w:left="658" w:right="12"/>
      </w:pPr>
      <w:r>
        <w:t>四、强化可疑交易监测</w:t>
      </w:r>
    </w:p>
    <w:p w14:paraId="7318599A" w14:textId="77777777" w:rsidR="0009651B" w:rsidRDefault="00000000">
      <w:pPr>
        <w:numPr>
          <w:ilvl w:val="0"/>
          <w:numId w:val="7"/>
        </w:numPr>
        <w:ind w:right="12" w:firstLine="770"/>
      </w:pPr>
      <w:r>
        <w:t>确保交易信息真实、完整、可追溯。支付机构与银行合作开展银行账户付款或者收款业务的，应当严格执行《银行卡收单业务管理办法》（中国人民银行令〔2013〕第9号发布）、</w:t>
      </w:r>
    </w:p>
    <w:p w14:paraId="08327032" w14:textId="77777777" w:rsidR="0009651B" w:rsidRDefault="00000000">
      <w:pPr>
        <w:ind w:left="6" w:right="12" w:firstLine="138"/>
      </w:pPr>
      <w:r>
        <w:t>《非银行支付机构网络支付业务管理办法》（中国人民银行公告〔2015〕第43号公布）等制度规定，确保交易信息的真实性、完整性、可追溯性以及在支付全流程中的一致性，不得篡改或者</w:t>
      </w:r>
      <w:proofErr w:type="gramStart"/>
      <w:r>
        <w:t>阝刍匿</w:t>
      </w:r>
      <w:proofErr w:type="gramEnd"/>
      <w:r>
        <w:t>交易信息，交易信息应当至少保存5年。银行和支付机构应当</w:t>
      </w:r>
    </w:p>
    <w:p w14:paraId="1206DC66" w14:textId="77777777" w:rsidR="0009651B" w:rsidRDefault="00000000">
      <w:pPr>
        <w:spacing w:after="11" w:line="248" w:lineRule="auto"/>
        <w:ind w:left="22" w:right="12" w:hanging="10"/>
      </w:pPr>
      <w:r>
        <w:rPr>
          <w:sz w:val="28"/>
        </w:rPr>
        <w:t>于2017年3月31日前按照网络支付报文相关金融行业技术标准完成系统改造，逾期未完成改造的，暂停有关业务。</w:t>
      </w:r>
    </w:p>
    <w:p w14:paraId="2C41EB4E" w14:textId="77777777" w:rsidR="0009651B" w:rsidRDefault="00000000">
      <w:pPr>
        <w:numPr>
          <w:ilvl w:val="0"/>
          <w:numId w:val="7"/>
        </w:numPr>
        <w:ind w:right="12" w:firstLine="770"/>
      </w:pPr>
      <w:r>
        <w:t>加强账户监测。银行和支付机构应当加强对银行账户和支付账户的监测，建立和完善可疑交易监测模型，账户及其资</w:t>
      </w:r>
      <w:r>
        <w:lastRenderedPageBreak/>
        <w:t>金划转具有集中转入分散转出等可疑交易特征的（详见附件 1），应当列入可疑交易。</w:t>
      </w:r>
    </w:p>
    <w:p w14:paraId="77ECD64A" w14:textId="77777777" w:rsidR="0009651B" w:rsidRDefault="00000000">
      <w:pPr>
        <w:ind w:left="6" w:right="12" w:firstLine="632"/>
      </w:pPr>
      <w:r>
        <w:t>对于列入可疑交易的账户，银行和支付机构应当与相关单位或者个人核实交易情况；经核实后银行和支付机构仍然认定账户可疑的，银行应当暂停账户非柜面业务，支付机构应当暂停账户所有业务，并按照规定报送可疑交易报告或者重点可疑交易报告；涉嫌违法犯罪的，应当及时向当地公安机关报告。</w:t>
      </w:r>
    </w:p>
    <w:p w14:paraId="53E5D59C" w14:textId="77777777" w:rsidR="0009651B" w:rsidRDefault="00000000">
      <w:pPr>
        <w:numPr>
          <w:ilvl w:val="0"/>
          <w:numId w:val="7"/>
        </w:numPr>
        <w:ind w:right="12" w:firstLine="770"/>
      </w:pPr>
      <w:r>
        <w:t>强化支付结算可疑交易监测的研究。中国支付清算协会、银行卡清算机构应当根据公安机关、银行、支付机构提供的可疑交易情形，构建可疑交易监测模型，向银行和支付机构发布。</w:t>
      </w:r>
    </w:p>
    <w:p w14:paraId="33409DE9" w14:textId="77777777" w:rsidR="0009651B" w:rsidRDefault="00000000">
      <w:pPr>
        <w:ind w:right="12"/>
      </w:pPr>
      <w:r>
        <w:t>五、健全紧急止付和快速冻结机制</w:t>
      </w:r>
    </w:p>
    <w:p w14:paraId="50F6BE1F" w14:textId="77777777" w:rsidR="0009651B" w:rsidRDefault="00000000">
      <w:pPr>
        <w:numPr>
          <w:ilvl w:val="0"/>
          <w:numId w:val="8"/>
        </w:numPr>
        <w:ind w:right="12" w:firstLine="775"/>
      </w:pPr>
      <w:r>
        <w:t>理顺工作机制，按期接入电信网络新型违法犯罪交易风险事件管理平台。2016年1 1月30日前，支付机构应当理顺本机构协助有权机关查询、止付、冻结和扣划工作流程；实现查询账户信息和交易流水以及账户止付、冻结和扣划等；指定专人专岗负责协助查询、止付、冻结和扣划工作，不得推诿、拖延。银行、从事网络支付的支付机构应当根据有关要求，按时完成本</w:t>
      </w:r>
    </w:p>
    <w:p w14:paraId="24E89A3C" w14:textId="77777777" w:rsidR="0009651B" w:rsidRDefault="0009651B">
      <w:pPr>
        <w:sectPr w:rsidR="0009651B">
          <w:footerReference w:type="even" r:id="rId17"/>
          <w:footerReference w:type="default" r:id="rId18"/>
          <w:footerReference w:type="first" r:id="rId19"/>
          <w:pgSz w:w="11900" w:h="16840"/>
          <w:pgMar w:top="2241" w:right="1535" w:bottom="2141" w:left="1545" w:header="720" w:footer="1508" w:gutter="0"/>
          <w:cols w:space="720"/>
        </w:sectPr>
      </w:pPr>
    </w:p>
    <w:p w14:paraId="0A71A3A7" w14:textId="77777777" w:rsidR="0009651B" w:rsidRDefault="00000000">
      <w:pPr>
        <w:ind w:left="6" w:right="12"/>
      </w:pPr>
      <w:r>
        <w:lastRenderedPageBreak/>
        <w:t>单位核心系统的开发和改造工作，在2016年底前全部接入电信网络新型违法犯罪交易风险事件管理平台。</w:t>
      </w:r>
    </w:p>
    <w:p w14:paraId="449FE574" w14:textId="77777777" w:rsidR="0009651B" w:rsidRDefault="00000000">
      <w:pPr>
        <w:ind w:right="12"/>
      </w:pPr>
      <w:r>
        <w:rPr>
          <w:noProof/>
        </w:rPr>
        <w:drawing>
          <wp:inline distT="0" distB="0" distL="0" distR="0" wp14:anchorId="1F516F63" wp14:editId="122AF58B">
            <wp:extent cx="175340" cy="168612"/>
            <wp:effectExtent l="0" t="0" r="0" b="0"/>
            <wp:docPr id="69409" name="Picture 69409"/>
            <wp:cNvGraphicFramePr/>
            <a:graphic xmlns:a="http://schemas.openxmlformats.org/drawingml/2006/main">
              <a:graphicData uri="http://schemas.openxmlformats.org/drawingml/2006/picture">
                <pic:pic xmlns:pic="http://schemas.openxmlformats.org/drawingml/2006/picture">
                  <pic:nvPicPr>
                    <pic:cNvPr id="69409" name="Picture 69409"/>
                    <pic:cNvPicPr/>
                  </pic:nvPicPr>
                  <pic:blipFill>
                    <a:blip r:embed="rId20"/>
                    <a:stretch>
                      <a:fillRect/>
                    </a:stretch>
                  </pic:blipFill>
                  <pic:spPr>
                    <a:xfrm>
                      <a:off x="0" y="0"/>
                      <a:ext cx="175340" cy="168612"/>
                    </a:xfrm>
                    <a:prstGeom prst="rect">
                      <a:avLst/>
                    </a:prstGeom>
                  </pic:spPr>
                </pic:pic>
              </a:graphicData>
            </a:graphic>
          </wp:inline>
        </w:drawing>
      </w:r>
      <w:r>
        <w:t>、加大对无证机构的打击力度</w:t>
      </w:r>
    </w:p>
    <w:p w14:paraId="45327E4A" w14:textId="77777777" w:rsidR="0009651B" w:rsidRDefault="00000000">
      <w:pPr>
        <w:numPr>
          <w:ilvl w:val="0"/>
          <w:numId w:val="8"/>
        </w:numPr>
        <w:ind w:right="12" w:firstLine="775"/>
      </w:pPr>
      <w:r>
        <w:t>依法处置无证机构。人民银行分支机构应当充分利用支付机构风险专项整治工作机制，加强与地方政府以及工商部门、公安机关的配合，及时出具相关非法从事资金支付结算的行政认定意见，加大对无证机构的打击力度，尽快依法处置一批无证经营机构。人民银行上海总部，各分行、营业管理部、省会（首府）城市中心支行应当按月填制《无证经营支付业务专项整治工作进度表》（见附件2），将辖区工作进展情况上报总行。</w:t>
      </w:r>
    </w:p>
    <w:p w14:paraId="3D23ACFB" w14:textId="77777777" w:rsidR="0009651B" w:rsidRDefault="00000000">
      <w:pPr>
        <w:ind w:right="12"/>
      </w:pPr>
      <w:r>
        <w:t>七、建立责任追究机制</w:t>
      </w:r>
    </w:p>
    <w:p w14:paraId="1CAFF9B2" w14:textId="77777777" w:rsidR="0009651B" w:rsidRDefault="00000000">
      <w:pPr>
        <w:ind w:left="6" w:right="12" w:firstLine="770"/>
      </w:pPr>
      <w:r>
        <w:t>（二十）严格处罚，实行责任追究。人民银行分支机构、银行和支付机构应当履职尽责，确保打击治理电信网络新型违法犯罪工作取得实效。</w:t>
      </w:r>
    </w:p>
    <w:p w14:paraId="260AD358" w14:textId="77777777" w:rsidR="0009651B" w:rsidRDefault="00000000">
      <w:pPr>
        <w:spacing w:after="30"/>
        <w:ind w:left="6" w:right="12" w:firstLine="632"/>
      </w:pPr>
      <w:r>
        <w:t>凡是发生电信网络新型违法犯罪案件的，应当倒查银行、支付机构的责任落实情况。银行和支付机构违反相关制度以及本通知规定的，应当按照有关规定进行处罚；情节严重的，人民银行依据《中华人民共和国中国人民银行法》第四十六条的规定予以处罚，并可采取暂停1个月至6个月新开立账户和办理支付业务的监管措施。</w:t>
      </w:r>
    </w:p>
    <w:p w14:paraId="085A9ADC" w14:textId="77777777" w:rsidR="0009651B" w:rsidRDefault="00000000">
      <w:pPr>
        <w:spacing w:after="33" w:line="248" w:lineRule="auto"/>
        <w:ind w:left="12" w:right="12" w:firstLine="621"/>
      </w:pPr>
      <w:r>
        <w:rPr>
          <w:sz w:val="28"/>
        </w:rPr>
        <w:lastRenderedPageBreak/>
        <w:t>凡是人民银行分支机构监管责任不落实，导致辖区内银行和支付机构未有效履职尽责，公众在电信网络新型违法犯罪活动中遭受严重资金损失，产生恶劣社会影响的，应当对人民银行分支机构进行问责。</w:t>
      </w:r>
    </w:p>
    <w:p w14:paraId="16F38CC4" w14:textId="77777777" w:rsidR="0009651B" w:rsidRDefault="00000000">
      <w:pPr>
        <w:ind w:left="6" w:right="12" w:firstLine="632"/>
      </w:pPr>
      <w:r>
        <w:t>人民银行分支机构、银行、支付机构、中国支付清算协会、银行卡清算机构应当按照规定向人民银行总行报告本通知执行情况并填报有关统计表（具体报送方式及内容见附件3）。</w:t>
      </w:r>
    </w:p>
    <w:p w14:paraId="186C0071" w14:textId="77777777" w:rsidR="0009651B" w:rsidRDefault="00000000">
      <w:pPr>
        <w:spacing w:after="41" w:line="248" w:lineRule="auto"/>
        <w:ind w:left="12" w:right="12" w:firstLine="632"/>
      </w:pPr>
      <w:r>
        <w:rPr>
          <w:sz w:val="28"/>
        </w:rPr>
        <w:t>请人民银行上海总部，各分行、营业管理部、省会（首府）城市中心支行，深圳市中心支行及时将该通知转发至辖区内各城市商业银行、农村商业银行、农村合作银行、村镇银行、城市信用社、农村信用社和外资银行等。</w:t>
      </w:r>
    </w:p>
    <w:p w14:paraId="02599C3D" w14:textId="77777777" w:rsidR="0009651B" w:rsidRDefault="00000000">
      <w:pPr>
        <w:spacing w:after="538"/>
        <w:ind w:left="637" w:right="12"/>
      </w:pPr>
      <w:r>
        <w:t>各单位在执行中如遇问题，请及时向人民银行报告。</w:t>
      </w:r>
    </w:p>
    <w:p w14:paraId="42CB7194" w14:textId="77777777" w:rsidR="0009651B" w:rsidRDefault="00000000">
      <w:pPr>
        <w:ind w:left="658" w:right="12"/>
      </w:pPr>
      <w:r>
        <w:t>附件：1 .涉电信诈骗犯罪可疑特征报送指引</w:t>
      </w:r>
    </w:p>
    <w:p w14:paraId="11D1150F" w14:textId="77777777" w:rsidR="0009651B" w:rsidRDefault="00000000">
      <w:pPr>
        <w:numPr>
          <w:ilvl w:val="0"/>
          <w:numId w:val="9"/>
        </w:numPr>
        <w:spacing w:after="0" w:line="259" w:lineRule="auto"/>
        <w:ind w:right="6" w:hanging="154"/>
      </w:pPr>
      <w:r>
        <w:t>·无证经营支付业务专项整治工作进度表</w:t>
      </w:r>
    </w:p>
    <w:p w14:paraId="1D21A636" w14:textId="77777777" w:rsidR="0009651B" w:rsidRDefault="00000000">
      <w:pPr>
        <w:numPr>
          <w:ilvl w:val="0"/>
          <w:numId w:val="9"/>
        </w:numPr>
        <w:ind w:right="6" w:hanging="154"/>
      </w:pPr>
      <w:r>
        <w:t>·报告模板</w:t>
      </w:r>
    </w:p>
    <w:p w14:paraId="2EF21D37" w14:textId="77777777" w:rsidR="0009651B" w:rsidRDefault="00000000">
      <w:pPr>
        <w:spacing w:after="0" w:line="259" w:lineRule="auto"/>
        <w:ind w:left="4832" w:firstLine="0"/>
        <w:jc w:val="left"/>
      </w:pPr>
      <w:r>
        <w:rPr>
          <w:noProof/>
        </w:rPr>
        <w:drawing>
          <wp:inline distT="0" distB="0" distL="0" distR="0" wp14:anchorId="151AA167" wp14:editId="39AE9FF8">
            <wp:extent cx="1773636" cy="1837875"/>
            <wp:effectExtent l="0" t="0" r="0" b="0"/>
            <wp:docPr id="69411" name="Picture 69411"/>
            <wp:cNvGraphicFramePr/>
            <a:graphic xmlns:a="http://schemas.openxmlformats.org/drawingml/2006/main">
              <a:graphicData uri="http://schemas.openxmlformats.org/drawingml/2006/picture">
                <pic:pic xmlns:pic="http://schemas.openxmlformats.org/drawingml/2006/picture">
                  <pic:nvPicPr>
                    <pic:cNvPr id="69411" name="Picture 69411"/>
                    <pic:cNvPicPr/>
                  </pic:nvPicPr>
                  <pic:blipFill>
                    <a:blip r:embed="rId21"/>
                    <a:stretch>
                      <a:fillRect/>
                    </a:stretch>
                  </pic:blipFill>
                  <pic:spPr>
                    <a:xfrm>
                      <a:off x="0" y="0"/>
                      <a:ext cx="1773636" cy="1837875"/>
                    </a:xfrm>
                    <a:prstGeom prst="rect">
                      <a:avLst/>
                    </a:prstGeom>
                  </pic:spPr>
                </pic:pic>
              </a:graphicData>
            </a:graphic>
          </wp:inline>
        </w:drawing>
      </w:r>
    </w:p>
    <w:p w14:paraId="19579848" w14:textId="77777777" w:rsidR="0009651B" w:rsidRDefault="00000000">
      <w:pPr>
        <w:spacing w:after="781"/>
        <w:ind w:left="6" w:right="12"/>
      </w:pPr>
      <w:r>
        <w:t>附件1</w:t>
      </w:r>
    </w:p>
    <w:p w14:paraId="5079B8B4" w14:textId="77777777" w:rsidR="0009651B" w:rsidRDefault="00000000">
      <w:pPr>
        <w:pStyle w:val="1"/>
        <w:spacing w:after="213"/>
        <w:ind w:right="64"/>
      </w:pPr>
      <w:r>
        <w:lastRenderedPageBreak/>
        <w:t>涉电信诈骗犯罪可疑特征报送指引</w:t>
      </w:r>
    </w:p>
    <w:p w14:paraId="68AFB438" w14:textId="77777777" w:rsidR="0009651B" w:rsidRDefault="00000000">
      <w:pPr>
        <w:spacing w:after="11" w:line="248" w:lineRule="auto"/>
        <w:ind w:left="12" w:right="12" w:firstLine="653"/>
      </w:pPr>
      <w:r>
        <w:rPr>
          <w:sz w:val="28"/>
        </w:rPr>
        <w:t>涉电信诈骗资金的交易环节复杂、交易层级较多，从开立账户接收诈骗资金，到转移赃款直至最终清洗完毕（多为取现），其间涉及众多账户。在每个交易环节，所涉账户均存在诸多不同的可疑特征。要有效发现相关涉案账户，不能简单依靠某一个可疑特征</w:t>
      </w:r>
      <w:proofErr w:type="gramStart"/>
      <w:r>
        <w:rPr>
          <w:sz w:val="28"/>
        </w:rPr>
        <w:t>作出</w:t>
      </w:r>
      <w:proofErr w:type="gramEnd"/>
      <w:r>
        <w:rPr>
          <w:sz w:val="28"/>
        </w:rPr>
        <w:t>判断，必须在客户尽职调查的基础上，结合多种可疑特征，进行综合判断。</w:t>
      </w:r>
    </w:p>
    <w:p w14:paraId="37A1B896" w14:textId="77777777" w:rsidR="0009651B" w:rsidRDefault="00000000">
      <w:pPr>
        <w:ind w:right="12"/>
      </w:pPr>
      <w:r>
        <w:rPr>
          <w:noProof/>
        </w:rPr>
        <w:drawing>
          <wp:inline distT="0" distB="0" distL="0" distR="0" wp14:anchorId="7B3BC5BB" wp14:editId="3F1D9291">
            <wp:extent cx="175340" cy="20234"/>
            <wp:effectExtent l="0" t="0" r="0" b="0"/>
            <wp:docPr id="37710" name="Picture 37710"/>
            <wp:cNvGraphicFramePr/>
            <a:graphic xmlns:a="http://schemas.openxmlformats.org/drawingml/2006/main">
              <a:graphicData uri="http://schemas.openxmlformats.org/drawingml/2006/picture">
                <pic:pic xmlns:pic="http://schemas.openxmlformats.org/drawingml/2006/picture">
                  <pic:nvPicPr>
                    <pic:cNvPr id="37710" name="Picture 37710"/>
                    <pic:cNvPicPr/>
                  </pic:nvPicPr>
                  <pic:blipFill>
                    <a:blip r:embed="rId8"/>
                    <a:stretch>
                      <a:fillRect/>
                    </a:stretch>
                  </pic:blipFill>
                  <pic:spPr>
                    <a:xfrm>
                      <a:off x="0" y="0"/>
                      <a:ext cx="175340" cy="20234"/>
                    </a:xfrm>
                    <a:prstGeom prst="rect">
                      <a:avLst/>
                    </a:prstGeom>
                  </pic:spPr>
                </pic:pic>
              </a:graphicData>
            </a:graphic>
          </wp:inline>
        </w:drawing>
      </w:r>
      <w:r>
        <w:t xml:space="preserve"> 、开户环节</w:t>
      </w:r>
    </w:p>
    <w:p w14:paraId="52333014" w14:textId="77777777" w:rsidR="0009651B" w:rsidRDefault="00000000">
      <w:pPr>
        <w:numPr>
          <w:ilvl w:val="0"/>
          <w:numId w:val="10"/>
        </w:numPr>
        <w:ind w:right="12" w:firstLine="765"/>
      </w:pPr>
      <w:r>
        <w:t>开户人无合理理由执意开立多个个人账户；</w:t>
      </w:r>
    </w:p>
    <w:p w14:paraId="10C84416" w14:textId="77777777" w:rsidR="0009651B" w:rsidRDefault="00000000">
      <w:pPr>
        <w:numPr>
          <w:ilvl w:val="0"/>
          <w:numId w:val="10"/>
        </w:numPr>
        <w:spacing w:after="11" w:line="248" w:lineRule="auto"/>
        <w:ind w:right="12" w:firstLine="765"/>
      </w:pPr>
      <w:r>
        <w:rPr>
          <w:sz w:val="28"/>
        </w:rPr>
        <w:t>开户人持非居民身份证（如军官证、士兵证、护照、港澳台地区证件等）、伪造的证件开立账户；</w:t>
      </w:r>
    </w:p>
    <w:p w14:paraId="6DE8CB25" w14:textId="77777777" w:rsidR="0009651B" w:rsidRDefault="00000000">
      <w:pPr>
        <w:numPr>
          <w:ilvl w:val="0"/>
          <w:numId w:val="10"/>
        </w:numPr>
        <w:spacing w:after="565"/>
        <w:ind w:right="12" w:firstLine="765"/>
      </w:pPr>
      <w:r>
        <w:t>开户代理人持他人证件开立账户，尤其是代理相对特殊人群开立账户，如持他人异地身份证件、偏远地区身份证件代理开立账户，或者代理未成年人、老年人、学生、无职业者等开</w:t>
      </w:r>
    </w:p>
    <w:p w14:paraId="16C62B67" w14:textId="77777777" w:rsidR="0009651B" w:rsidRDefault="00000000">
      <w:pPr>
        <w:numPr>
          <w:ilvl w:val="0"/>
          <w:numId w:val="10"/>
        </w:numPr>
        <w:ind w:right="12" w:firstLine="765"/>
      </w:pPr>
      <w:r>
        <w:t>陪同他人集中开立账户，尤其是陪同相对特殊人群集中开立账户，如陪同他人持异地身份证件、偏远地区身份证件集中开立账户，或者陪同未成年人、老年人、学生、无职业者等开（五）不填写个人信息或开户资料信息虚假，如联系地址为公共场所、电话号码已停机或为空号；</w:t>
      </w:r>
    </w:p>
    <w:p w14:paraId="4B7BC3B1" w14:textId="77777777" w:rsidR="0009651B" w:rsidRDefault="00000000">
      <w:pPr>
        <w:numPr>
          <w:ilvl w:val="0"/>
          <w:numId w:val="11"/>
        </w:numPr>
        <w:spacing w:after="11" w:line="248" w:lineRule="auto"/>
        <w:ind w:right="12" w:firstLine="762"/>
      </w:pPr>
      <w:r>
        <w:rPr>
          <w:sz w:val="28"/>
        </w:rPr>
        <w:t>不同主体账户开户资料存在较密切关联，如不同主体的开户时间、地点、联系地址相同或相近且交易对手相同，不同主体留存的开户电话相同；</w:t>
      </w:r>
    </w:p>
    <w:p w14:paraId="660F3CC2" w14:textId="77777777" w:rsidR="0009651B" w:rsidRDefault="00000000">
      <w:pPr>
        <w:numPr>
          <w:ilvl w:val="0"/>
          <w:numId w:val="11"/>
        </w:numPr>
        <w:spacing w:after="11" w:line="248" w:lineRule="auto"/>
        <w:ind w:right="12" w:firstLine="762"/>
      </w:pPr>
      <w:r>
        <w:rPr>
          <w:sz w:val="28"/>
        </w:rPr>
        <w:lastRenderedPageBreak/>
        <w:t>开户资金较小，且开户后随即将资金取走；</w:t>
      </w:r>
    </w:p>
    <w:p w14:paraId="719AC80C" w14:textId="77777777" w:rsidR="0009651B" w:rsidRDefault="00000000">
      <w:pPr>
        <w:numPr>
          <w:ilvl w:val="0"/>
          <w:numId w:val="11"/>
        </w:numPr>
        <w:spacing w:after="11" w:line="248" w:lineRule="auto"/>
        <w:ind w:right="12" w:firstLine="762"/>
      </w:pPr>
      <w:r>
        <w:rPr>
          <w:sz w:val="28"/>
        </w:rPr>
        <w:t>开户时或办理业务过程中回避客户身份调查或掩饰面貌；</w:t>
      </w:r>
    </w:p>
    <w:p w14:paraId="59F971F0" w14:textId="77777777" w:rsidR="0009651B" w:rsidRDefault="00000000">
      <w:pPr>
        <w:numPr>
          <w:ilvl w:val="0"/>
          <w:numId w:val="11"/>
        </w:numPr>
        <w:spacing w:after="11" w:line="248" w:lineRule="auto"/>
        <w:ind w:right="12" w:firstLine="762"/>
      </w:pPr>
      <w:r>
        <w:rPr>
          <w:sz w:val="28"/>
        </w:rPr>
        <w:t>开户人频繁开户、销户。</w:t>
      </w:r>
    </w:p>
    <w:p w14:paraId="5194EE83" w14:textId="77777777" w:rsidR="0009651B" w:rsidRDefault="00000000">
      <w:pPr>
        <w:ind w:right="12"/>
      </w:pPr>
      <w:r>
        <w:rPr>
          <w:noProof/>
        </w:rPr>
        <w:drawing>
          <wp:inline distT="0" distB="0" distL="0" distR="0" wp14:anchorId="6C8C936C" wp14:editId="680092C3">
            <wp:extent cx="175340" cy="128145"/>
            <wp:effectExtent l="0" t="0" r="0" b="0"/>
            <wp:docPr id="69414" name="Picture 69414"/>
            <wp:cNvGraphicFramePr/>
            <a:graphic xmlns:a="http://schemas.openxmlformats.org/drawingml/2006/main">
              <a:graphicData uri="http://schemas.openxmlformats.org/drawingml/2006/picture">
                <pic:pic xmlns:pic="http://schemas.openxmlformats.org/drawingml/2006/picture">
                  <pic:nvPicPr>
                    <pic:cNvPr id="69414" name="Picture 69414"/>
                    <pic:cNvPicPr/>
                  </pic:nvPicPr>
                  <pic:blipFill>
                    <a:blip r:embed="rId14"/>
                    <a:stretch>
                      <a:fillRect/>
                    </a:stretch>
                  </pic:blipFill>
                  <pic:spPr>
                    <a:xfrm>
                      <a:off x="0" y="0"/>
                      <a:ext cx="175340" cy="128145"/>
                    </a:xfrm>
                    <a:prstGeom prst="rect">
                      <a:avLst/>
                    </a:prstGeom>
                  </pic:spPr>
                </pic:pic>
              </a:graphicData>
            </a:graphic>
          </wp:inline>
        </w:drawing>
      </w:r>
      <w:r>
        <w:t>、转账交易环节</w:t>
      </w:r>
    </w:p>
    <w:p w14:paraId="598EE7C3" w14:textId="77777777" w:rsidR="0009651B" w:rsidRDefault="00000000">
      <w:pPr>
        <w:numPr>
          <w:ilvl w:val="0"/>
          <w:numId w:val="12"/>
        </w:numPr>
        <w:ind w:right="12" w:firstLine="743"/>
      </w:pPr>
      <w:r>
        <w:t>资金集中转入、分散转出，尤其是资金汇往多个地区且汇款人看似无关联；</w:t>
      </w:r>
    </w:p>
    <w:p w14:paraId="5A5E0B51" w14:textId="77777777" w:rsidR="0009651B" w:rsidRDefault="00000000">
      <w:pPr>
        <w:numPr>
          <w:ilvl w:val="0"/>
          <w:numId w:val="12"/>
        </w:numPr>
        <w:ind w:right="12" w:firstLine="743"/>
      </w:pPr>
      <w:r>
        <w:t>资金分散转入、集中转出，尤其是资金来源于多个地区，汇款人看似无关联且多为单次交易；</w:t>
      </w:r>
    </w:p>
    <w:p w14:paraId="64E4F658" w14:textId="77777777" w:rsidR="0009651B" w:rsidRDefault="00000000">
      <w:pPr>
        <w:numPr>
          <w:ilvl w:val="0"/>
          <w:numId w:val="12"/>
        </w:numPr>
        <w:ind w:right="12" w:firstLine="743"/>
      </w:pPr>
      <w:r>
        <w:t>账户资金快进快出、过渡性质明显，尤其是资金在极短时间内通过多个账户划转；</w:t>
      </w:r>
    </w:p>
    <w:p w14:paraId="3ECB7898" w14:textId="77777777" w:rsidR="0009651B" w:rsidRDefault="00000000">
      <w:pPr>
        <w:numPr>
          <w:ilvl w:val="0"/>
          <w:numId w:val="12"/>
        </w:numPr>
        <w:spacing w:after="11" w:line="248" w:lineRule="auto"/>
        <w:ind w:right="12" w:firstLine="743"/>
      </w:pPr>
      <w:r>
        <w:rPr>
          <w:sz w:val="28"/>
        </w:rPr>
        <w:t>账户无余额或余额相对于交易额比例较低；（五）账户交易笔数短期内明显增多；</w:t>
      </w:r>
    </w:p>
    <w:p w14:paraId="1EDE24E8" w14:textId="77777777" w:rsidR="0009651B" w:rsidRDefault="00000000">
      <w:pPr>
        <w:numPr>
          <w:ilvl w:val="0"/>
          <w:numId w:val="13"/>
        </w:numPr>
        <w:spacing w:after="11" w:line="248" w:lineRule="auto"/>
        <w:ind w:right="12" w:firstLine="781"/>
      </w:pPr>
      <w:r>
        <w:rPr>
          <w:sz w:val="28"/>
        </w:rPr>
        <w:t>存在构造性资金交易，意图规避限额交易；</w:t>
      </w:r>
    </w:p>
    <w:p w14:paraId="4B3A88E9" w14:textId="77777777" w:rsidR="0009651B" w:rsidRDefault="00000000">
      <w:pPr>
        <w:numPr>
          <w:ilvl w:val="0"/>
          <w:numId w:val="13"/>
        </w:numPr>
        <w:spacing w:after="11" w:line="248" w:lineRule="auto"/>
        <w:ind w:right="12" w:firstLine="781"/>
      </w:pPr>
      <w:r>
        <w:rPr>
          <w:sz w:val="28"/>
        </w:rPr>
        <w:t>跨行收款并跨行转账；</w:t>
      </w:r>
    </w:p>
    <w:p w14:paraId="1FA32811" w14:textId="77777777" w:rsidR="0009651B" w:rsidRDefault="00000000">
      <w:pPr>
        <w:numPr>
          <w:ilvl w:val="0"/>
          <w:numId w:val="13"/>
        </w:numPr>
        <w:spacing w:after="2" w:line="259" w:lineRule="auto"/>
        <w:ind w:right="12" w:firstLine="781"/>
      </w:pPr>
      <w:r>
        <w:rPr>
          <w:sz w:val="26"/>
        </w:rPr>
        <w:t>账户在发生小额试探性交易后即出现频繁或大额交</w:t>
      </w:r>
    </w:p>
    <w:p w14:paraId="5144CA59" w14:textId="77777777" w:rsidR="0009651B" w:rsidRDefault="00000000">
      <w:pPr>
        <w:spacing w:after="2" w:line="259" w:lineRule="auto"/>
        <w:ind w:left="22" w:hanging="10"/>
        <w:jc w:val="left"/>
      </w:pPr>
      <w:r>
        <w:rPr>
          <w:sz w:val="26"/>
        </w:rPr>
        <w:t>易；</w:t>
      </w:r>
    </w:p>
    <w:p w14:paraId="57139EAF" w14:textId="77777777" w:rsidR="0009651B" w:rsidRDefault="00000000">
      <w:pPr>
        <w:numPr>
          <w:ilvl w:val="0"/>
          <w:numId w:val="13"/>
        </w:numPr>
        <w:ind w:right="12" w:firstLine="781"/>
      </w:pPr>
      <w:r>
        <w:t>长期未使用的账户突然发生频繁或大额交易；</w:t>
      </w:r>
    </w:p>
    <w:p w14:paraId="26BB7E10" w14:textId="77777777" w:rsidR="0009651B" w:rsidRDefault="00000000">
      <w:pPr>
        <w:numPr>
          <w:ilvl w:val="0"/>
          <w:numId w:val="13"/>
        </w:numPr>
        <w:spacing w:after="11" w:line="248" w:lineRule="auto"/>
        <w:ind w:right="12" w:firstLine="781"/>
      </w:pPr>
      <w:r>
        <w:rPr>
          <w:sz w:val="28"/>
        </w:rPr>
        <w:t>账户短期内发生频繁或大额交易后突然停止使用；</w:t>
      </w:r>
      <w:r>
        <w:rPr>
          <w:noProof/>
        </w:rPr>
        <w:drawing>
          <wp:inline distT="0" distB="0" distL="0" distR="0" wp14:anchorId="790B3ED8" wp14:editId="3F76D5E9">
            <wp:extent cx="283242" cy="192218"/>
            <wp:effectExtent l="0" t="0" r="0" b="0"/>
            <wp:docPr id="69420" name="Picture 69420"/>
            <wp:cNvGraphicFramePr/>
            <a:graphic xmlns:a="http://schemas.openxmlformats.org/drawingml/2006/main">
              <a:graphicData uri="http://schemas.openxmlformats.org/drawingml/2006/picture">
                <pic:pic xmlns:pic="http://schemas.openxmlformats.org/drawingml/2006/picture">
                  <pic:nvPicPr>
                    <pic:cNvPr id="69420" name="Picture 69420"/>
                    <pic:cNvPicPr/>
                  </pic:nvPicPr>
                  <pic:blipFill>
                    <a:blip r:embed="rId22"/>
                    <a:stretch>
                      <a:fillRect/>
                    </a:stretch>
                  </pic:blipFill>
                  <pic:spPr>
                    <a:xfrm>
                      <a:off x="0" y="0"/>
                      <a:ext cx="283242" cy="192218"/>
                    </a:xfrm>
                    <a:prstGeom prst="rect">
                      <a:avLst/>
                    </a:prstGeom>
                  </pic:spPr>
                </pic:pic>
              </a:graphicData>
            </a:graphic>
          </wp:inline>
        </w:drawing>
      </w:r>
      <w:r>
        <w:rPr>
          <w:sz w:val="28"/>
        </w:rPr>
        <w:t>一）机构账户资金交易与其经营范围、规模明显不符；</w:t>
      </w:r>
      <w:r>
        <w:rPr>
          <w:noProof/>
        </w:rPr>
        <w:drawing>
          <wp:inline distT="0" distB="0" distL="0" distR="0" wp14:anchorId="4CF925C8" wp14:editId="0D2B5734">
            <wp:extent cx="283242" cy="192218"/>
            <wp:effectExtent l="0" t="0" r="0" b="0"/>
            <wp:docPr id="69422" name="Picture 69422"/>
            <wp:cNvGraphicFramePr/>
            <a:graphic xmlns:a="http://schemas.openxmlformats.org/drawingml/2006/main">
              <a:graphicData uri="http://schemas.openxmlformats.org/drawingml/2006/picture">
                <pic:pic xmlns:pic="http://schemas.openxmlformats.org/drawingml/2006/picture">
                  <pic:nvPicPr>
                    <pic:cNvPr id="69422" name="Picture 69422"/>
                    <pic:cNvPicPr/>
                  </pic:nvPicPr>
                  <pic:blipFill>
                    <a:blip r:embed="rId22"/>
                    <a:stretch>
                      <a:fillRect/>
                    </a:stretch>
                  </pic:blipFill>
                  <pic:spPr>
                    <a:xfrm>
                      <a:off x="0" y="0"/>
                      <a:ext cx="283242" cy="192218"/>
                    </a:xfrm>
                    <a:prstGeom prst="rect">
                      <a:avLst/>
                    </a:prstGeom>
                  </pic:spPr>
                </pic:pic>
              </a:graphicData>
            </a:graphic>
          </wp:inline>
        </w:drawing>
      </w:r>
      <w:r>
        <w:rPr>
          <w:sz w:val="28"/>
        </w:rPr>
        <w:t>二）同一主体在极短时间内在境内不同地区或在境内、境外发生资金业务；</w:t>
      </w:r>
    </w:p>
    <w:p w14:paraId="01DFE12A" w14:textId="77777777" w:rsidR="0009651B" w:rsidRDefault="00000000">
      <w:pPr>
        <w:spacing w:after="3" w:line="259" w:lineRule="auto"/>
        <w:ind w:left="10" w:right="12" w:hanging="10"/>
        <w:jc w:val="right"/>
      </w:pPr>
      <w:r>
        <w:rPr>
          <w:noProof/>
        </w:rPr>
        <w:lastRenderedPageBreak/>
        <w:drawing>
          <wp:inline distT="0" distB="0" distL="0" distR="0" wp14:anchorId="52BD2ECC" wp14:editId="3EB917D5">
            <wp:extent cx="283242" cy="192218"/>
            <wp:effectExtent l="0" t="0" r="0" b="0"/>
            <wp:docPr id="69424" name="Picture 69424"/>
            <wp:cNvGraphicFramePr/>
            <a:graphic xmlns:a="http://schemas.openxmlformats.org/drawingml/2006/main">
              <a:graphicData uri="http://schemas.openxmlformats.org/drawingml/2006/picture">
                <pic:pic xmlns:pic="http://schemas.openxmlformats.org/drawingml/2006/picture">
                  <pic:nvPicPr>
                    <pic:cNvPr id="69424" name="Picture 69424"/>
                    <pic:cNvPicPr/>
                  </pic:nvPicPr>
                  <pic:blipFill>
                    <a:blip r:embed="rId22"/>
                    <a:stretch>
                      <a:fillRect/>
                    </a:stretch>
                  </pic:blipFill>
                  <pic:spPr>
                    <a:xfrm>
                      <a:off x="0" y="0"/>
                      <a:ext cx="283242" cy="192218"/>
                    </a:xfrm>
                    <a:prstGeom prst="rect">
                      <a:avLst/>
                    </a:prstGeom>
                  </pic:spPr>
                </pic:pic>
              </a:graphicData>
            </a:graphic>
          </wp:inline>
        </w:drawing>
      </w:r>
      <w:r>
        <w:rPr>
          <w:sz w:val="28"/>
        </w:rPr>
        <w:t>三）不同主体账户使用同一或MAC地址，尤其是1 p</w:t>
      </w:r>
    </w:p>
    <w:p w14:paraId="04CDC853" w14:textId="77777777" w:rsidR="0009651B" w:rsidRDefault="00000000">
      <w:pPr>
        <w:ind w:left="6" w:right="12"/>
      </w:pPr>
      <w:r>
        <w:t>地址涉及境外地区；</w:t>
      </w:r>
    </w:p>
    <w:p w14:paraId="658AD73E" w14:textId="77777777" w:rsidR="0009651B" w:rsidRDefault="00000000">
      <w:pPr>
        <w:spacing w:after="0" w:line="259" w:lineRule="auto"/>
        <w:ind w:left="0" w:right="90" w:firstLine="0"/>
        <w:jc w:val="right"/>
      </w:pPr>
      <w:r>
        <w:rPr>
          <w:sz w:val="26"/>
        </w:rPr>
        <w:t>（十四）账户交易多为网银、自助柜员机等非柜面交易方式。</w:t>
      </w:r>
    </w:p>
    <w:p w14:paraId="1A70541C" w14:textId="77777777" w:rsidR="0009651B" w:rsidRDefault="00000000">
      <w:pPr>
        <w:ind w:right="12"/>
      </w:pPr>
      <w:r>
        <w:rPr>
          <w:noProof/>
        </w:rPr>
        <w:drawing>
          <wp:inline distT="0" distB="0" distL="0" distR="0" wp14:anchorId="5DD42A68" wp14:editId="2F6BC46E">
            <wp:extent cx="175340" cy="148379"/>
            <wp:effectExtent l="0" t="0" r="0" b="0"/>
            <wp:docPr id="69426" name="Picture 69426"/>
            <wp:cNvGraphicFramePr/>
            <a:graphic xmlns:a="http://schemas.openxmlformats.org/drawingml/2006/main">
              <a:graphicData uri="http://schemas.openxmlformats.org/drawingml/2006/picture">
                <pic:pic xmlns:pic="http://schemas.openxmlformats.org/drawingml/2006/picture">
                  <pic:nvPicPr>
                    <pic:cNvPr id="69426" name="Picture 69426"/>
                    <pic:cNvPicPr/>
                  </pic:nvPicPr>
                  <pic:blipFill>
                    <a:blip r:embed="rId15"/>
                    <a:stretch>
                      <a:fillRect/>
                    </a:stretch>
                  </pic:blipFill>
                  <pic:spPr>
                    <a:xfrm>
                      <a:off x="0" y="0"/>
                      <a:ext cx="175340" cy="148379"/>
                    </a:xfrm>
                    <a:prstGeom prst="rect">
                      <a:avLst/>
                    </a:prstGeom>
                  </pic:spPr>
                </pic:pic>
              </a:graphicData>
            </a:graphic>
          </wp:inline>
        </w:drawing>
      </w:r>
      <w:r>
        <w:t>、取现交易环节</w:t>
      </w:r>
    </w:p>
    <w:p w14:paraId="6257849F" w14:textId="77777777" w:rsidR="0009651B" w:rsidRDefault="00000000">
      <w:pPr>
        <w:numPr>
          <w:ilvl w:val="0"/>
          <w:numId w:val="14"/>
        </w:numPr>
        <w:spacing w:after="522" w:line="260" w:lineRule="auto"/>
        <w:ind w:right="4" w:firstLine="743"/>
      </w:pPr>
      <w:r>
        <w:t>银行卡在境外自助设备上按照取现标准限额频繁支取</w:t>
      </w:r>
    </w:p>
    <w:p w14:paraId="5287A86B" w14:textId="77777777" w:rsidR="0009651B" w:rsidRDefault="00000000">
      <w:pPr>
        <w:numPr>
          <w:ilvl w:val="0"/>
          <w:numId w:val="14"/>
        </w:numPr>
        <w:ind w:right="4" w:firstLine="743"/>
      </w:pPr>
      <w:r>
        <w:t>境内同一自助设备在极短时间内集中发生多张银行卡（尤其是异地卡或他行卡）连续按照取现标准限额频繁支取现金的交易。</w:t>
      </w:r>
    </w:p>
    <w:p w14:paraId="3954F6D9" w14:textId="77777777" w:rsidR="0009651B" w:rsidRDefault="00000000">
      <w:pPr>
        <w:ind w:left="658" w:right="12"/>
      </w:pPr>
      <w:r>
        <w:t>四、其他</w:t>
      </w:r>
    </w:p>
    <w:p w14:paraId="0B8EC4D7" w14:textId="77777777" w:rsidR="0009651B" w:rsidRDefault="00000000">
      <w:pPr>
        <w:ind w:left="6" w:right="12" w:firstLine="600"/>
      </w:pPr>
      <w:r>
        <w:t>人民银行通过印发《洗钱风险提示》、《可疑交易类型和识别点对照表》等提示的可疑交易特征。</w:t>
      </w:r>
    </w:p>
    <w:sectPr w:rsidR="0009651B">
      <w:footerReference w:type="even" r:id="rId23"/>
      <w:footerReference w:type="default" r:id="rId24"/>
      <w:footerReference w:type="first" r:id="rId25"/>
      <w:pgSz w:w="11900" w:h="16840"/>
      <w:pgMar w:top="2236" w:right="1529" w:bottom="2153" w:left="154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0870" w14:textId="77777777" w:rsidR="00F64ADD" w:rsidRDefault="00F64ADD">
      <w:pPr>
        <w:spacing w:after="0" w:line="240" w:lineRule="auto"/>
      </w:pPr>
      <w:r>
        <w:separator/>
      </w:r>
    </w:p>
  </w:endnote>
  <w:endnote w:type="continuationSeparator" w:id="0">
    <w:p w14:paraId="1C56058A" w14:textId="77777777" w:rsidR="00F64ADD" w:rsidRDefault="00F64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5638" w14:textId="77777777" w:rsidR="0009651B" w:rsidRDefault="00000000">
    <w:pPr>
      <w:spacing w:after="0" w:line="259" w:lineRule="auto"/>
      <w:ind w:left="276" w:right="7567" w:firstLine="0"/>
      <w:jc w:val="left"/>
    </w:pPr>
    <w:r>
      <w:rPr>
        <w:noProof/>
      </w:rPr>
      <w:drawing>
        <wp:anchor distT="0" distB="0" distL="114300" distR="114300" simplePos="0" relativeHeight="251658240" behindDoc="0" locked="0" layoutInCell="1" allowOverlap="0" wp14:anchorId="75B7CE4A" wp14:editId="2771DB67">
          <wp:simplePos x="0" y="0"/>
          <wp:positionH relativeFrom="page">
            <wp:posOffset>1156573</wp:posOffset>
          </wp:positionH>
          <wp:positionV relativeFrom="page">
            <wp:posOffset>9664864</wp:posOffset>
          </wp:positionV>
          <wp:extent cx="178712" cy="6745"/>
          <wp:effectExtent l="0" t="0" r="0" b="0"/>
          <wp:wrapSquare wrapText="bothSides"/>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1"/>
                  <a:stretch>
                    <a:fillRect/>
                  </a:stretch>
                </pic:blipFill>
                <pic:spPr>
                  <a:xfrm>
                    <a:off x="0" y="0"/>
                    <a:ext cx="178712" cy="6745"/>
                  </a:xfrm>
                  <a:prstGeom prst="rect">
                    <a:avLst/>
                  </a:prstGeom>
                </pic:spPr>
              </pic:pic>
            </a:graphicData>
          </a:graphic>
        </wp:anchor>
      </w:drawing>
    </w:r>
    <w:r>
      <w:rPr>
        <w:noProof/>
      </w:rPr>
      <w:drawing>
        <wp:anchor distT="0" distB="0" distL="114300" distR="114300" simplePos="0" relativeHeight="251659264" behindDoc="0" locked="0" layoutInCell="1" allowOverlap="0" wp14:anchorId="55FAD542" wp14:editId="12D432D3">
          <wp:simplePos x="0" y="0"/>
          <wp:positionH relativeFrom="page">
            <wp:posOffset>1598296</wp:posOffset>
          </wp:positionH>
          <wp:positionV relativeFrom="page">
            <wp:posOffset>9664864</wp:posOffset>
          </wp:positionV>
          <wp:extent cx="178712" cy="6745"/>
          <wp:effectExtent l="0" t="0" r="0" b="0"/>
          <wp:wrapSquare wrapText="bothSides"/>
          <wp:docPr id="4207" name="Picture 4207"/>
          <wp:cNvGraphicFramePr/>
          <a:graphic xmlns:a="http://schemas.openxmlformats.org/drawingml/2006/main">
            <a:graphicData uri="http://schemas.openxmlformats.org/drawingml/2006/picture">
              <pic:pic xmlns:pic="http://schemas.openxmlformats.org/drawingml/2006/picture">
                <pic:nvPicPr>
                  <pic:cNvPr id="4207" name="Picture 4207"/>
                  <pic:cNvPicPr/>
                </pic:nvPicPr>
                <pic:blipFill>
                  <a:blip r:embed="rId1"/>
                  <a:stretch>
                    <a:fillRect/>
                  </a:stretch>
                </pic:blipFill>
                <pic:spPr>
                  <a:xfrm>
                    <a:off x="0" y="0"/>
                    <a:ext cx="178712" cy="6745"/>
                  </a:xfrm>
                  <a:prstGeom prst="rect">
                    <a:avLst/>
                  </a:prstGeom>
                </pic:spPr>
              </pic:pic>
            </a:graphicData>
          </a:graphic>
        </wp:anchor>
      </w:drawing>
    </w:r>
    <w:r>
      <w:rPr>
        <w:sz w:val="24"/>
      </w:rPr>
      <w:t xml:space="preserve"> </w:t>
    </w: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A544" w14:textId="77777777" w:rsidR="0009651B" w:rsidRDefault="00000000">
    <w:pPr>
      <w:spacing w:after="0" w:line="259" w:lineRule="auto"/>
      <w:ind w:left="0" w:right="361" w:firstLine="0"/>
      <w:jc w:val="right"/>
    </w:pPr>
    <w:r>
      <w:rPr>
        <w:noProof/>
      </w:rPr>
      <w:drawing>
        <wp:anchor distT="0" distB="0" distL="114300" distR="114300" simplePos="0" relativeHeight="251660288" behindDoc="0" locked="0" layoutInCell="1" allowOverlap="0" wp14:anchorId="71AE8711" wp14:editId="4F807CC7">
          <wp:simplePos x="0" y="0"/>
          <wp:positionH relativeFrom="page">
            <wp:posOffset>5728913</wp:posOffset>
          </wp:positionH>
          <wp:positionV relativeFrom="page">
            <wp:posOffset>9664864</wp:posOffset>
          </wp:positionV>
          <wp:extent cx="178712" cy="6745"/>
          <wp:effectExtent l="0" t="0" r="0" b="0"/>
          <wp:wrapSquare wrapText="bothSides"/>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1"/>
                  <a:stretch>
                    <a:fillRect/>
                  </a:stretch>
                </pic:blipFill>
                <pic:spPr>
                  <a:xfrm>
                    <a:off x="0" y="0"/>
                    <a:ext cx="178712" cy="6745"/>
                  </a:xfrm>
                  <a:prstGeom prst="rect">
                    <a:avLst/>
                  </a:prstGeom>
                </pic:spPr>
              </pic:pic>
            </a:graphicData>
          </a:graphic>
        </wp:anchor>
      </w:drawing>
    </w:r>
    <w:r>
      <w:rPr>
        <w:noProof/>
      </w:rPr>
      <w:drawing>
        <wp:anchor distT="0" distB="0" distL="114300" distR="114300" simplePos="0" relativeHeight="251661312" behindDoc="0" locked="0" layoutInCell="1" allowOverlap="0" wp14:anchorId="0F3FC3D3" wp14:editId="1C482DDA">
          <wp:simplePos x="0" y="0"/>
          <wp:positionH relativeFrom="page">
            <wp:posOffset>6174008</wp:posOffset>
          </wp:positionH>
          <wp:positionV relativeFrom="page">
            <wp:posOffset>9664864</wp:posOffset>
          </wp:positionV>
          <wp:extent cx="178713" cy="6745"/>
          <wp:effectExtent l="0" t="0" r="0" b="0"/>
          <wp:wrapSquare wrapText="bothSides"/>
          <wp:docPr id="1204" name="Picture 1204"/>
          <wp:cNvGraphicFramePr/>
          <a:graphic xmlns:a="http://schemas.openxmlformats.org/drawingml/2006/main">
            <a:graphicData uri="http://schemas.openxmlformats.org/drawingml/2006/picture">
              <pic:pic xmlns:pic="http://schemas.openxmlformats.org/drawingml/2006/picture">
                <pic:nvPicPr>
                  <pic:cNvPr id="1204" name="Picture 1204"/>
                  <pic:cNvPicPr/>
                </pic:nvPicPr>
                <pic:blipFill>
                  <a:blip r:embed="rId1"/>
                  <a:stretch>
                    <a:fillRect/>
                  </a:stretch>
                </pic:blipFill>
                <pic:spPr>
                  <a:xfrm>
                    <a:off x="0" y="0"/>
                    <a:ext cx="178713" cy="6745"/>
                  </a:xfrm>
                  <a:prstGeom prst="rect">
                    <a:avLst/>
                  </a:prstGeom>
                </pic:spPr>
              </pic:pic>
            </a:graphicData>
          </a:graphic>
        </wp:anchor>
      </w:drawing>
    </w:r>
    <w:r>
      <w:rPr>
        <w:sz w:val="34"/>
      </w:rPr>
      <w:t xml:space="preserve"> </w:t>
    </w:r>
    <w:r>
      <w:fldChar w:fldCharType="begin"/>
    </w:r>
    <w:r>
      <w:instrText xml:space="preserve"> PAGE   \* MERGEFORMAT </w:instrText>
    </w:r>
    <w:r>
      <w:fldChar w:fldCharType="separate"/>
    </w:r>
    <w:r>
      <w:rPr>
        <w:sz w:val="34"/>
      </w:rPr>
      <w:t>1</w:t>
    </w:r>
    <w:r>
      <w:rPr>
        <w:sz w:val="34"/>
      </w:rPr>
      <w:fldChar w:fldCharType="end"/>
    </w:r>
    <w:r>
      <w:rPr>
        <w:sz w:val="3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C1B2" w14:textId="77777777" w:rsidR="0009651B" w:rsidRDefault="00000000">
    <w:pPr>
      <w:spacing w:after="0" w:line="259" w:lineRule="auto"/>
      <w:ind w:left="0" w:right="361" w:firstLine="0"/>
      <w:jc w:val="right"/>
    </w:pPr>
    <w:r>
      <w:rPr>
        <w:noProof/>
      </w:rPr>
      <w:drawing>
        <wp:anchor distT="0" distB="0" distL="114300" distR="114300" simplePos="0" relativeHeight="251662336" behindDoc="0" locked="0" layoutInCell="1" allowOverlap="0" wp14:anchorId="1813C084" wp14:editId="48CD43E5">
          <wp:simplePos x="0" y="0"/>
          <wp:positionH relativeFrom="page">
            <wp:posOffset>5728913</wp:posOffset>
          </wp:positionH>
          <wp:positionV relativeFrom="page">
            <wp:posOffset>9664864</wp:posOffset>
          </wp:positionV>
          <wp:extent cx="178712" cy="6745"/>
          <wp:effectExtent l="0" t="0" r="0" b="0"/>
          <wp:wrapSquare wrapText="bothSides"/>
          <wp:docPr id="30825242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1"/>
                  <a:stretch>
                    <a:fillRect/>
                  </a:stretch>
                </pic:blipFill>
                <pic:spPr>
                  <a:xfrm>
                    <a:off x="0" y="0"/>
                    <a:ext cx="178712" cy="6745"/>
                  </a:xfrm>
                  <a:prstGeom prst="rect">
                    <a:avLst/>
                  </a:prstGeom>
                </pic:spPr>
              </pic:pic>
            </a:graphicData>
          </a:graphic>
        </wp:anchor>
      </w:drawing>
    </w:r>
    <w:r>
      <w:rPr>
        <w:noProof/>
      </w:rPr>
      <w:drawing>
        <wp:anchor distT="0" distB="0" distL="114300" distR="114300" simplePos="0" relativeHeight="251663360" behindDoc="0" locked="0" layoutInCell="1" allowOverlap="0" wp14:anchorId="05B28E06" wp14:editId="2DFF29E3">
          <wp:simplePos x="0" y="0"/>
          <wp:positionH relativeFrom="page">
            <wp:posOffset>6174008</wp:posOffset>
          </wp:positionH>
          <wp:positionV relativeFrom="page">
            <wp:posOffset>9664864</wp:posOffset>
          </wp:positionV>
          <wp:extent cx="178713" cy="6745"/>
          <wp:effectExtent l="0" t="0" r="0" b="0"/>
          <wp:wrapSquare wrapText="bothSides"/>
          <wp:docPr id="202388498" name="Picture 1204"/>
          <wp:cNvGraphicFramePr/>
          <a:graphic xmlns:a="http://schemas.openxmlformats.org/drawingml/2006/main">
            <a:graphicData uri="http://schemas.openxmlformats.org/drawingml/2006/picture">
              <pic:pic xmlns:pic="http://schemas.openxmlformats.org/drawingml/2006/picture">
                <pic:nvPicPr>
                  <pic:cNvPr id="1204" name="Picture 1204"/>
                  <pic:cNvPicPr/>
                </pic:nvPicPr>
                <pic:blipFill>
                  <a:blip r:embed="rId1"/>
                  <a:stretch>
                    <a:fillRect/>
                  </a:stretch>
                </pic:blipFill>
                <pic:spPr>
                  <a:xfrm>
                    <a:off x="0" y="0"/>
                    <a:ext cx="178713" cy="6745"/>
                  </a:xfrm>
                  <a:prstGeom prst="rect">
                    <a:avLst/>
                  </a:prstGeom>
                </pic:spPr>
              </pic:pic>
            </a:graphicData>
          </a:graphic>
        </wp:anchor>
      </w:drawing>
    </w:r>
    <w:r>
      <w:rPr>
        <w:sz w:val="34"/>
      </w:rPr>
      <w:t xml:space="preserve"> </w:t>
    </w:r>
    <w:r>
      <w:fldChar w:fldCharType="begin"/>
    </w:r>
    <w:r>
      <w:instrText xml:space="preserve"> PAGE   \* MERGEFORMAT </w:instrText>
    </w:r>
    <w:r>
      <w:fldChar w:fldCharType="separate"/>
    </w:r>
    <w:r>
      <w:rPr>
        <w:sz w:val="34"/>
      </w:rPr>
      <w:t>1</w:t>
    </w:r>
    <w:r>
      <w:rPr>
        <w:sz w:val="34"/>
      </w:rPr>
      <w:fldChar w:fldCharType="end"/>
    </w:r>
    <w:r>
      <w:rPr>
        <w:sz w:val="3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8A31" w14:textId="77777777" w:rsidR="0009651B" w:rsidRDefault="0009651B">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959F" w14:textId="77777777" w:rsidR="0009651B" w:rsidRDefault="0009651B">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D14A" w14:textId="77777777" w:rsidR="0009651B" w:rsidRDefault="0009651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396D" w14:textId="77777777" w:rsidR="00F64ADD" w:rsidRDefault="00F64ADD">
      <w:pPr>
        <w:spacing w:after="0" w:line="240" w:lineRule="auto"/>
      </w:pPr>
      <w:r>
        <w:separator/>
      </w:r>
    </w:p>
  </w:footnote>
  <w:footnote w:type="continuationSeparator" w:id="0">
    <w:p w14:paraId="64A41E86" w14:textId="77777777" w:rsidR="00F64ADD" w:rsidRDefault="00F64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1F"/>
    <w:multiLevelType w:val="hybridMultilevel"/>
    <w:tmpl w:val="F7B8122C"/>
    <w:lvl w:ilvl="0" w:tplc="7B7EF78C">
      <w:start w:val="1"/>
      <w:numFmt w:val="ideographDigital"/>
      <w:lvlText w:val="（%1）"/>
      <w:lvlJc w:val="left"/>
      <w:pPr>
        <w:ind w:left="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636A50CE">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58F632B8">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15A00590">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CAC44C12">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D6FAE1EC">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D10AEEF6">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14B8555E">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5136D3D2">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1AA60C6"/>
    <w:multiLevelType w:val="hybridMultilevel"/>
    <w:tmpl w:val="8CF05E28"/>
    <w:lvl w:ilvl="0" w:tplc="7D92CA26">
      <w:start w:val="6"/>
      <w:numFmt w:val="ideographDigital"/>
      <w:lvlText w:val="（%1）"/>
      <w:lvlJc w:val="left"/>
      <w:pPr>
        <w:ind w:left="39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9A38CBEC">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C24C8832">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8CD2F326">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BC300EB6">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B1E4EA26">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32A440C2">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AE04805C">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CCAC752C">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745596A"/>
    <w:multiLevelType w:val="hybridMultilevel"/>
    <w:tmpl w:val="1D7A3B78"/>
    <w:lvl w:ilvl="0" w:tplc="CCFA0ECE">
      <w:start w:val="1"/>
      <w:numFmt w:val="decimal"/>
      <w:lvlText w:val="%1"/>
      <w:lvlJc w:val="left"/>
      <w:pPr>
        <w:ind w:left="1"/>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328EF756">
      <w:start w:val="1"/>
      <w:numFmt w:val="lowerLetter"/>
      <w:lvlText w:val="%2"/>
      <w:lvlJc w:val="left"/>
      <w:pPr>
        <w:ind w:left="172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58BA3314">
      <w:start w:val="1"/>
      <w:numFmt w:val="lowerRoman"/>
      <w:lvlText w:val="%3"/>
      <w:lvlJc w:val="left"/>
      <w:pPr>
        <w:ind w:left="244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D1ECD254">
      <w:start w:val="1"/>
      <w:numFmt w:val="decimal"/>
      <w:lvlText w:val="%4"/>
      <w:lvlJc w:val="left"/>
      <w:pPr>
        <w:ind w:left="316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80C0D1A0">
      <w:start w:val="1"/>
      <w:numFmt w:val="lowerLetter"/>
      <w:lvlText w:val="%5"/>
      <w:lvlJc w:val="left"/>
      <w:pPr>
        <w:ind w:left="388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898AF3EC">
      <w:start w:val="1"/>
      <w:numFmt w:val="lowerRoman"/>
      <w:lvlText w:val="%6"/>
      <w:lvlJc w:val="left"/>
      <w:pPr>
        <w:ind w:left="460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696A9514">
      <w:start w:val="1"/>
      <w:numFmt w:val="decimal"/>
      <w:lvlText w:val="%7"/>
      <w:lvlJc w:val="left"/>
      <w:pPr>
        <w:ind w:left="532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AB2EA9EA">
      <w:start w:val="1"/>
      <w:numFmt w:val="lowerLetter"/>
      <w:lvlText w:val="%8"/>
      <w:lvlJc w:val="left"/>
      <w:pPr>
        <w:ind w:left="604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10AC097C">
      <w:start w:val="1"/>
      <w:numFmt w:val="lowerRoman"/>
      <w:lvlText w:val="%9"/>
      <w:lvlJc w:val="left"/>
      <w:pPr>
        <w:ind w:left="6765"/>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2B871FB2"/>
    <w:multiLevelType w:val="hybridMultilevel"/>
    <w:tmpl w:val="3D1CDF28"/>
    <w:lvl w:ilvl="0" w:tplc="904896EE">
      <w:start w:val="2"/>
      <w:numFmt w:val="ideographDigital"/>
      <w:lvlText w:val="（%1）"/>
      <w:lvlJc w:val="left"/>
      <w:pPr>
        <w:ind w:left="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D3DE77B2">
      <w:start w:val="1"/>
      <w:numFmt w:val="lowerLetter"/>
      <w:lvlText w:val="%2"/>
      <w:lvlJc w:val="left"/>
      <w:pPr>
        <w:ind w:left="18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69507DAA">
      <w:start w:val="1"/>
      <w:numFmt w:val="lowerRoman"/>
      <w:lvlText w:val="%3"/>
      <w:lvlJc w:val="left"/>
      <w:pPr>
        <w:ind w:left="25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7A4050CA">
      <w:start w:val="1"/>
      <w:numFmt w:val="decimal"/>
      <w:lvlText w:val="%4"/>
      <w:lvlJc w:val="left"/>
      <w:pPr>
        <w:ind w:left="32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CE12462A">
      <w:start w:val="1"/>
      <w:numFmt w:val="lowerLetter"/>
      <w:lvlText w:val="%5"/>
      <w:lvlJc w:val="left"/>
      <w:pPr>
        <w:ind w:left="401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04EC4436">
      <w:start w:val="1"/>
      <w:numFmt w:val="lowerRoman"/>
      <w:lvlText w:val="%6"/>
      <w:lvlJc w:val="left"/>
      <w:pPr>
        <w:ind w:left="473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32400CC8">
      <w:start w:val="1"/>
      <w:numFmt w:val="decimal"/>
      <w:lvlText w:val="%7"/>
      <w:lvlJc w:val="left"/>
      <w:pPr>
        <w:ind w:left="54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9B12A814">
      <w:start w:val="1"/>
      <w:numFmt w:val="lowerLetter"/>
      <w:lvlText w:val="%8"/>
      <w:lvlJc w:val="left"/>
      <w:pPr>
        <w:ind w:left="61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86A602E8">
      <w:start w:val="1"/>
      <w:numFmt w:val="lowerRoman"/>
      <w:lvlText w:val="%9"/>
      <w:lvlJc w:val="left"/>
      <w:pPr>
        <w:ind w:left="68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2DA1935"/>
    <w:multiLevelType w:val="hybridMultilevel"/>
    <w:tmpl w:val="5D34F838"/>
    <w:lvl w:ilvl="0" w:tplc="3B5E03A0">
      <w:start w:val="1"/>
      <w:numFmt w:val="decimal"/>
      <w:lvlText w:val="%1"/>
      <w:lvlJc w:val="left"/>
      <w:pPr>
        <w:ind w:left="64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69100C2C">
      <w:start w:val="1"/>
      <w:numFmt w:val="lowerLetter"/>
      <w:lvlText w:val="%2"/>
      <w:lvlJc w:val="left"/>
      <w:pPr>
        <w:ind w:left="172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7780E858">
      <w:start w:val="1"/>
      <w:numFmt w:val="lowerRoman"/>
      <w:lvlText w:val="%3"/>
      <w:lvlJc w:val="left"/>
      <w:pPr>
        <w:ind w:left="244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3B220FB4">
      <w:start w:val="1"/>
      <w:numFmt w:val="decimal"/>
      <w:lvlText w:val="%4"/>
      <w:lvlJc w:val="left"/>
      <w:pPr>
        <w:ind w:left="316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D7880A0A">
      <w:start w:val="1"/>
      <w:numFmt w:val="lowerLetter"/>
      <w:lvlText w:val="%5"/>
      <w:lvlJc w:val="left"/>
      <w:pPr>
        <w:ind w:left="388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7D0E291E">
      <w:start w:val="1"/>
      <w:numFmt w:val="lowerRoman"/>
      <w:lvlText w:val="%6"/>
      <w:lvlJc w:val="left"/>
      <w:pPr>
        <w:ind w:left="460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ACA0EA18">
      <w:start w:val="1"/>
      <w:numFmt w:val="decimal"/>
      <w:lvlText w:val="%7"/>
      <w:lvlJc w:val="left"/>
      <w:pPr>
        <w:ind w:left="532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3FECA374">
      <w:start w:val="1"/>
      <w:numFmt w:val="lowerLetter"/>
      <w:lvlText w:val="%8"/>
      <w:lvlJc w:val="left"/>
      <w:pPr>
        <w:ind w:left="604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1A6C2500">
      <w:start w:val="1"/>
      <w:numFmt w:val="lowerRoman"/>
      <w:lvlText w:val="%9"/>
      <w:lvlJc w:val="left"/>
      <w:pPr>
        <w:ind w:left="676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34E03D9F"/>
    <w:multiLevelType w:val="hybridMultilevel"/>
    <w:tmpl w:val="73BED162"/>
    <w:lvl w:ilvl="0" w:tplc="4DF661EA">
      <w:start w:val="1"/>
      <w:numFmt w:val="ideographDigital"/>
      <w:lvlText w:val="（%1）"/>
      <w:lvlJc w:val="left"/>
      <w:pPr>
        <w:ind w:left="9"/>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A3C2D148">
      <w:start w:val="1"/>
      <w:numFmt w:val="lowerLetter"/>
      <w:lvlText w:val="%2"/>
      <w:lvlJc w:val="left"/>
      <w:pPr>
        <w:ind w:left="186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4E84A7BE">
      <w:start w:val="1"/>
      <w:numFmt w:val="lowerRoman"/>
      <w:lvlText w:val="%3"/>
      <w:lvlJc w:val="left"/>
      <w:pPr>
        <w:ind w:left="25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ABCAD700">
      <w:start w:val="1"/>
      <w:numFmt w:val="decimal"/>
      <w:lvlText w:val="%4"/>
      <w:lvlJc w:val="left"/>
      <w:pPr>
        <w:ind w:left="330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BE38FE4C">
      <w:start w:val="1"/>
      <w:numFmt w:val="lowerLetter"/>
      <w:lvlText w:val="%5"/>
      <w:lvlJc w:val="left"/>
      <w:pPr>
        <w:ind w:left="402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418CE374">
      <w:start w:val="1"/>
      <w:numFmt w:val="lowerRoman"/>
      <w:lvlText w:val="%6"/>
      <w:lvlJc w:val="left"/>
      <w:pPr>
        <w:ind w:left="474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77F451D8">
      <w:start w:val="1"/>
      <w:numFmt w:val="decimal"/>
      <w:lvlText w:val="%7"/>
      <w:lvlJc w:val="left"/>
      <w:pPr>
        <w:ind w:left="546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483EED20">
      <w:start w:val="1"/>
      <w:numFmt w:val="lowerLetter"/>
      <w:lvlText w:val="%8"/>
      <w:lvlJc w:val="left"/>
      <w:pPr>
        <w:ind w:left="61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A8206256">
      <w:start w:val="1"/>
      <w:numFmt w:val="lowerRoman"/>
      <w:lvlText w:val="%9"/>
      <w:lvlJc w:val="left"/>
      <w:pPr>
        <w:ind w:left="690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B26511F"/>
    <w:multiLevelType w:val="hybridMultilevel"/>
    <w:tmpl w:val="9ED4A502"/>
    <w:lvl w:ilvl="0" w:tplc="DEF4C728">
      <w:start w:val="9"/>
      <w:numFmt w:val="japaneseCounting"/>
      <w:lvlText w:val="（%1）"/>
      <w:lvlJc w:val="left"/>
      <w:pPr>
        <w:ind w:left="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04708A58">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F2960B0C">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1106859C">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3A18F402">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7CA2D6AA">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F4C0F476">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ECB0B8E0">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218C73D4">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E772BD1"/>
    <w:multiLevelType w:val="hybridMultilevel"/>
    <w:tmpl w:val="3962DB86"/>
    <w:lvl w:ilvl="0" w:tplc="262A8D9A">
      <w:start w:val="6"/>
      <w:numFmt w:val="japaneseCounting"/>
      <w:lvlText w:val="（%1）"/>
      <w:lvlJc w:val="left"/>
      <w:pPr>
        <w:ind w:left="7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E564CE82">
      <w:start w:val="1"/>
      <w:numFmt w:val="lowerLetter"/>
      <w:lvlText w:val="%2"/>
      <w:lvlJc w:val="left"/>
      <w:pPr>
        <w:ind w:left="18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D40A11A0">
      <w:start w:val="1"/>
      <w:numFmt w:val="lowerRoman"/>
      <w:lvlText w:val="%3"/>
      <w:lvlJc w:val="left"/>
      <w:pPr>
        <w:ind w:left="25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7720AC90">
      <w:start w:val="1"/>
      <w:numFmt w:val="decimal"/>
      <w:lvlText w:val="%4"/>
      <w:lvlJc w:val="left"/>
      <w:pPr>
        <w:ind w:left="32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B38A443A">
      <w:start w:val="1"/>
      <w:numFmt w:val="lowerLetter"/>
      <w:lvlText w:val="%5"/>
      <w:lvlJc w:val="left"/>
      <w:pPr>
        <w:ind w:left="401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CDACC54C">
      <w:start w:val="1"/>
      <w:numFmt w:val="lowerRoman"/>
      <w:lvlText w:val="%6"/>
      <w:lvlJc w:val="left"/>
      <w:pPr>
        <w:ind w:left="473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9CB41C30">
      <w:start w:val="1"/>
      <w:numFmt w:val="decimal"/>
      <w:lvlText w:val="%7"/>
      <w:lvlJc w:val="left"/>
      <w:pPr>
        <w:ind w:left="54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B2FA9552">
      <w:start w:val="1"/>
      <w:numFmt w:val="lowerLetter"/>
      <w:lvlText w:val="%8"/>
      <w:lvlJc w:val="left"/>
      <w:pPr>
        <w:ind w:left="61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DE90D620">
      <w:start w:val="1"/>
      <w:numFmt w:val="lowerRoman"/>
      <w:lvlText w:val="%9"/>
      <w:lvlJc w:val="left"/>
      <w:pPr>
        <w:ind w:left="68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41423D28"/>
    <w:multiLevelType w:val="hybridMultilevel"/>
    <w:tmpl w:val="E53A8462"/>
    <w:lvl w:ilvl="0" w:tplc="06FA1142">
      <w:start w:val="15"/>
      <w:numFmt w:val="japaneseCounting"/>
      <w:lvlText w:val="（%1）"/>
      <w:lvlJc w:val="left"/>
      <w:pPr>
        <w:ind w:left="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5A140EB8">
      <w:start w:val="1"/>
      <w:numFmt w:val="lowerLetter"/>
      <w:lvlText w:val="%2"/>
      <w:lvlJc w:val="left"/>
      <w:pPr>
        <w:ind w:left="18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20B0697A">
      <w:start w:val="1"/>
      <w:numFmt w:val="lowerRoman"/>
      <w:lvlText w:val="%3"/>
      <w:lvlJc w:val="left"/>
      <w:pPr>
        <w:ind w:left="25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D982FE9C">
      <w:start w:val="1"/>
      <w:numFmt w:val="decimal"/>
      <w:lvlText w:val="%4"/>
      <w:lvlJc w:val="left"/>
      <w:pPr>
        <w:ind w:left="32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30802F28">
      <w:start w:val="1"/>
      <w:numFmt w:val="lowerLetter"/>
      <w:lvlText w:val="%5"/>
      <w:lvlJc w:val="left"/>
      <w:pPr>
        <w:ind w:left="401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9ACE654E">
      <w:start w:val="1"/>
      <w:numFmt w:val="lowerRoman"/>
      <w:lvlText w:val="%6"/>
      <w:lvlJc w:val="left"/>
      <w:pPr>
        <w:ind w:left="473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CABE7D62">
      <w:start w:val="1"/>
      <w:numFmt w:val="decimal"/>
      <w:lvlText w:val="%7"/>
      <w:lvlJc w:val="left"/>
      <w:pPr>
        <w:ind w:left="545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BD445D2C">
      <w:start w:val="1"/>
      <w:numFmt w:val="lowerLetter"/>
      <w:lvlText w:val="%8"/>
      <w:lvlJc w:val="left"/>
      <w:pPr>
        <w:ind w:left="617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F4089284">
      <w:start w:val="1"/>
      <w:numFmt w:val="lowerRoman"/>
      <w:lvlText w:val="%9"/>
      <w:lvlJc w:val="left"/>
      <w:pPr>
        <w:ind w:left="6897"/>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452B4EC1"/>
    <w:multiLevelType w:val="hybridMultilevel"/>
    <w:tmpl w:val="F676C984"/>
    <w:lvl w:ilvl="0" w:tplc="6AA22A68">
      <w:start w:val="2"/>
      <w:numFmt w:val="decimal"/>
      <w:lvlText w:val="%1"/>
      <w:lvlJc w:val="left"/>
      <w:pPr>
        <w:ind w:left="101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21C8FA4">
      <w:start w:val="1"/>
      <w:numFmt w:val="lowerLetter"/>
      <w:lvlText w:val="%2"/>
      <w:lvlJc w:val="left"/>
      <w:pPr>
        <w:ind w:left="267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EE302A92">
      <w:start w:val="1"/>
      <w:numFmt w:val="lowerRoman"/>
      <w:lvlText w:val="%3"/>
      <w:lvlJc w:val="left"/>
      <w:pPr>
        <w:ind w:left="339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6C24FD50">
      <w:start w:val="1"/>
      <w:numFmt w:val="decimal"/>
      <w:lvlText w:val="%4"/>
      <w:lvlJc w:val="left"/>
      <w:pPr>
        <w:ind w:left="411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98ADF96">
      <w:start w:val="1"/>
      <w:numFmt w:val="lowerLetter"/>
      <w:lvlText w:val="%5"/>
      <w:lvlJc w:val="left"/>
      <w:pPr>
        <w:ind w:left="483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3CBEC8D4">
      <w:start w:val="1"/>
      <w:numFmt w:val="lowerRoman"/>
      <w:lvlText w:val="%6"/>
      <w:lvlJc w:val="left"/>
      <w:pPr>
        <w:ind w:left="555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0DE8FD1C">
      <w:start w:val="1"/>
      <w:numFmt w:val="decimal"/>
      <w:lvlText w:val="%7"/>
      <w:lvlJc w:val="left"/>
      <w:pPr>
        <w:ind w:left="627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074B000">
      <w:start w:val="1"/>
      <w:numFmt w:val="lowerLetter"/>
      <w:lvlText w:val="%8"/>
      <w:lvlJc w:val="left"/>
      <w:pPr>
        <w:ind w:left="699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692C3FB2">
      <w:start w:val="1"/>
      <w:numFmt w:val="lowerRoman"/>
      <w:lvlText w:val="%9"/>
      <w:lvlJc w:val="left"/>
      <w:pPr>
        <w:ind w:left="771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4E514C"/>
    <w:multiLevelType w:val="hybridMultilevel"/>
    <w:tmpl w:val="08E0F7D6"/>
    <w:lvl w:ilvl="0" w:tplc="75AA7C84">
      <w:start w:val="18"/>
      <w:numFmt w:val="japaneseCounting"/>
      <w:lvlText w:val="（%1）"/>
      <w:lvlJc w:val="left"/>
      <w:pPr>
        <w:ind w:left="6"/>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66BA5C66">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34703072">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141CD0D2">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81CE363A">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D8A26CA6">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77C8CD56">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EF401BFA">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CC206D06">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58EF0737"/>
    <w:multiLevelType w:val="hybridMultilevel"/>
    <w:tmpl w:val="15F829E8"/>
    <w:lvl w:ilvl="0" w:tplc="01A8CDF4">
      <w:start w:val="1"/>
      <w:numFmt w:val="ideographDigital"/>
      <w:lvlText w:val="（%1）"/>
      <w:lvlJc w:val="left"/>
      <w:pPr>
        <w:ind w:left="3"/>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B1B27D86">
      <w:start w:val="1"/>
      <w:numFmt w:val="lowerLetter"/>
      <w:lvlText w:val="%2"/>
      <w:lvlJc w:val="left"/>
      <w:pPr>
        <w:ind w:left="186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2064E2C8">
      <w:start w:val="1"/>
      <w:numFmt w:val="lowerRoman"/>
      <w:lvlText w:val="%3"/>
      <w:lvlJc w:val="left"/>
      <w:pPr>
        <w:ind w:left="25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B89CCBDC">
      <w:start w:val="1"/>
      <w:numFmt w:val="decimal"/>
      <w:lvlText w:val="%4"/>
      <w:lvlJc w:val="left"/>
      <w:pPr>
        <w:ind w:left="330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48A2D082">
      <w:start w:val="1"/>
      <w:numFmt w:val="lowerLetter"/>
      <w:lvlText w:val="%5"/>
      <w:lvlJc w:val="left"/>
      <w:pPr>
        <w:ind w:left="402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B364B5F0">
      <w:start w:val="1"/>
      <w:numFmt w:val="lowerRoman"/>
      <w:lvlText w:val="%6"/>
      <w:lvlJc w:val="left"/>
      <w:pPr>
        <w:ind w:left="474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33BE6528">
      <w:start w:val="1"/>
      <w:numFmt w:val="decimal"/>
      <w:lvlText w:val="%7"/>
      <w:lvlJc w:val="left"/>
      <w:pPr>
        <w:ind w:left="546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256CE49A">
      <w:start w:val="1"/>
      <w:numFmt w:val="lowerLetter"/>
      <w:lvlText w:val="%8"/>
      <w:lvlJc w:val="left"/>
      <w:pPr>
        <w:ind w:left="61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9DC89D2A">
      <w:start w:val="1"/>
      <w:numFmt w:val="lowerRoman"/>
      <w:lvlText w:val="%9"/>
      <w:lvlJc w:val="left"/>
      <w:pPr>
        <w:ind w:left="690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64CE6F4A"/>
    <w:multiLevelType w:val="hybridMultilevel"/>
    <w:tmpl w:val="631C8532"/>
    <w:lvl w:ilvl="0" w:tplc="3C28456E">
      <w:start w:val="1"/>
      <w:numFmt w:val="decimal"/>
      <w:lvlText w:val="%1"/>
      <w:lvlJc w:val="left"/>
      <w:pPr>
        <w:ind w:left="6"/>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DDB03732">
      <w:start w:val="1"/>
      <w:numFmt w:val="lowerLetter"/>
      <w:lvlText w:val="%2"/>
      <w:lvlJc w:val="left"/>
      <w:pPr>
        <w:ind w:left="172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C74060A6">
      <w:start w:val="1"/>
      <w:numFmt w:val="lowerRoman"/>
      <w:lvlText w:val="%3"/>
      <w:lvlJc w:val="left"/>
      <w:pPr>
        <w:ind w:left="244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2AA41B30">
      <w:start w:val="1"/>
      <w:numFmt w:val="decimal"/>
      <w:lvlText w:val="%4"/>
      <w:lvlJc w:val="left"/>
      <w:pPr>
        <w:ind w:left="316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5D9C86C2">
      <w:start w:val="1"/>
      <w:numFmt w:val="lowerLetter"/>
      <w:lvlText w:val="%5"/>
      <w:lvlJc w:val="left"/>
      <w:pPr>
        <w:ind w:left="388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45D8DE30">
      <w:start w:val="1"/>
      <w:numFmt w:val="lowerRoman"/>
      <w:lvlText w:val="%6"/>
      <w:lvlJc w:val="left"/>
      <w:pPr>
        <w:ind w:left="460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650CEB8E">
      <w:start w:val="1"/>
      <w:numFmt w:val="decimal"/>
      <w:lvlText w:val="%7"/>
      <w:lvlJc w:val="left"/>
      <w:pPr>
        <w:ind w:left="532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27B2232E">
      <w:start w:val="1"/>
      <w:numFmt w:val="lowerLetter"/>
      <w:lvlText w:val="%8"/>
      <w:lvlJc w:val="left"/>
      <w:pPr>
        <w:ind w:left="604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F64C5E6C">
      <w:start w:val="1"/>
      <w:numFmt w:val="lowerRoman"/>
      <w:lvlText w:val="%9"/>
      <w:lvlJc w:val="left"/>
      <w:pPr>
        <w:ind w:left="676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7D810F41"/>
    <w:multiLevelType w:val="hybridMultilevel"/>
    <w:tmpl w:val="BB6A52D4"/>
    <w:lvl w:ilvl="0" w:tplc="EF2E59E0">
      <w:start w:val="7"/>
      <w:numFmt w:val="ideographDigital"/>
      <w:lvlText w:val="（%1）"/>
      <w:lvlJc w:val="left"/>
      <w:pPr>
        <w:ind w:left="9"/>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76785C1E">
      <w:start w:val="1"/>
      <w:numFmt w:val="lowerLetter"/>
      <w:lvlText w:val="%2"/>
      <w:lvlJc w:val="left"/>
      <w:pPr>
        <w:ind w:left="18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5324090A">
      <w:start w:val="1"/>
      <w:numFmt w:val="lowerRoman"/>
      <w:lvlText w:val="%3"/>
      <w:lvlJc w:val="left"/>
      <w:pPr>
        <w:ind w:left="25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3A7AA5A0">
      <w:start w:val="1"/>
      <w:numFmt w:val="decimal"/>
      <w:lvlText w:val="%4"/>
      <w:lvlJc w:val="left"/>
      <w:pPr>
        <w:ind w:left="32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5A0016DA">
      <w:start w:val="1"/>
      <w:numFmt w:val="lowerLetter"/>
      <w:lvlText w:val="%5"/>
      <w:lvlJc w:val="left"/>
      <w:pPr>
        <w:ind w:left="401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05E6B938">
      <w:start w:val="1"/>
      <w:numFmt w:val="lowerRoman"/>
      <w:lvlText w:val="%6"/>
      <w:lvlJc w:val="left"/>
      <w:pPr>
        <w:ind w:left="473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4E382FBE">
      <w:start w:val="1"/>
      <w:numFmt w:val="decimal"/>
      <w:lvlText w:val="%7"/>
      <w:lvlJc w:val="left"/>
      <w:pPr>
        <w:ind w:left="545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FFB455F2">
      <w:start w:val="1"/>
      <w:numFmt w:val="lowerLetter"/>
      <w:lvlText w:val="%8"/>
      <w:lvlJc w:val="left"/>
      <w:pPr>
        <w:ind w:left="617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8044545A">
      <w:start w:val="1"/>
      <w:numFmt w:val="lowerRoman"/>
      <w:lvlText w:val="%9"/>
      <w:lvlJc w:val="left"/>
      <w:pPr>
        <w:ind w:left="6895"/>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num w:numId="1" w16cid:durableId="418865320">
    <w:abstractNumId w:val="2"/>
  </w:num>
  <w:num w:numId="2" w16cid:durableId="1917008277">
    <w:abstractNumId w:val="3"/>
  </w:num>
  <w:num w:numId="3" w16cid:durableId="985668827">
    <w:abstractNumId w:val="4"/>
  </w:num>
  <w:num w:numId="4" w16cid:durableId="1405105759">
    <w:abstractNumId w:val="13"/>
  </w:num>
  <w:num w:numId="5" w16cid:durableId="1138717296">
    <w:abstractNumId w:val="12"/>
  </w:num>
  <w:num w:numId="6" w16cid:durableId="2076125437">
    <w:abstractNumId w:val="6"/>
  </w:num>
  <w:num w:numId="7" w16cid:durableId="147552935">
    <w:abstractNumId w:val="8"/>
  </w:num>
  <w:num w:numId="8" w16cid:durableId="1644770850">
    <w:abstractNumId w:val="10"/>
  </w:num>
  <w:num w:numId="9" w16cid:durableId="1253662730">
    <w:abstractNumId w:val="9"/>
  </w:num>
  <w:num w:numId="10" w16cid:durableId="48311018">
    <w:abstractNumId w:val="5"/>
  </w:num>
  <w:num w:numId="11" w16cid:durableId="1651250991">
    <w:abstractNumId w:val="1"/>
  </w:num>
  <w:num w:numId="12" w16cid:durableId="897977902">
    <w:abstractNumId w:val="0"/>
  </w:num>
  <w:num w:numId="13" w16cid:durableId="1513883453">
    <w:abstractNumId w:val="7"/>
  </w:num>
  <w:num w:numId="14" w16cid:durableId="4254195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1B"/>
    <w:rsid w:val="0009651B"/>
    <w:rsid w:val="001B4EDF"/>
    <w:rsid w:val="00F266CA"/>
    <w:rsid w:val="00F64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60771"/>
  <w15:docId w15:val="{6594B21F-E4C3-480E-9CE2-55DF2EFE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6" w:lineRule="auto"/>
      <w:ind w:left="643" w:firstLine="1"/>
      <w:jc w:val="both"/>
    </w:pPr>
    <w:rPr>
      <w:rFonts w:ascii="微软雅黑" w:eastAsia="微软雅黑" w:hAnsi="微软雅黑" w:cs="微软雅黑"/>
      <w:color w:val="000000"/>
      <w:sz w:val="30"/>
    </w:rPr>
  </w:style>
  <w:style w:type="paragraph" w:styleId="1">
    <w:name w:val="heading 1"/>
    <w:next w:val="a"/>
    <w:link w:val="10"/>
    <w:uiPriority w:val="9"/>
    <w:qFormat/>
    <w:pPr>
      <w:keepNext/>
      <w:keepLines/>
      <w:spacing w:after="0" w:line="259" w:lineRule="auto"/>
      <w:ind w:left="10" w:right="11" w:hanging="10"/>
      <w:jc w:val="center"/>
      <w:outlineLvl w:val="0"/>
    </w:pPr>
    <w:rPr>
      <w:rFonts w:ascii="微软雅黑" w:eastAsia="微软雅黑" w:hAnsi="微软雅黑" w:cs="微软雅黑"/>
      <w:color w:val="000000"/>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4.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footer2.xml.rels><?xml version="1.0" encoding="UTF-8" standalone="yes"?>
<Relationships xmlns="http://schemas.openxmlformats.org/package/2006/relationships"><Relationship Id="rId1" Type="http://schemas.openxmlformats.org/officeDocument/2006/relationships/image" Target="media/image11.jpg"/></Relationships>
</file>

<file path=word/_rels/foot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3258</Words>
  <Characters>3291</Characters>
  <Application>Microsoft Office Word</Application>
  <DocSecurity>0</DocSecurity>
  <Lines>143</Lines>
  <Paragraphs>94</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2026-01-28T07:06:00Z</dcterms:created>
  <dcterms:modified xsi:type="dcterms:W3CDTF">2026-01-28T07:06:00Z</dcterms:modified>
</cp:coreProperties>
</file>