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678D4">
      <w:pPr>
        <w:spacing w:after="0" w:afterLines="0" w:line="360" w:lineRule="auto"/>
        <w:ind w:firstLine="0" w:firstLineChars="0"/>
        <w:outlineLvl w:val="0"/>
        <w:rPr>
          <w:b/>
          <w:bCs/>
          <w:sz w:val="24"/>
          <w:szCs w:val="24"/>
        </w:rPr>
      </w:pPr>
      <w:bookmarkStart w:id="18" w:name="_GoBack"/>
      <w:bookmarkEnd w:id="18"/>
      <w:r>
        <w:rPr>
          <w:b/>
          <w:bCs/>
          <w:sz w:val="24"/>
          <w:szCs w:val="24"/>
        </w:rPr>
        <w:t>Title page</w:t>
      </w:r>
    </w:p>
    <w:p w14:paraId="313A50BD">
      <w:pPr>
        <w:spacing w:after="0" w:afterLines="0" w:line="360" w:lineRule="auto"/>
        <w:ind w:firstLine="0" w:firstLineChars="0"/>
        <w:rPr>
          <w:b/>
          <w:bCs/>
          <w:sz w:val="24"/>
          <w:szCs w:val="24"/>
        </w:rPr>
      </w:pPr>
      <w:r>
        <w:rPr>
          <w:rFonts w:hint="eastAsia"/>
          <w:b/>
          <w:bCs/>
          <w:sz w:val="24"/>
          <w:szCs w:val="24"/>
        </w:rPr>
        <w:t>Title:</w:t>
      </w:r>
      <w:r>
        <w:rPr>
          <w:rFonts w:hint="eastAsia"/>
          <w:b/>
          <w:bCs/>
          <w:sz w:val="24"/>
          <w:szCs w:val="24"/>
          <w:lang w:val="en-US" w:eastAsia="zh-CN"/>
        </w:rPr>
        <w:t xml:space="preserve"> </w:t>
      </w:r>
      <w:r>
        <w:rPr>
          <w:b/>
          <w:bCs/>
          <w:sz w:val="24"/>
          <w:szCs w:val="24"/>
        </w:rPr>
        <w:t>Machine learning-based early diagnos</w:t>
      </w:r>
      <w:r>
        <w:rPr>
          <w:rFonts w:hint="eastAsia"/>
          <w:b/>
          <w:bCs/>
          <w:sz w:val="24"/>
          <w:szCs w:val="24"/>
          <w:lang w:val="en-US" w:eastAsia="zh-CN"/>
        </w:rPr>
        <w:t>i</w:t>
      </w:r>
      <w:r>
        <w:rPr>
          <w:b/>
          <w:bCs/>
          <w:sz w:val="24"/>
          <w:szCs w:val="24"/>
        </w:rPr>
        <w:t>s of disseminated intravascular coagulation</w:t>
      </w:r>
      <w:r>
        <w:rPr>
          <w:rFonts w:hint="eastAsia"/>
          <w:b/>
          <w:bCs/>
          <w:sz w:val="24"/>
          <w:szCs w:val="24"/>
        </w:rPr>
        <w:t xml:space="preserve"> by </w:t>
      </w:r>
      <w:r>
        <w:rPr>
          <w:b/>
          <w:bCs/>
          <w:sz w:val="24"/>
          <w:szCs w:val="24"/>
        </w:rPr>
        <w:t>hemostatic biomarkers</w:t>
      </w:r>
    </w:p>
    <w:p w14:paraId="41B88CD2">
      <w:pPr>
        <w:spacing w:after="0" w:afterLines="0" w:line="360" w:lineRule="auto"/>
        <w:ind w:firstLine="0" w:firstLineChars="0"/>
        <w:rPr>
          <w:rFonts w:hint="eastAsia"/>
          <w:b/>
          <w:bCs/>
          <w:sz w:val="24"/>
          <w:szCs w:val="24"/>
        </w:rPr>
      </w:pPr>
      <w:r>
        <w:rPr>
          <w:rFonts w:hint="eastAsia"/>
          <w:b/>
          <w:bCs/>
          <w:sz w:val="24"/>
          <w:szCs w:val="24"/>
        </w:rPr>
        <w:t xml:space="preserve">Short title: </w:t>
      </w:r>
      <w:r>
        <w:rPr>
          <w:rFonts w:hint="eastAsia"/>
          <w:b/>
          <w:bCs/>
          <w:sz w:val="24"/>
          <w:szCs w:val="24"/>
          <w:lang w:val="en-US" w:eastAsia="zh-CN"/>
        </w:rPr>
        <w:t>E</w:t>
      </w:r>
      <w:r>
        <w:rPr>
          <w:rFonts w:hint="eastAsia"/>
          <w:b/>
          <w:bCs/>
          <w:sz w:val="24"/>
          <w:szCs w:val="24"/>
        </w:rPr>
        <w:t xml:space="preserve">arly </w:t>
      </w:r>
      <w:r>
        <w:rPr>
          <w:rFonts w:hint="eastAsia"/>
          <w:b/>
          <w:bCs/>
          <w:sz w:val="24"/>
          <w:szCs w:val="24"/>
          <w:lang w:val="en-US" w:eastAsia="zh-CN"/>
        </w:rPr>
        <w:t>d</w:t>
      </w:r>
      <w:r>
        <w:rPr>
          <w:rFonts w:hint="eastAsia"/>
          <w:b/>
          <w:bCs/>
          <w:sz w:val="24"/>
          <w:szCs w:val="24"/>
        </w:rPr>
        <w:t xml:space="preserve">iagnosis of DIC by hemostatic </w:t>
      </w:r>
      <w:r>
        <w:rPr>
          <w:rFonts w:hint="eastAsia"/>
          <w:b/>
          <w:bCs/>
          <w:sz w:val="24"/>
          <w:szCs w:val="24"/>
          <w:lang w:val="en-US" w:eastAsia="zh-CN"/>
        </w:rPr>
        <w:t>b</w:t>
      </w:r>
      <w:r>
        <w:rPr>
          <w:rFonts w:hint="eastAsia"/>
          <w:b/>
          <w:bCs/>
          <w:sz w:val="24"/>
          <w:szCs w:val="24"/>
        </w:rPr>
        <w:t xml:space="preserve">iomarkers </w:t>
      </w:r>
    </w:p>
    <w:p w14:paraId="12AE312B">
      <w:pPr>
        <w:spacing w:after="0" w:afterLines="0" w:line="360" w:lineRule="auto"/>
        <w:ind w:firstLine="0" w:firstLineChars="0"/>
        <w:rPr>
          <w:sz w:val="24"/>
        </w:rPr>
      </w:pPr>
      <w:r>
        <w:rPr>
          <w:b/>
          <w:bCs/>
          <w:sz w:val="24"/>
        </w:rPr>
        <w:t>Authorship</w:t>
      </w:r>
    </w:p>
    <w:p w14:paraId="6B606284">
      <w:pPr>
        <w:spacing w:after="0" w:afterLines="0" w:line="360" w:lineRule="auto"/>
        <w:ind w:firstLine="0" w:firstLineChars="0"/>
        <w:rPr>
          <w:sz w:val="24"/>
          <w:vertAlign w:val="superscript"/>
        </w:rPr>
      </w:pPr>
      <w:r>
        <w:rPr>
          <w:sz w:val="24"/>
        </w:rPr>
        <w:t>Qiuyu Guo</w:t>
      </w:r>
      <w:r>
        <w:rPr>
          <w:sz w:val="24"/>
          <w:vertAlign w:val="superscript"/>
        </w:rPr>
        <w:t>1</w:t>
      </w:r>
      <w:r>
        <w:rPr>
          <w:sz w:val="24"/>
        </w:rPr>
        <w:t>*, Tichao Shan</w:t>
      </w:r>
      <w:r>
        <w:rPr>
          <w:sz w:val="24"/>
          <w:vertAlign w:val="superscript"/>
        </w:rPr>
        <w:t>2</w:t>
      </w:r>
      <w:r>
        <w:rPr>
          <w:sz w:val="24"/>
        </w:rPr>
        <w:t xml:space="preserve">*, </w:t>
      </w:r>
      <w:r>
        <w:rPr>
          <w:rFonts w:hint="eastAsia"/>
          <w:sz w:val="24"/>
        </w:rPr>
        <w:t>Jing Wang</w:t>
      </w:r>
      <w:r>
        <w:rPr>
          <w:rFonts w:hint="eastAsia"/>
          <w:sz w:val="24"/>
          <w:vertAlign w:val="superscript"/>
        </w:rPr>
        <w:t>3</w:t>
      </w:r>
      <w:r>
        <w:rPr>
          <w:rFonts w:hint="eastAsia"/>
          <w:sz w:val="24"/>
        </w:rPr>
        <w:t xml:space="preserve">, </w:t>
      </w:r>
      <w:r>
        <w:rPr>
          <w:sz w:val="24"/>
        </w:rPr>
        <w:t>Fengjiao Han</w:t>
      </w:r>
      <w:r>
        <w:rPr>
          <w:sz w:val="24"/>
          <w:vertAlign w:val="superscript"/>
        </w:rPr>
        <w:t>1</w:t>
      </w:r>
      <w:r>
        <w:rPr>
          <w:sz w:val="24"/>
        </w:rPr>
        <w:t>,</w:t>
      </w:r>
      <w:r>
        <w:rPr>
          <w:rFonts w:hint="eastAsia"/>
          <w:sz w:val="24"/>
        </w:rPr>
        <w:t xml:space="preserve"> Zhengqi Jiang</w:t>
      </w:r>
      <w:r>
        <w:rPr>
          <w:rFonts w:hint="eastAsia"/>
          <w:sz w:val="24"/>
          <w:vertAlign w:val="superscript"/>
        </w:rPr>
        <w:t>1</w:t>
      </w:r>
      <w:r>
        <w:rPr>
          <w:rFonts w:hint="eastAsia"/>
          <w:sz w:val="24"/>
        </w:rPr>
        <w:t xml:space="preserve">, </w:t>
      </w:r>
      <w:r>
        <w:rPr>
          <w:sz w:val="24"/>
        </w:rPr>
        <w:t>Zhiping Liu</w:t>
      </w:r>
      <w:r>
        <w:rPr>
          <w:sz w:val="24"/>
          <w:vertAlign w:val="superscript"/>
        </w:rPr>
        <w:t>3</w:t>
      </w:r>
      <w:r>
        <w:rPr>
          <w:sz w:val="24"/>
        </w:rPr>
        <w:t>, Xiaorong Yang</w:t>
      </w:r>
      <w:r>
        <w:rPr>
          <w:sz w:val="24"/>
          <w:vertAlign w:val="superscript"/>
        </w:rPr>
        <w:t>4</w:t>
      </w:r>
      <w:r>
        <w:rPr>
          <w:sz w:val="24"/>
        </w:rPr>
        <w:t>, Ming Hou</w:t>
      </w:r>
      <w:r>
        <w:rPr>
          <w:sz w:val="24"/>
          <w:vertAlign w:val="superscript"/>
        </w:rPr>
        <w:t>1</w:t>
      </w:r>
      <w:r>
        <w:rPr>
          <w:sz w:val="24"/>
        </w:rPr>
        <w:t>, Jun Peng</w:t>
      </w:r>
      <w:r>
        <w:rPr>
          <w:sz w:val="24"/>
          <w:vertAlign w:val="superscript"/>
        </w:rPr>
        <w:t>1#</w:t>
      </w:r>
      <w:r>
        <w:rPr>
          <w:sz w:val="24"/>
        </w:rPr>
        <w:t>, Miao Xu</w:t>
      </w:r>
      <w:r>
        <w:rPr>
          <w:sz w:val="24"/>
          <w:vertAlign w:val="superscript"/>
        </w:rPr>
        <w:t>1#</w:t>
      </w:r>
    </w:p>
    <w:p w14:paraId="0B4AC716">
      <w:pPr>
        <w:spacing w:after="0" w:afterLines="0" w:line="360" w:lineRule="auto"/>
        <w:ind w:firstLine="0" w:firstLineChars="0"/>
        <w:rPr>
          <w:b/>
          <w:bCs/>
          <w:sz w:val="24"/>
        </w:rPr>
      </w:pPr>
      <w:r>
        <w:rPr>
          <w:b/>
          <w:bCs/>
          <w:sz w:val="24"/>
        </w:rPr>
        <w:t>Affiliations</w:t>
      </w:r>
    </w:p>
    <w:p w14:paraId="0B4AC717">
      <w:pPr>
        <w:spacing w:after="0" w:afterLines="0" w:line="360" w:lineRule="auto"/>
        <w:ind w:firstLine="0" w:firstLineChars="0"/>
        <w:rPr>
          <w:sz w:val="24"/>
        </w:rPr>
      </w:pPr>
      <w:r>
        <w:rPr>
          <w:sz w:val="24"/>
          <w:vertAlign w:val="superscript"/>
        </w:rPr>
        <w:t>1</w:t>
      </w:r>
      <w:r>
        <w:rPr>
          <w:sz w:val="24"/>
        </w:rPr>
        <w:t>Department of Hematology, Qilu Hospital of Shandong University, Jinan, China</w:t>
      </w:r>
    </w:p>
    <w:p w14:paraId="0B4AC718">
      <w:pPr>
        <w:spacing w:after="0" w:afterLines="0" w:line="360" w:lineRule="auto"/>
        <w:ind w:firstLine="0" w:firstLineChars="0"/>
        <w:rPr>
          <w:sz w:val="24"/>
        </w:rPr>
      </w:pPr>
      <w:r>
        <w:rPr>
          <w:sz w:val="24"/>
          <w:vertAlign w:val="superscript"/>
        </w:rPr>
        <w:t>2</w:t>
      </w:r>
      <w:r>
        <w:rPr>
          <w:sz w:val="24"/>
        </w:rPr>
        <w:t xml:space="preserve">Department of Critical Care Medicine, Qilu Hospital of Shandong University, Jinan, China </w:t>
      </w:r>
    </w:p>
    <w:p w14:paraId="0B4AC719">
      <w:pPr>
        <w:spacing w:after="0" w:afterLines="0" w:line="360" w:lineRule="auto"/>
        <w:ind w:firstLine="0" w:firstLineChars="0"/>
        <w:rPr>
          <w:sz w:val="24"/>
        </w:rPr>
      </w:pPr>
      <w:r>
        <w:rPr>
          <w:sz w:val="24"/>
          <w:vertAlign w:val="superscript"/>
        </w:rPr>
        <w:t>3</w:t>
      </w:r>
      <w:r>
        <w:rPr>
          <w:sz w:val="24"/>
        </w:rPr>
        <w:t xml:space="preserve">Department of Biomedical Engineering, </w:t>
      </w:r>
      <w:bookmarkStart w:id="0" w:name="OLE_LINK3"/>
      <w:r>
        <w:rPr>
          <w:sz w:val="24"/>
        </w:rPr>
        <w:t>School of Control Science and Engineering</w:t>
      </w:r>
      <w:bookmarkEnd w:id="0"/>
      <w:r>
        <w:rPr>
          <w:sz w:val="24"/>
        </w:rPr>
        <w:t>, Shandong University, Jinan, China</w:t>
      </w:r>
    </w:p>
    <w:p w14:paraId="0B4AC71B">
      <w:pPr>
        <w:spacing w:after="0" w:afterLines="0" w:line="360" w:lineRule="auto"/>
        <w:ind w:firstLine="0" w:firstLineChars="0"/>
        <w:rPr>
          <w:sz w:val="24"/>
        </w:rPr>
      </w:pPr>
      <w:r>
        <w:rPr>
          <w:sz w:val="24"/>
          <w:vertAlign w:val="superscript"/>
        </w:rPr>
        <w:t>4</w:t>
      </w:r>
      <w:r>
        <w:rPr>
          <w:sz w:val="24"/>
        </w:rPr>
        <w:t>Clinical Epidemiology Unit, Qilu Hospital of Shandong University, Jinan, China</w:t>
      </w:r>
    </w:p>
    <w:p w14:paraId="0B4AC71C">
      <w:pPr>
        <w:spacing w:after="0" w:afterLines="0" w:line="360" w:lineRule="auto"/>
        <w:ind w:firstLine="0" w:firstLineChars="0"/>
        <w:rPr>
          <w:b/>
          <w:bCs/>
          <w:sz w:val="24"/>
        </w:rPr>
      </w:pPr>
      <w:r>
        <w:rPr>
          <w:b/>
          <w:bCs/>
          <w:sz w:val="24"/>
        </w:rPr>
        <w:t>*Co-first authors</w:t>
      </w:r>
    </w:p>
    <w:p w14:paraId="0B4AC71D">
      <w:pPr>
        <w:spacing w:after="0" w:afterLines="0" w:line="360" w:lineRule="auto"/>
        <w:ind w:firstLine="0" w:firstLineChars="0"/>
        <w:rPr>
          <w:b/>
          <w:bCs/>
          <w:sz w:val="24"/>
        </w:rPr>
      </w:pPr>
      <w:r>
        <w:rPr>
          <w:b/>
          <w:bCs/>
          <w:sz w:val="24"/>
        </w:rPr>
        <w:t>#Corresponding authors:</w:t>
      </w:r>
    </w:p>
    <w:p w14:paraId="0B4AC71E">
      <w:pPr>
        <w:spacing w:after="0" w:afterLines="0" w:line="360" w:lineRule="auto"/>
        <w:ind w:firstLine="0" w:firstLineChars="0"/>
        <w:rPr>
          <w:sz w:val="24"/>
        </w:rPr>
      </w:pPr>
      <w:r>
        <w:rPr>
          <w:sz w:val="24"/>
        </w:rPr>
        <w:t>Miao Xu, Department of Hematology, Qilu Hospital of Shandong University, Jinan, 250012, China</w:t>
      </w:r>
      <w:r>
        <w:rPr>
          <w:rFonts w:hint="eastAsia"/>
          <w:sz w:val="24"/>
        </w:rPr>
        <w:t xml:space="preserve">; e-mail: </w:t>
      </w:r>
      <w:r>
        <w:rPr>
          <w:sz w:val="24"/>
        </w:rPr>
        <w:t>miao.xu@sdu.edu.cn</w:t>
      </w:r>
      <w:r>
        <w:rPr>
          <w:rFonts w:hint="eastAsia"/>
          <w:sz w:val="24"/>
        </w:rPr>
        <w:t xml:space="preserve">; phone number: </w:t>
      </w:r>
      <w:r>
        <w:rPr>
          <w:rFonts w:hint="eastAsia"/>
          <w:sz w:val="24"/>
          <w:lang w:val="en-US" w:eastAsia="zh-CN"/>
        </w:rPr>
        <w:t>86</w:t>
      </w:r>
      <w:r>
        <w:rPr>
          <w:rFonts w:hint="eastAsia"/>
          <w:sz w:val="24"/>
          <w:highlight w:val="none"/>
        </w:rPr>
        <w:t>18560088665</w:t>
      </w:r>
    </w:p>
    <w:p w14:paraId="25E7B84F">
      <w:pPr>
        <w:spacing w:after="0" w:afterLines="0" w:line="360" w:lineRule="auto"/>
        <w:ind w:firstLine="0" w:firstLineChars="0"/>
        <w:rPr>
          <w:sz w:val="24"/>
          <w:highlight w:val="none"/>
        </w:rPr>
      </w:pPr>
      <w:r>
        <w:rPr>
          <w:sz w:val="24"/>
        </w:rPr>
        <w:t>Jun Peng, Department of Hematology, Qilu Hospital of Shandong University, Jinan, 250012, China</w:t>
      </w:r>
      <w:r>
        <w:rPr>
          <w:rFonts w:hint="eastAsia"/>
          <w:sz w:val="24"/>
        </w:rPr>
        <w:t xml:space="preserve">; e-mail: </w:t>
      </w:r>
      <w:r>
        <w:rPr>
          <w:sz w:val="24"/>
        </w:rPr>
        <w:t>junpeng88@sina.com.cn</w:t>
      </w:r>
      <w:r>
        <w:rPr>
          <w:rFonts w:hint="eastAsia"/>
          <w:sz w:val="24"/>
        </w:rPr>
        <w:t xml:space="preserve">; phone number: </w:t>
      </w:r>
      <w:r>
        <w:rPr>
          <w:rFonts w:hint="eastAsia"/>
          <w:sz w:val="24"/>
          <w:lang w:val="en-US" w:eastAsia="zh-CN"/>
        </w:rPr>
        <w:t>86</w:t>
      </w:r>
      <w:r>
        <w:rPr>
          <w:rFonts w:hint="eastAsia"/>
          <w:sz w:val="24"/>
          <w:highlight w:val="none"/>
        </w:rPr>
        <w:t>18560087005</w:t>
      </w:r>
    </w:p>
    <w:p w14:paraId="48D0CC54">
      <w:pPr>
        <w:spacing w:after="0" w:afterLines="0" w:line="360" w:lineRule="auto"/>
        <w:ind w:firstLine="0" w:firstLineChars="0"/>
        <w:rPr>
          <w:sz w:val="24"/>
          <w:highlight w:val="yellow"/>
        </w:rPr>
      </w:pPr>
    </w:p>
    <w:p w14:paraId="4CB46436">
      <w:pPr>
        <w:spacing w:after="0" w:afterLines="0" w:line="360" w:lineRule="auto"/>
        <w:ind w:firstLine="0" w:firstLineChars="0"/>
        <w:rPr>
          <w:b/>
          <w:bCs/>
          <w:sz w:val="24"/>
        </w:rPr>
      </w:pPr>
      <w:r>
        <w:rPr>
          <w:rFonts w:hint="eastAsia"/>
          <w:b/>
          <w:bCs/>
          <w:sz w:val="24"/>
        </w:rPr>
        <w:t>Data Sharing Statement</w:t>
      </w:r>
    </w:p>
    <w:p w14:paraId="1C945805">
      <w:pPr>
        <w:spacing w:after="0" w:afterLines="0" w:line="360" w:lineRule="auto"/>
        <w:ind w:firstLine="0" w:firstLineChars="0"/>
        <w:rPr>
          <w:sz w:val="24"/>
        </w:rPr>
      </w:pPr>
      <w:r>
        <w:rPr>
          <w:sz w:val="24"/>
        </w:rPr>
        <w:t>The data presented in this study will be available from the corresponding author on reasonable request and provided all regulatory and privacy requirements are fulf</w:t>
      </w:r>
      <w:r>
        <w:rPr>
          <w:rFonts w:hint="eastAsia"/>
          <w:sz w:val="24"/>
        </w:rPr>
        <w:t>i</w:t>
      </w:r>
      <w:r>
        <w:rPr>
          <w:sz w:val="24"/>
        </w:rPr>
        <w:t>lled.</w:t>
      </w:r>
    </w:p>
    <w:p w14:paraId="7DC4190E">
      <w:pPr>
        <w:spacing w:after="0" w:afterLines="0" w:line="360" w:lineRule="auto"/>
        <w:ind w:firstLine="0" w:firstLineChars="0"/>
        <w:rPr>
          <w:rFonts w:hint="eastAsia"/>
          <w:sz w:val="24"/>
        </w:rPr>
      </w:pPr>
    </w:p>
    <w:p w14:paraId="0940971A">
      <w:pPr>
        <w:spacing w:after="0" w:afterLines="0" w:line="360" w:lineRule="auto"/>
        <w:ind w:firstLine="0" w:firstLineChars="0"/>
        <w:rPr>
          <w:rFonts w:hint="eastAsia"/>
          <w:sz w:val="24"/>
        </w:rPr>
      </w:pPr>
      <w:r>
        <w:rPr>
          <w:rFonts w:hint="eastAsia"/>
          <w:sz w:val="24"/>
        </w:rPr>
        <w:t>Text word count：4</w:t>
      </w:r>
      <w:r>
        <w:rPr>
          <w:rFonts w:hint="eastAsia"/>
          <w:sz w:val="24"/>
          <w:lang w:val="en-US" w:eastAsia="zh-CN"/>
        </w:rPr>
        <w:t>069</w:t>
      </w:r>
      <w:r>
        <w:rPr>
          <w:rFonts w:hint="eastAsia"/>
          <w:sz w:val="24"/>
        </w:rPr>
        <w:t xml:space="preserve"> </w:t>
      </w:r>
    </w:p>
    <w:p w14:paraId="2C609989">
      <w:pPr>
        <w:spacing w:after="0" w:afterLines="0" w:line="360" w:lineRule="auto"/>
        <w:ind w:firstLine="0" w:firstLineChars="0"/>
        <w:rPr>
          <w:rFonts w:hint="default" w:eastAsia="宋体"/>
          <w:sz w:val="24"/>
          <w:lang w:val="en-US" w:eastAsia="zh-CN"/>
        </w:rPr>
      </w:pPr>
      <w:r>
        <w:rPr>
          <w:rFonts w:hint="eastAsia"/>
          <w:sz w:val="24"/>
          <w:lang w:val="en-US" w:eastAsia="zh-CN"/>
        </w:rPr>
        <w:t>Abstract word count: 250</w:t>
      </w:r>
    </w:p>
    <w:p w14:paraId="371C6841">
      <w:pPr>
        <w:spacing w:after="0" w:afterLines="0" w:line="360" w:lineRule="auto"/>
        <w:ind w:firstLine="0" w:firstLineChars="0"/>
        <w:rPr>
          <w:sz w:val="24"/>
        </w:rPr>
      </w:pPr>
      <w:r>
        <w:rPr>
          <w:rFonts w:hint="eastAsia"/>
          <w:sz w:val="24"/>
        </w:rPr>
        <w:t>Figure count: 4</w:t>
      </w:r>
    </w:p>
    <w:p w14:paraId="511EAFC7">
      <w:pPr>
        <w:spacing w:after="0" w:afterLines="0" w:line="360" w:lineRule="auto"/>
        <w:ind w:firstLine="0" w:firstLineChars="0"/>
        <w:rPr>
          <w:sz w:val="24"/>
        </w:rPr>
      </w:pPr>
      <w:r>
        <w:rPr>
          <w:rFonts w:hint="eastAsia"/>
          <w:sz w:val="24"/>
        </w:rPr>
        <w:t xml:space="preserve">Table count: </w:t>
      </w:r>
      <w:r>
        <w:rPr>
          <w:rFonts w:hint="eastAsia"/>
          <w:sz w:val="24"/>
          <w:lang w:val="en-US" w:eastAsia="zh-CN"/>
        </w:rPr>
        <w:t>9</w:t>
      </w:r>
    </w:p>
    <w:p w14:paraId="5A374D3E">
      <w:pPr>
        <w:spacing w:after="0" w:afterLines="0" w:line="360" w:lineRule="auto"/>
        <w:ind w:firstLine="0" w:firstLineChars="0"/>
        <w:outlineLvl w:val="9"/>
        <w:rPr>
          <w:rFonts w:hint="eastAsia"/>
          <w:b/>
          <w:bCs/>
          <w:sz w:val="24"/>
        </w:rPr>
      </w:pPr>
      <w:r>
        <w:rPr>
          <w:rFonts w:hint="eastAsia"/>
          <w:sz w:val="24"/>
        </w:rPr>
        <w:t xml:space="preserve">References: </w:t>
      </w:r>
      <w:r>
        <w:rPr>
          <w:rFonts w:hint="eastAsia"/>
          <w:sz w:val="24"/>
          <w:lang w:val="en-US" w:eastAsia="zh-CN"/>
        </w:rPr>
        <w:t>25</w:t>
      </w:r>
      <w:r>
        <w:rPr>
          <w:rFonts w:hint="eastAsia"/>
          <w:b/>
          <w:bCs/>
          <w:sz w:val="24"/>
        </w:rPr>
        <w:br w:type="page"/>
      </w:r>
    </w:p>
    <w:p w14:paraId="665358EC">
      <w:pPr>
        <w:spacing w:after="0" w:afterLines="0"/>
        <w:ind w:firstLine="0" w:firstLineChars="0"/>
        <w:outlineLvl w:val="0"/>
        <w:rPr>
          <w:b/>
          <w:bCs/>
          <w:sz w:val="24"/>
        </w:rPr>
      </w:pPr>
      <w:r>
        <w:rPr>
          <w:rFonts w:hint="eastAsia"/>
          <w:b/>
          <w:bCs/>
          <w:sz w:val="24"/>
        </w:rPr>
        <w:t>Key points</w:t>
      </w:r>
    </w:p>
    <w:p w14:paraId="64439DBD">
      <w:pPr>
        <w:numPr>
          <w:ilvl w:val="0"/>
          <w:numId w:val="1"/>
        </w:numPr>
        <w:spacing w:after="0" w:afterLines="0"/>
        <w:ind w:firstLineChars="0"/>
        <w:rPr>
          <w:sz w:val="24"/>
        </w:rPr>
      </w:pPr>
      <w:r>
        <w:rPr>
          <w:rFonts w:hint="eastAsia"/>
          <w:sz w:val="24"/>
        </w:rPr>
        <w:t xml:space="preserve">LASSO-SHAP model combining TAT, TM, tPAIC, PIC, and ATIII showed robust predictive performance for overt-DIC, prioritizing TAT and ATIII. </w:t>
      </w:r>
    </w:p>
    <w:p w14:paraId="0B4AC724">
      <w:pPr>
        <w:numPr>
          <w:ilvl w:val="0"/>
          <w:numId w:val="1"/>
        </w:numPr>
        <w:ind w:firstLineChars="0"/>
        <w:rPr>
          <w:sz w:val="24"/>
        </w:rPr>
      </w:pPr>
      <w:r>
        <w:rPr>
          <w:rFonts w:hint="eastAsia"/>
          <w:sz w:val="24"/>
        </w:rPr>
        <w:t>Elevated TAT/ATIII ratio identifie</w:t>
      </w:r>
      <w:r>
        <w:rPr>
          <w:rFonts w:hint="eastAsia"/>
          <w:sz w:val="24"/>
          <w:lang w:val="en-US" w:eastAsia="zh-CN"/>
        </w:rPr>
        <w:t>d</w:t>
      </w:r>
      <w:r>
        <w:rPr>
          <w:rFonts w:hint="eastAsia"/>
          <w:sz w:val="24"/>
        </w:rPr>
        <w:t xml:space="preserve"> early DIC risk in patients with low ISTH-DIC scores, enabling timely intervention to avert progression.</w:t>
      </w:r>
    </w:p>
    <w:p w14:paraId="458D8F02">
      <w:pPr>
        <w:spacing w:after="0" w:afterLines="0"/>
        <w:ind w:firstLine="0" w:firstLineChars="0"/>
        <w:outlineLvl w:val="0"/>
        <w:rPr>
          <w:color w:val="000000"/>
          <w:sz w:val="24"/>
          <w:szCs w:val="24"/>
          <w:lang w:bidi="ar"/>
        </w:rPr>
      </w:pPr>
      <w:r>
        <w:rPr>
          <w:rFonts w:hint="eastAsia"/>
          <w:b/>
          <w:bCs/>
          <w:color w:val="000000"/>
          <w:sz w:val="24"/>
          <w:szCs w:val="24"/>
          <w:lang w:bidi="ar"/>
        </w:rPr>
        <w:t>Abstract</w:t>
      </w:r>
    </w:p>
    <w:p w14:paraId="568456FB">
      <w:pPr>
        <w:numPr>
          <w:ilvl w:val="255"/>
          <w:numId w:val="0"/>
        </w:numPr>
        <w:rPr>
          <w:sz w:val="24"/>
        </w:rPr>
      </w:pPr>
      <w:r>
        <w:rPr>
          <w:rFonts w:hint="eastAsia"/>
          <w:sz w:val="24"/>
        </w:rPr>
        <w:t xml:space="preserve">Disseminated intravascular coagulation (DIC), a life-threatening condition marked by coagulation activation and consumptive coagulopathy, is often diagnosed late using conventional criteria. We developed an explainable machine learning model integrating thrombin-antithrombin complex (TAT), thrombomodulin (TM), tissue plasminogen activator inhibitor complex (tPAIC), </w:t>
      </w:r>
      <w:r>
        <w:rPr>
          <w:sz w:val="24"/>
        </w:rPr>
        <w:t>α</w:t>
      </w:r>
      <w:r>
        <w:rPr>
          <w:sz w:val="24"/>
          <w:vertAlign w:val="subscript"/>
        </w:rPr>
        <w:t>2</w:t>
      </w:r>
      <w:r>
        <w:rPr>
          <w:rFonts w:hint="eastAsia"/>
          <w:sz w:val="24"/>
        </w:rPr>
        <w:t xml:space="preserve">-plasmin inhibitor plasmin complex (PIC), and antithrombin III (ATIII) to enable earlier diagnosis. A retrospective study of ICU patients at Qilu Hospital (2021-2022) analyzed hemostatic biomarkers and coagulation </w:t>
      </w:r>
      <w:r>
        <w:rPr>
          <w:rFonts w:hint="eastAsia"/>
          <w:sz w:val="24"/>
          <w:lang w:eastAsia="zh-CN"/>
        </w:rPr>
        <w:t>series</w:t>
      </w:r>
      <w:r>
        <w:rPr>
          <w:rFonts w:hint="eastAsia"/>
          <w:sz w:val="24"/>
        </w:rPr>
        <w:t>. The training cohort included 451 patients (101 overt-DIC, 350 non-overt DIC), and the validation cohort included 282 patients (118 overt-DIC, 164 non-overt DIC). Spearman</w:t>
      </w:r>
      <w:r>
        <w:rPr>
          <w:sz w:val="24"/>
        </w:rPr>
        <w:t>’</w:t>
      </w:r>
      <w:r>
        <w:rPr>
          <w:rFonts w:hint="eastAsia"/>
          <w:sz w:val="24"/>
        </w:rPr>
        <w:t>s correlation, least absolute shrinkage and selection operator (LASSO)-logistic regression, receiver operating characteristic (ROC) analysis, and (SHapley Additive exPlanations) SHAP were used to construct and interpret predictive models. Overt-DIC patients exhibited elevated TAT, TM, tPAIC, PIC, and TAT/ATIII ratio but reduced ATIII activity compared to non-overt DIC (</w:t>
      </w:r>
      <w:r>
        <w:rPr>
          <w:rFonts w:hint="eastAsia"/>
          <w:i/>
          <w:iCs/>
          <w:sz w:val="24"/>
        </w:rPr>
        <w:t>P</w:t>
      </w:r>
      <w:r>
        <w:rPr>
          <w:rFonts w:hint="eastAsia"/>
          <w:sz w:val="24"/>
        </w:rPr>
        <w:t>&lt;0.05). Similar trends distinguished pre-DIC from non-DIC. The TAT/ATIII ratio outperformed individual markers but was less predictive than their combination. LASSO-logistic models incorporating TAT, TM, tPAIC, PIC, and ATIII achieved external validation AUCs of 0.930 (diagnosis), 0.803 (7-day prediction), and 0.780 (3-day prediction) for overt-DIC. SHAP analysis highlighted TAT and ATIII as top contributors. Combining TAT, TM, tPAIC, PIC, and ATIII enhance</w:t>
      </w:r>
      <w:r>
        <w:rPr>
          <w:rFonts w:hint="eastAsia"/>
          <w:sz w:val="24"/>
          <w:lang w:val="en-US" w:eastAsia="zh-CN"/>
        </w:rPr>
        <w:t>d</w:t>
      </w:r>
      <w:r>
        <w:rPr>
          <w:rFonts w:hint="eastAsia"/>
          <w:sz w:val="24"/>
        </w:rPr>
        <w:t xml:space="preserve"> early DIC detection. The TAT/ATIII ratio is a valuable diagnostic derivative, particularly in patients with low International Society on Thrombosis and Haemostasis (ISTH)-DIC scores, signaling need for early intervention. Our interpretable LASSO-SHAP model offers a transformative framework for anticipatory DIC management, prioritizing biomarker-driven thresholds to prevent progression to overt-DIC.  </w:t>
      </w:r>
    </w:p>
    <w:p w14:paraId="74847BAA">
      <w:pPr>
        <w:spacing w:after="0" w:afterLines="0"/>
        <w:ind w:firstLine="0" w:firstLineChars="0"/>
        <w:rPr>
          <w:b/>
          <w:bCs/>
          <w:sz w:val="24"/>
        </w:rPr>
      </w:pPr>
      <w:r>
        <w:rPr>
          <w:b/>
          <w:bCs/>
          <w:sz w:val="24"/>
        </w:rPr>
        <w:br w:type="page"/>
      </w:r>
    </w:p>
    <w:p w14:paraId="0B4AC72E">
      <w:pPr>
        <w:spacing w:after="0" w:afterLines="0"/>
        <w:ind w:firstLine="0" w:firstLineChars="0"/>
        <w:outlineLvl w:val="0"/>
        <w:rPr>
          <w:b/>
          <w:bCs/>
          <w:sz w:val="28"/>
          <w:szCs w:val="21"/>
        </w:rPr>
      </w:pPr>
      <w:r>
        <w:rPr>
          <w:b/>
          <w:bCs/>
          <w:sz w:val="28"/>
          <w:szCs w:val="21"/>
        </w:rPr>
        <w:t>Introduction</w:t>
      </w:r>
    </w:p>
    <w:p w14:paraId="0B4AC72F">
      <w:pPr>
        <w:spacing w:after="0" w:afterLines="0"/>
        <w:rPr>
          <w:sz w:val="24"/>
        </w:rPr>
      </w:pPr>
      <w:r>
        <w:rPr>
          <w:sz w:val="24"/>
        </w:rPr>
        <w:t>Disseminated intravascular coagulation (DIC) is a critical, dynamically evolving condition at the intersection of thrombosis and hemorrhage, manifesting as a secondary complication to various underlying disorders like sepsis, malignancy, trauma, surgery, and obstetrical complications, etc</w:t>
      </w:r>
      <w:r>
        <w:rPr>
          <w:rStyle w:val="11"/>
          <w:color w:val="000000" w:themeColor="text1"/>
          <w:sz w:val="24"/>
          <w14:textFill>
            <w14:solidFill>
              <w14:schemeClr w14:val="tx1"/>
            </w14:solidFill>
          </w14:textFill>
        </w:rPr>
        <w:endnoteReference w:id="0"/>
      </w:r>
      <w:r>
        <w:rPr>
          <w:sz w:val="24"/>
        </w:rPr>
        <w:t>. Characterized by the widespread coagulation activation and microthrombi formation within the microvasculature, DIC results from a</w:t>
      </w:r>
      <w:r>
        <w:rPr>
          <w:rFonts w:hint="eastAsia"/>
          <w:sz w:val="24"/>
        </w:rPr>
        <w:t>n</w:t>
      </w:r>
      <w:r>
        <w:rPr>
          <w:sz w:val="24"/>
        </w:rPr>
        <w:t xml:space="preserve"> </w:t>
      </w:r>
      <w:r>
        <w:rPr>
          <w:rFonts w:hint="eastAsia"/>
          <w:sz w:val="24"/>
        </w:rPr>
        <w:t>abnormal</w:t>
      </w:r>
      <w:r>
        <w:rPr>
          <w:sz w:val="24"/>
        </w:rPr>
        <w:t xml:space="preserve"> interplay of procoagulant, anticoagulant, and fibrinolytic factors</w:t>
      </w:r>
      <w:r>
        <w:rPr>
          <w:rStyle w:val="11"/>
          <w:color w:val="000000" w:themeColor="text1"/>
          <w:sz w:val="24"/>
          <w14:textFill>
            <w14:solidFill>
              <w14:schemeClr w14:val="tx1"/>
            </w14:solidFill>
          </w14:textFill>
        </w:rPr>
        <w:endnoteReference w:id="1"/>
      </w:r>
      <w:r>
        <w:rPr>
          <w:sz w:val="24"/>
        </w:rPr>
        <w:t xml:space="preserve">. The natural course is activation of </w:t>
      </w:r>
      <w:r>
        <w:rPr>
          <w:rFonts w:hint="eastAsia"/>
          <w:sz w:val="24"/>
        </w:rPr>
        <w:t>the</w:t>
      </w:r>
      <w:r>
        <w:rPr>
          <w:sz w:val="24"/>
        </w:rPr>
        <w:t xml:space="preserve"> coagulation pathway (optimal anticoagulation time), microthrombosis, consumptive hypocoagulation phase, and hyperfibrinolysis</w:t>
      </w:r>
      <w:bookmarkStart w:id="1" w:name="_Ref14349"/>
      <w:r>
        <w:rPr>
          <w:rStyle w:val="11"/>
          <w:color w:val="000000" w:themeColor="text1"/>
          <w:sz w:val="24"/>
          <w14:textFill>
            <w14:solidFill>
              <w14:schemeClr w14:val="tx1"/>
            </w14:solidFill>
          </w14:textFill>
        </w:rPr>
        <w:endnoteReference w:id="2"/>
      </w:r>
      <w:bookmarkEnd w:id="1"/>
      <w:r>
        <w:rPr>
          <w:sz w:val="24"/>
        </w:rPr>
        <w:t>. The subsequent organ dysfunction and failure significantly increase morbidity and mortality (ranging from 31% to 86%),</w:t>
      </w:r>
      <w:bookmarkStart w:id="2" w:name="_Ref13618"/>
      <w:r>
        <w:rPr>
          <w:sz w:val="24"/>
        </w:rPr>
        <w:t xml:space="preserve"> highlighting the urgency for precise and early diagnostic tools</w:t>
      </w:r>
      <w:bookmarkStart w:id="3" w:name="_Ref16743"/>
      <w:r>
        <w:rPr>
          <w:rStyle w:val="11"/>
          <w:color w:val="000000" w:themeColor="text1"/>
          <w:sz w:val="24"/>
          <w14:textFill>
            <w14:solidFill>
              <w14:schemeClr w14:val="tx1"/>
            </w14:solidFill>
          </w14:textFill>
        </w:rPr>
        <w:endnoteReference w:id="3"/>
      </w:r>
      <w:bookmarkEnd w:id="3"/>
      <w:r>
        <w:rPr>
          <w:sz w:val="24"/>
        </w:rPr>
        <w:t>.</w:t>
      </w:r>
      <w:bookmarkEnd w:id="2"/>
    </w:p>
    <w:p w14:paraId="0B4AC730">
      <w:pPr>
        <w:spacing w:after="0" w:afterLines="0"/>
        <w:rPr>
          <w:sz w:val="24"/>
        </w:rPr>
      </w:pPr>
      <w:r>
        <w:rPr>
          <w:sz w:val="24"/>
        </w:rPr>
        <w:t>Current diagnostic frameworks, such as the International Society on Thrombosis and Haemostasis (ISTH) criteria</w:t>
      </w:r>
      <w:r>
        <w:rPr>
          <w:rFonts w:hint="eastAsia"/>
          <w:sz w:val="24"/>
        </w:rPr>
        <w:t xml:space="preserve"> for DIC</w:t>
      </w:r>
      <w:r>
        <w:rPr>
          <w:sz w:val="24"/>
        </w:rPr>
        <w:t>, rely heavily on clinical judgment, and the consumption of clotting factors and platelets, which typically become discernible only in the later stages or irreversible phase of DIC</w:t>
      </w:r>
      <w:r>
        <w:rPr>
          <w:sz w:val="24"/>
        </w:rPr>
        <w:fldChar w:fldCharType="begin"/>
      </w:r>
      <w:r>
        <w:rPr>
          <w:sz w:val="24"/>
        </w:rPr>
        <w:instrText xml:space="preserve"> NOTEREF _Ref14349 \f \h </w:instrText>
      </w:r>
      <w:r>
        <w:rPr>
          <w:sz w:val="24"/>
        </w:rPr>
        <w:fldChar w:fldCharType="separate"/>
      </w:r>
      <w:r>
        <w:rPr>
          <w:sz w:val="24"/>
          <w:vertAlign w:val="superscript"/>
        </w:rPr>
        <w:t>3</w:t>
      </w:r>
      <w:r>
        <w:rPr>
          <w:sz w:val="24"/>
        </w:rPr>
        <w:fldChar w:fldCharType="end"/>
      </w:r>
      <w:r>
        <w:rPr>
          <w:sz w:val="24"/>
          <w:vertAlign w:val="superscript"/>
        </w:rPr>
        <w:t>,</w:t>
      </w:r>
      <w:r>
        <w:rPr>
          <w:rStyle w:val="11"/>
          <w:color w:val="000000" w:themeColor="text1"/>
          <w:sz w:val="24"/>
          <w14:textFill>
            <w14:solidFill>
              <w14:schemeClr w14:val="tx1"/>
            </w14:solidFill>
          </w14:textFill>
        </w:rPr>
        <w:endnoteReference w:id="4"/>
      </w:r>
      <w:r>
        <w:rPr>
          <w:sz w:val="24"/>
          <w:vertAlign w:val="superscript"/>
        </w:rPr>
        <w:t>-</w:t>
      </w:r>
      <w:r>
        <w:rPr>
          <w:rStyle w:val="11"/>
          <w:vanish/>
          <w:color w:val="000000" w:themeColor="text1"/>
          <w:sz w:val="24"/>
          <w14:textFill>
            <w14:solidFill>
              <w14:schemeClr w14:val="tx1"/>
            </w14:solidFill>
          </w14:textFill>
        </w:rPr>
        <w:endnoteReference w:id="5"/>
      </w:r>
      <w:r>
        <w:rPr>
          <w:rStyle w:val="11"/>
          <w:vanish/>
          <w:color w:val="000000" w:themeColor="text1"/>
          <w:sz w:val="24"/>
          <w14:textFill>
            <w14:solidFill>
              <w14:schemeClr w14:val="tx1"/>
            </w14:solidFill>
          </w14:textFill>
        </w:rPr>
        <w:endnoteReference w:id="6"/>
      </w:r>
      <w:r>
        <w:rPr>
          <w:rStyle w:val="11"/>
          <w:vanish/>
          <w:color w:val="000000" w:themeColor="text1"/>
          <w:sz w:val="24"/>
          <w14:textFill>
            <w14:solidFill>
              <w14:schemeClr w14:val="tx1"/>
            </w14:solidFill>
          </w14:textFill>
        </w:rPr>
        <w:endnoteReference w:id="7"/>
      </w:r>
      <w:r>
        <w:rPr>
          <w:rStyle w:val="11"/>
          <w:color w:val="000000" w:themeColor="text1"/>
          <w:sz w:val="24"/>
          <w14:textFill>
            <w14:solidFill>
              <w14:schemeClr w14:val="tx1"/>
            </w14:solidFill>
          </w14:textFill>
        </w:rPr>
        <w:endnoteReference w:id="8"/>
      </w:r>
      <w:r>
        <w:rPr>
          <w:sz w:val="24"/>
        </w:rPr>
        <w:t>. In practical clinical scenarios, the identification of DIC frequently occurs after patients have progressed to a state of irreversible deterioration, thereby yielding suboptimal therapeutic responses</w:t>
      </w:r>
      <w:bookmarkStart w:id="4" w:name="_Ref15440"/>
      <w:r>
        <w:rPr>
          <w:rStyle w:val="11"/>
          <w:color w:val="000000" w:themeColor="text1"/>
          <w:sz w:val="24"/>
          <w14:textFill>
            <w14:solidFill>
              <w14:schemeClr w14:val="tx1"/>
            </w14:solidFill>
          </w14:textFill>
        </w:rPr>
        <w:endnoteReference w:id="9"/>
      </w:r>
      <w:bookmarkEnd w:id="4"/>
      <w:r>
        <w:rPr>
          <w:sz w:val="24"/>
        </w:rPr>
        <w:t>. Consequently, the precise and timely diagnosis of DIC is critical for initiating early interventions that may improve patient prognosis and clinical outcomes</w:t>
      </w:r>
      <w:bookmarkStart w:id="5" w:name="_Ref28764"/>
      <w:r>
        <w:rPr>
          <w:rStyle w:val="11"/>
          <w:sz w:val="24"/>
        </w:rPr>
        <w:endnoteReference w:id="10"/>
      </w:r>
      <w:bookmarkEnd w:id="5"/>
      <w:r>
        <w:rPr>
          <w:sz w:val="24"/>
        </w:rPr>
        <w:t>.</w:t>
      </w:r>
    </w:p>
    <w:p w14:paraId="0B4AC731">
      <w:pPr>
        <w:spacing w:after="0" w:afterLines="0"/>
        <w:rPr>
          <w:sz w:val="24"/>
          <w:vertAlign w:val="superscript"/>
        </w:rPr>
      </w:pPr>
      <w:r>
        <w:rPr>
          <w:sz w:val="24"/>
          <w:lang w:val="en-CA"/>
        </w:rPr>
        <w:t>Emerging research into hemostatic biomarkers presents a novel pathway for early</w:t>
      </w:r>
      <w:r>
        <w:rPr>
          <w:sz w:val="24"/>
        </w:rPr>
        <w:t xml:space="preserve"> </w:t>
      </w:r>
      <w:r>
        <w:rPr>
          <w:sz w:val="24"/>
          <w:lang w:val="en-CA"/>
        </w:rPr>
        <w:t>DIC detection</w:t>
      </w:r>
      <w:r>
        <w:rPr>
          <w:rStyle w:val="11"/>
          <w:color w:val="000000" w:themeColor="text1"/>
          <w:sz w:val="24"/>
          <w:lang w:val="en-CA"/>
          <w14:textFill>
            <w14:solidFill>
              <w14:schemeClr w14:val="tx1"/>
            </w14:solidFill>
          </w14:textFill>
        </w:rPr>
        <w:endnoteReference w:id="11"/>
      </w:r>
      <w:r>
        <w:rPr>
          <w:sz w:val="24"/>
          <w:lang w:val="en-CA"/>
        </w:rPr>
        <w:t>.</w:t>
      </w:r>
      <w:r>
        <w:rPr>
          <w:sz w:val="24"/>
        </w:rPr>
        <w:t xml:space="preserve"> Although </w:t>
      </w:r>
      <w:r>
        <w:rPr>
          <w:sz w:val="24"/>
          <w:lang w:val="en-CA"/>
        </w:rPr>
        <w:t>hemostatic</w:t>
      </w:r>
      <w:r>
        <w:rPr>
          <w:sz w:val="24"/>
        </w:rPr>
        <w:t xml:space="preserve"> biomarkers had been recognized for the diagnostic value in pre-DIC conditions, standardized </w:t>
      </w:r>
      <w:r>
        <w:rPr>
          <w:sz w:val="24"/>
          <w:lang w:val="en-CA"/>
        </w:rPr>
        <w:t>hemostatic</w:t>
      </w:r>
      <w:r>
        <w:rPr>
          <w:sz w:val="24"/>
        </w:rPr>
        <w:t xml:space="preserve"> biomarker use for early DIC diagnosis remains unclear. Factors such as limited sample size and lack of validation sets highlight the need for a </w:t>
      </w:r>
      <w:r>
        <w:rPr>
          <w:sz w:val="24"/>
          <w:lang w:val="en-CA"/>
        </w:rPr>
        <w:t>comprehensive investigation</w:t>
      </w:r>
      <w:r>
        <w:rPr>
          <w:sz w:val="24"/>
        </w:rPr>
        <w:t xml:space="preserve"> of their predictive capability for overt-DIC and their exact role in the diagnosis of DIC</w:t>
      </w:r>
      <w:r>
        <w:rPr>
          <w:rStyle w:val="11"/>
          <w:color w:val="000000" w:themeColor="text1"/>
          <w:sz w:val="24"/>
          <w14:textFill>
            <w14:solidFill>
              <w14:schemeClr w14:val="tx1"/>
            </w14:solidFill>
          </w14:textFill>
        </w:rPr>
        <w:endnoteReference w:id="12"/>
      </w:r>
      <w:r>
        <w:rPr>
          <w:sz w:val="24"/>
          <w:vertAlign w:val="superscript"/>
        </w:rPr>
        <w:t>-</w:t>
      </w:r>
      <w:r>
        <w:rPr>
          <w:rStyle w:val="11"/>
          <w:vanish/>
          <w:color w:val="000000" w:themeColor="text1"/>
          <w:sz w:val="24"/>
          <w14:textFill>
            <w14:solidFill>
              <w14:schemeClr w14:val="tx1"/>
            </w14:solidFill>
          </w14:textFill>
        </w:rPr>
        <w:endnoteReference w:id="13"/>
      </w:r>
      <w:bookmarkStart w:id="6" w:name="_Ref16847"/>
      <w:r>
        <w:rPr>
          <w:rStyle w:val="11"/>
          <w:vanish/>
          <w:color w:val="000000" w:themeColor="text1"/>
          <w:sz w:val="24"/>
          <w14:textFill>
            <w14:solidFill>
              <w14:schemeClr w14:val="tx1"/>
            </w14:solidFill>
          </w14:textFill>
        </w:rPr>
        <w:endnoteReference w:id="14"/>
      </w:r>
      <w:bookmarkEnd w:id="6"/>
      <w:bookmarkStart w:id="7" w:name="_Ref15172"/>
      <w:r>
        <w:rPr>
          <w:rStyle w:val="11"/>
          <w:color w:val="000000" w:themeColor="text1"/>
          <w:sz w:val="24"/>
          <w14:textFill>
            <w14:solidFill>
              <w14:schemeClr w14:val="tx1"/>
            </w14:solidFill>
          </w14:textFill>
        </w:rPr>
        <w:endnoteReference w:id="15"/>
      </w:r>
      <w:bookmarkEnd w:id="7"/>
      <w:r>
        <w:rPr>
          <w:sz w:val="24"/>
          <w:lang w:val="en-CA"/>
        </w:rPr>
        <w:t>.</w:t>
      </w:r>
    </w:p>
    <w:p w14:paraId="0B4AC732">
      <w:pPr>
        <w:rPr>
          <w:rFonts w:asciiTheme="minorHAnsi" w:hAnsiTheme="minorHAnsi" w:eastAsiaTheme="minorEastAsia" w:cstheme="minorBidi"/>
          <w:kern w:val="2"/>
          <w:sz w:val="24"/>
          <w:szCs w:val="24"/>
        </w:rPr>
      </w:pPr>
      <w:r>
        <w:rPr>
          <w:sz w:val="24"/>
        </w:rPr>
        <w:t xml:space="preserve">The burgeoning field of machine learning (ML) </w:t>
      </w:r>
      <w:r>
        <w:rPr>
          <w:rFonts w:hint="eastAsia"/>
          <w:sz w:val="24"/>
        </w:rPr>
        <w:t>has</w:t>
      </w:r>
      <w:r>
        <w:rPr>
          <w:sz w:val="24"/>
        </w:rPr>
        <w:t xml:space="preserve"> offer</w:t>
      </w:r>
      <w:r>
        <w:rPr>
          <w:rFonts w:hint="eastAsia"/>
          <w:sz w:val="24"/>
        </w:rPr>
        <w:t>ed</w:t>
      </w:r>
      <w:r>
        <w:rPr>
          <w:sz w:val="24"/>
        </w:rPr>
        <w:t xml:space="preserve"> a </w:t>
      </w:r>
      <w:r>
        <w:rPr>
          <w:rFonts w:hint="eastAsia"/>
          <w:sz w:val="24"/>
        </w:rPr>
        <w:t>powerful</w:t>
      </w:r>
      <w:r>
        <w:rPr>
          <w:sz w:val="24"/>
        </w:rPr>
        <w:t xml:space="preserve"> </w:t>
      </w:r>
      <w:r>
        <w:rPr>
          <w:rFonts w:hint="eastAsia"/>
          <w:sz w:val="24"/>
        </w:rPr>
        <w:t>tool</w:t>
      </w:r>
      <w:r>
        <w:rPr>
          <w:sz w:val="24"/>
        </w:rPr>
        <w:t xml:space="preserve"> to </w:t>
      </w:r>
      <w:r>
        <w:rPr>
          <w:rFonts w:hint="eastAsia"/>
          <w:sz w:val="24"/>
        </w:rPr>
        <w:t>overcome</w:t>
      </w:r>
      <w:r>
        <w:rPr>
          <w:sz w:val="24"/>
        </w:rPr>
        <w:t xml:space="preserve"> traditional diagnostic limitations</w:t>
      </w:r>
      <w:r>
        <w:rPr>
          <w:rStyle w:val="11"/>
          <w:color w:val="000000" w:themeColor="text1"/>
          <w:sz w:val="24"/>
          <w14:textFill>
            <w14:solidFill>
              <w14:schemeClr w14:val="tx1"/>
            </w14:solidFill>
          </w14:textFill>
        </w:rPr>
        <w:endnoteReference w:id="16"/>
      </w:r>
      <w:r>
        <w:rPr>
          <w:sz w:val="24"/>
          <w:vertAlign w:val="superscript"/>
        </w:rPr>
        <w:t>,</w:t>
      </w:r>
      <w:r>
        <w:rPr>
          <w:rStyle w:val="11"/>
          <w:color w:val="000000" w:themeColor="text1"/>
          <w:sz w:val="24"/>
          <w14:textFill>
            <w14:solidFill>
              <w14:schemeClr w14:val="tx1"/>
            </w14:solidFill>
          </w14:textFill>
        </w:rPr>
        <w:endnoteReference w:id="17"/>
      </w:r>
      <w:r>
        <w:rPr>
          <w:sz w:val="24"/>
        </w:rPr>
        <w:t xml:space="preserve">. By training </w:t>
      </w:r>
      <w:r>
        <w:rPr>
          <w:rFonts w:hint="eastAsia"/>
          <w:sz w:val="24"/>
        </w:rPr>
        <w:t>and</w:t>
      </w:r>
      <w:r>
        <w:rPr>
          <w:sz w:val="24"/>
        </w:rPr>
        <w:t xml:space="preserve"> </w:t>
      </w:r>
      <w:r>
        <w:rPr>
          <w:rFonts w:hint="eastAsia"/>
          <w:sz w:val="24"/>
        </w:rPr>
        <w:t>validating</w:t>
      </w:r>
      <w:r>
        <w:rPr>
          <w:sz w:val="24"/>
        </w:rPr>
        <w:t xml:space="preserve"> ML </w:t>
      </w:r>
      <w:r>
        <w:rPr>
          <w:rFonts w:hint="eastAsia"/>
          <w:sz w:val="24"/>
        </w:rPr>
        <w:t>models</w:t>
      </w:r>
      <w:r>
        <w:rPr>
          <w:sz w:val="24"/>
        </w:rPr>
        <w:t xml:space="preserve"> encompassing patient demographics, clinical </w:t>
      </w:r>
      <w:r>
        <w:rPr>
          <w:rFonts w:hint="eastAsia"/>
          <w:sz w:val="24"/>
        </w:rPr>
        <w:t>information</w:t>
      </w:r>
      <w:r>
        <w:rPr>
          <w:sz w:val="24"/>
        </w:rPr>
        <w:t xml:space="preserve">, and hemostatic biomarkers, we posited the potential </w:t>
      </w:r>
      <w:r>
        <w:rPr>
          <w:rFonts w:hint="eastAsia"/>
          <w:sz w:val="24"/>
        </w:rPr>
        <w:t>of</w:t>
      </w:r>
      <w:r>
        <w:rPr>
          <w:sz w:val="24"/>
        </w:rPr>
        <w:t xml:space="preserve"> </w:t>
      </w:r>
      <w:r>
        <w:rPr>
          <w:rFonts w:hint="eastAsia"/>
          <w:sz w:val="24"/>
        </w:rPr>
        <w:t>hemostatic</w:t>
      </w:r>
      <w:r>
        <w:rPr>
          <w:sz w:val="24"/>
        </w:rPr>
        <w:t xml:space="preserve"> </w:t>
      </w:r>
      <w:r>
        <w:rPr>
          <w:rFonts w:hint="eastAsia"/>
          <w:sz w:val="24"/>
        </w:rPr>
        <w:t>biomarkers</w:t>
      </w:r>
      <w:r>
        <w:rPr>
          <w:sz w:val="24"/>
        </w:rPr>
        <w:t xml:space="preserve"> for a paradigm shift in the early detection of DIC. This approach not only promises enhanced diagnostic precision but also the opportunity for preemptive therapeutic interventions, potentially altering the clinical course of DIC and improving patient outcomes.</w:t>
      </w:r>
      <w:r>
        <w:rPr>
          <w:sz w:val="24"/>
        </w:rPr>
        <w:br w:type="textWrapping"/>
      </w:r>
      <w:r>
        <w:rPr>
          <w:sz w:val="24"/>
        </w:rPr>
        <w:t xml:space="preserve">    This study, therefore, seeks to bridge the critical diagnostic gap in early DIC through the innovative integration of machine learning with emerging hemostatic biomarkers. By elucidating the pathophysiological underpinnings of DIC and harnessing the predictive power of ML, we aim to unveil a diagnostic model that is both sensitive and specific for early DIC detection, paving the way for timely and targeted interventions.</w:t>
      </w:r>
    </w:p>
    <w:p w14:paraId="0B4AC733">
      <w:pPr>
        <w:spacing w:after="0" w:afterLines="0"/>
        <w:ind w:firstLine="0" w:firstLineChars="0"/>
        <w:outlineLvl w:val="0"/>
        <w:rPr>
          <w:b/>
          <w:bCs/>
          <w:sz w:val="28"/>
          <w:szCs w:val="21"/>
        </w:rPr>
      </w:pPr>
      <w:r>
        <w:rPr>
          <w:b/>
          <w:bCs/>
          <w:sz w:val="28"/>
          <w:szCs w:val="21"/>
        </w:rPr>
        <w:t>Methods</w:t>
      </w:r>
    </w:p>
    <w:p w14:paraId="0B4AC734">
      <w:pPr>
        <w:spacing w:after="0" w:afterLines="0"/>
        <w:ind w:firstLine="0" w:firstLineChars="0"/>
        <w:outlineLvl w:val="1"/>
        <w:rPr>
          <w:b/>
          <w:bCs/>
          <w:sz w:val="24"/>
        </w:rPr>
      </w:pPr>
      <w:r>
        <w:rPr>
          <w:b/>
          <w:bCs/>
          <w:sz w:val="24"/>
        </w:rPr>
        <w:t xml:space="preserve">Study design and patients </w:t>
      </w:r>
    </w:p>
    <w:p w14:paraId="0B4AC735">
      <w:pPr>
        <w:spacing w:after="0" w:afterLines="0"/>
        <w:rPr>
          <w:sz w:val="24"/>
        </w:rPr>
      </w:pPr>
      <w:r>
        <w:rPr>
          <w:sz w:val="24"/>
        </w:rPr>
        <w:t xml:space="preserve">We conducted this study based on ICU patients in Qilu Hospital of Shandong University (Jinan, China) who underwent hemostatic biomarker testing for assessment of coagulation abnormalities from January 2021 to December 2022. This study included patients with hemostatic biomarkers detected and </w:t>
      </w:r>
      <w:r>
        <w:rPr>
          <w:rFonts w:hint="eastAsia"/>
          <w:sz w:val="24"/>
        </w:rPr>
        <w:t>sufficient</w:t>
      </w:r>
      <w:r>
        <w:rPr>
          <w:sz w:val="24"/>
        </w:rPr>
        <w:t xml:space="preserve"> laboratory coagulation </w:t>
      </w:r>
      <w:r>
        <w:rPr>
          <w:rFonts w:hint="eastAsia"/>
          <w:sz w:val="24"/>
        </w:rPr>
        <w:t>result</w:t>
      </w:r>
      <w:r>
        <w:rPr>
          <w:sz w:val="24"/>
        </w:rPr>
        <w:t xml:space="preserve">s </w:t>
      </w:r>
      <w:r>
        <w:rPr>
          <w:rFonts w:hint="eastAsia"/>
          <w:sz w:val="24"/>
        </w:rPr>
        <w:t>to</w:t>
      </w:r>
      <w:r>
        <w:rPr>
          <w:sz w:val="24"/>
        </w:rPr>
        <w:t xml:space="preserve"> </w:t>
      </w:r>
      <w:r>
        <w:rPr>
          <w:rFonts w:hint="eastAsia"/>
          <w:sz w:val="24"/>
        </w:rPr>
        <w:t>guide</w:t>
      </w:r>
      <w:r>
        <w:rPr>
          <w:sz w:val="24"/>
        </w:rPr>
        <w:t xml:space="preserve"> DIC </w:t>
      </w:r>
      <w:r>
        <w:rPr>
          <w:rFonts w:hint="eastAsia"/>
          <w:sz w:val="24"/>
        </w:rPr>
        <w:t>grouping</w:t>
      </w:r>
      <w:r>
        <w:rPr>
          <w:sz w:val="24"/>
        </w:rPr>
        <w:t xml:space="preserve">. Exclusion criteria were: age &lt;18 years, pregnancy or lactation, primary hematologic diseases, decompensated liver cirrhosis, </w:t>
      </w:r>
      <w:r>
        <w:rPr>
          <w:rFonts w:hint="eastAsia"/>
          <w:sz w:val="24"/>
        </w:rPr>
        <w:t>a</w:t>
      </w:r>
      <w:r>
        <w:rPr>
          <w:sz w:val="24"/>
        </w:rPr>
        <w:t xml:space="preserve"> </w:t>
      </w:r>
      <w:r>
        <w:rPr>
          <w:rFonts w:hint="eastAsia"/>
          <w:sz w:val="24"/>
        </w:rPr>
        <w:t>history</w:t>
      </w:r>
      <w:r>
        <w:rPr>
          <w:sz w:val="24"/>
        </w:rPr>
        <w:t xml:space="preserve"> </w:t>
      </w:r>
      <w:r>
        <w:rPr>
          <w:rFonts w:hint="eastAsia"/>
          <w:sz w:val="24"/>
        </w:rPr>
        <w:t>of</w:t>
      </w:r>
      <w:r>
        <w:rPr>
          <w:sz w:val="24"/>
        </w:rPr>
        <w:t xml:space="preserve"> chemotherapy, heparin-induced thrombocytopenia, thrombotic thrombocytopenic purpura, and antiphospholipid syndrome. The training set comprised 451 comprehensive ICU patients while the validation set consisted of 282 patients from the Emergency ICU with equal disease admission capabilities (</w:t>
      </w:r>
      <w:r>
        <w:rPr>
          <w:rFonts w:hint="eastAsia"/>
          <w:sz w:val="24"/>
          <w:lang w:val="en-US" w:eastAsia="zh-CN"/>
        </w:rPr>
        <w:t xml:space="preserve">Table 1, </w:t>
      </w:r>
      <w:r>
        <w:rPr>
          <w:sz w:val="24"/>
        </w:rPr>
        <w:t>Figure 1).</w:t>
      </w:r>
    </w:p>
    <w:p w14:paraId="0B4AC736">
      <w:pPr>
        <w:spacing w:after="0" w:afterLines="0"/>
        <w:rPr>
          <w:sz w:val="24"/>
        </w:rPr>
      </w:pPr>
      <w:r>
        <w:rPr>
          <w:rStyle w:val="14"/>
          <w:color w:val="000000" w:themeColor="text1"/>
          <w:sz w:val="24"/>
          <w:szCs w:val="24"/>
          <w14:textFill>
            <w14:solidFill>
              <w14:schemeClr w14:val="tx1"/>
            </w14:solidFill>
          </w14:textFill>
        </w:rPr>
        <w:t xml:space="preserve">Hemostatic biomarkers evaluated in this study included TAT, TM, tPAIC, and PIC. The laboratory coagulation series comprised ATIII, prothrombin time (PT), fibrinogen (FIB), d-dimer (DDi), fibrinogen degradation products (FDP), and platelet count (PLT). The first detection of hemostatic biomarkers due to clinical assessment of coagulation abnormalities during hospitalization was considered the baseline time point (Day 0). </w:t>
      </w:r>
      <w:r>
        <w:rPr>
          <w:sz w:val="24"/>
        </w:rPr>
        <w:t xml:space="preserve">The DIC scores were calculated </w:t>
      </w:r>
      <w:r>
        <w:rPr>
          <w:rFonts w:hint="eastAsia"/>
          <w:sz w:val="24"/>
        </w:rPr>
        <w:t>by</w:t>
      </w:r>
      <w:r>
        <w:rPr>
          <w:sz w:val="24"/>
        </w:rPr>
        <w:t xml:space="preserve"> the diagnostic criteria outlined by the ISTH</w:t>
      </w:r>
      <w:r>
        <w:rPr>
          <w:sz w:val="24"/>
        </w:rPr>
        <w:fldChar w:fldCharType="begin"/>
      </w:r>
      <w:r>
        <w:rPr>
          <w:sz w:val="24"/>
        </w:rPr>
        <w:instrText xml:space="preserve"> NOTEREF _Ref14349 \f \h </w:instrText>
      </w:r>
      <w:r>
        <w:rPr>
          <w:sz w:val="24"/>
        </w:rPr>
        <w:fldChar w:fldCharType="separate"/>
      </w:r>
      <w:r>
        <w:rPr>
          <w:sz w:val="24"/>
          <w:vertAlign w:val="superscript"/>
        </w:rPr>
        <w:t>3</w:t>
      </w:r>
      <w:r>
        <w:rPr>
          <w:sz w:val="24"/>
        </w:rPr>
        <w:fldChar w:fldCharType="end"/>
      </w:r>
      <w:r>
        <w:rPr>
          <w:sz w:val="24"/>
        </w:rPr>
        <w:t>. Patients with ISTH-DIC scores ≥5 points on day 0 were diagnosed with overt-DIC, otherwise non-overt DIC. Pre-DIC were defined as those with scores &lt;5 on day 0 but with the presence of ≥</w:t>
      </w:r>
      <w:bookmarkStart w:id="8" w:name="OLE_LINK11"/>
      <w:r>
        <w:rPr>
          <w:sz w:val="24"/>
        </w:rPr>
        <w:t>5 within seven days.</w:t>
      </w:r>
      <w:bookmarkEnd w:id="8"/>
      <w:r>
        <w:rPr>
          <w:sz w:val="24"/>
        </w:rPr>
        <w:t xml:space="preserve"> Non-DIC had DIC scores </w:t>
      </w:r>
      <w:r>
        <w:rPr>
          <w:sz w:val="24"/>
          <w:lang w:val="en-CA"/>
        </w:rPr>
        <w:t xml:space="preserve">consistently </w:t>
      </w:r>
      <w:r>
        <w:rPr>
          <w:sz w:val="24"/>
        </w:rPr>
        <w:t xml:space="preserve">&lt;5 </w:t>
      </w:r>
      <w:r>
        <w:rPr>
          <w:rFonts w:hint="eastAsia"/>
          <w:sz w:val="24"/>
        </w:rPr>
        <w:t>within</w:t>
      </w:r>
      <w:r>
        <w:rPr>
          <w:sz w:val="24"/>
        </w:rPr>
        <w:t xml:space="preserve"> </w:t>
      </w:r>
      <w:r>
        <w:rPr>
          <w:rFonts w:hint="eastAsia"/>
          <w:sz w:val="24"/>
        </w:rPr>
        <w:t>a</w:t>
      </w:r>
      <w:r>
        <w:rPr>
          <w:sz w:val="24"/>
        </w:rPr>
        <w:t xml:space="preserve"> </w:t>
      </w:r>
      <w:r>
        <w:rPr>
          <w:rFonts w:hint="eastAsia"/>
          <w:sz w:val="24"/>
        </w:rPr>
        <w:t>week</w:t>
      </w:r>
      <w:r>
        <w:rPr>
          <w:sz w:val="24"/>
        </w:rPr>
        <w:t>.</w:t>
      </w:r>
    </w:p>
    <w:p w14:paraId="0B4AC737">
      <w:pPr>
        <w:spacing w:after="0" w:afterLines="0"/>
        <w:ind w:firstLine="0" w:firstLineChars="0"/>
        <w:outlineLvl w:val="1"/>
        <w:rPr>
          <w:b/>
          <w:bCs/>
          <w:sz w:val="24"/>
        </w:rPr>
      </w:pPr>
      <w:r>
        <w:rPr>
          <w:b/>
          <w:bCs/>
          <w:sz w:val="24"/>
        </w:rPr>
        <w:t>Data collection</w:t>
      </w:r>
    </w:p>
    <w:p w14:paraId="0B4AC738">
      <w:pPr>
        <w:spacing w:after="0" w:afterLines="0"/>
        <w:rPr>
          <w:sz w:val="24"/>
          <w:lang w:val="en-CA"/>
        </w:rPr>
      </w:pPr>
      <w:r>
        <w:rPr>
          <w:sz w:val="24"/>
        </w:rPr>
        <w:t>D</w:t>
      </w:r>
      <w:r>
        <w:rPr>
          <w:rFonts w:hint="eastAsia"/>
          <w:sz w:val="24"/>
        </w:rPr>
        <w:t>ata</w:t>
      </w:r>
      <w:r>
        <w:rPr>
          <w:sz w:val="24"/>
        </w:rPr>
        <w:t xml:space="preserve"> </w:t>
      </w:r>
      <w:r>
        <w:rPr>
          <w:rFonts w:hint="eastAsia"/>
          <w:sz w:val="24"/>
        </w:rPr>
        <w:t>on</w:t>
      </w:r>
      <w:r>
        <w:rPr>
          <w:sz w:val="24"/>
        </w:rPr>
        <w:t xml:space="preserve"> age, sex, co-morbid conditions, laboratory coagulation </w:t>
      </w:r>
      <w:r>
        <w:rPr>
          <w:rFonts w:hint="eastAsia"/>
          <w:sz w:val="24"/>
          <w:lang w:eastAsia="zh-CN"/>
        </w:rPr>
        <w:t>series</w:t>
      </w:r>
      <w:r>
        <w:rPr>
          <w:sz w:val="24"/>
        </w:rPr>
        <w:t xml:space="preserve">, hemostatic biomarkers, in-hospital mortality, and length of hospital stay, of patients were collected from electronic medical records. All laboratory tests </w:t>
      </w:r>
      <w:r>
        <w:rPr>
          <w:sz w:val="24"/>
          <w:lang w:val="en-CA"/>
        </w:rPr>
        <w:t>followed</w:t>
      </w:r>
      <w:r>
        <w:rPr>
          <w:sz w:val="24"/>
        </w:rPr>
        <w:t xml:space="preserve"> the standard procedures of Qilu Hospital of Shandong University. </w:t>
      </w:r>
      <w:r>
        <w:rPr>
          <w:sz w:val="24"/>
          <w:lang w:val="en-CA"/>
        </w:rPr>
        <w:t>Patients were classified into non-overt DIC</w:t>
      </w:r>
      <w:r>
        <w:rPr>
          <w:sz w:val="24"/>
        </w:rPr>
        <w:t xml:space="preserve"> </w:t>
      </w:r>
      <w:r>
        <w:rPr>
          <w:sz w:val="24"/>
          <w:lang w:val="en-CA"/>
        </w:rPr>
        <w:t>and overt-DIC</w:t>
      </w:r>
      <w:r>
        <w:rPr>
          <w:sz w:val="24"/>
        </w:rPr>
        <w:t xml:space="preserve"> </w:t>
      </w:r>
      <w:r>
        <w:rPr>
          <w:sz w:val="24"/>
          <w:lang w:val="en-CA"/>
        </w:rPr>
        <w:t xml:space="preserve">groups based on </w:t>
      </w:r>
      <w:r>
        <w:rPr>
          <w:sz w:val="24"/>
        </w:rPr>
        <w:t>d</w:t>
      </w:r>
      <w:r>
        <w:rPr>
          <w:sz w:val="24"/>
          <w:lang w:val="en-CA"/>
        </w:rPr>
        <w:t>ay 0 assessments. Over the subsequent seven days, those initially in the non-overt DIC group were further categorized into non-DIC and pre-DIC based on score changes. DIC assessments were conducted by two physicians (MX and TS), with a third reviewer</w:t>
      </w:r>
      <w:r>
        <w:rPr>
          <w:sz w:val="24"/>
        </w:rPr>
        <w:t xml:space="preserve"> (JP)</w:t>
      </w:r>
      <w:r>
        <w:rPr>
          <w:sz w:val="24"/>
          <w:lang w:val="en-CA"/>
        </w:rPr>
        <w:t xml:space="preserve"> resolving discrepancies.</w:t>
      </w:r>
    </w:p>
    <w:p w14:paraId="0B4AC739">
      <w:pPr>
        <w:spacing w:after="0" w:afterLines="0"/>
        <w:rPr>
          <w:sz w:val="24"/>
          <w:lang w:val="en-CA"/>
        </w:rPr>
      </w:pPr>
      <w:r>
        <w:rPr>
          <w:sz w:val="24"/>
          <w:lang w:val="en-CA"/>
        </w:rPr>
        <w:t>Correlations between hemostatic biomarkers on Day</w:t>
      </w:r>
      <w:r>
        <w:rPr>
          <w:sz w:val="24"/>
        </w:rPr>
        <w:t xml:space="preserve"> </w:t>
      </w:r>
      <w:r>
        <w:rPr>
          <w:sz w:val="24"/>
          <w:lang w:val="en-CA"/>
        </w:rPr>
        <w:t xml:space="preserve">0 and subsequent coagulation </w:t>
      </w:r>
      <w:r>
        <w:rPr>
          <w:rFonts w:hint="eastAsia"/>
          <w:sz w:val="24"/>
          <w:lang w:val="en-CA" w:eastAsia="zh-CN"/>
        </w:rPr>
        <w:t>series</w:t>
      </w:r>
      <w:r>
        <w:rPr>
          <w:sz w:val="24"/>
          <w:lang w:val="en-CA"/>
        </w:rPr>
        <w:t xml:space="preserve"> were analy</w:t>
      </w:r>
      <w:r>
        <w:rPr>
          <w:rFonts w:hint="eastAsia"/>
          <w:sz w:val="24"/>
        </w:rPr>
        <w:t>z</w:t>
      </w:r>
      <w:r>
        <w:rPr>
          <w:sz w:val="24"/>
          <w:lang w:val="en-CA"/>
        </w:rPr>
        <w:t>ed using Spearman’</w:t>
      </w:r>
      <w:r>
        <w:rPr>
          <w:rFonts w:hint="eastAsia"/>
          <w:sz w:val="24"/>
          <w:lang w:val="en-CA"/>
        </w:rPr>
        <w:t>s</w:t>
      </w:r>
      <w:r>
        <w:rPr>
          <w:sz w:val="24"/>
          <w:lang w:val="en-CA"/>
        </w:rPr>
        <w:t xml:space="preserve"> </w:t>
      </w:r>
      <w:r>
        <w:rPr>
          <w:rFonts w:hint="eastAsia"/>
          <w:sz w:val="24"/>
          <w:lang w:val="en-CA"/>
        </w:rPr>
        <w:t>rank</w:t>
      </w:r>
      <w:r>
        <w:rPr>
          <w:sz w:val="24"/>
          <w:lang w:val="en-CA"/>
        </w:rPr>
        <w:t xml:space="preserve"> correlation. </w:t>
      </w:r>
      <w:r>
        <w:rPr>
          <w:sz w:val="24"/>
        </w:rPr>
        <w:t>General b</w:t>
      </w:r>
      <w:r>
        <w:rPr>
          <w:sz w:val="24"/>
          <w:lang w:val="en-CA"/>
        </w:rPr>
        <w:t>inary logistic regression and ROC curve analyses assessed the diagnostic and predictive utility of these markers for overt-DIC.</w:t>
      </w:r>
    </w:p>
    <w:p w14:paraId="0B4AC73A">
      <w:pPr>
        <w:spacing w:after="0" w:afterLines="0"/>
        <w:ind w:firstLine="0" w:firstLineChars="0"/>
        <w:outlineLvl w:val="1"/>
        <w:rPr>
          <w:b/>
          <w:bCs/>
          <w:sz w:val="24"/>
        </w:rPr>
      </w:pPr>
      <w:r>
        <w:rPr>
          <w:b/>
          <w:bCs/>
          <w:sz w:val="24"/>
        </w:rPr>
        <w:t>Construction and evaluation of lasso-logistic regression models</w:t>
      </w:r>
    </w:p>
    <w:p w14:paraId="0B4AC73B">
      <w:pPr>
        <w:spacing w:after="0" w:afterLines="0"/>
        <w:rPr>
          <w:sz w:val="24"/>
        </w:rPr>
      </w:pPr>
      <w:r>
        <w:rPr>
          <w:sz w:val="24"/>
        </w:rPr>
        <w:t>As an extension of the general logistic regression, lasso-logistic regression adds an L1 regularization term to the loss function, which assists in selecting important features, reducing model complexity, and mitigating multicollinearity and overfitting effects, thereby enhancing model generalizability</w:t>
      </w:r>
      <w:bookmarkStart w:id="9" w:name="_Ref19090"/>
      <w:r>
        <w:rPr>
          <w:rStyle w:val="11"/>
          <w:sz w:val="24"/>
        </w:rPr>
        <w:endnoteReference w:id="18"/>
      </w:r>
      <w:bookmarkEnd w:id="9"/>
      <w:r>
        <w:rPr>
          <w:rFonts w:eastAsiaTheme="minorEastAsia"/>
          <w:sz w:val="24"/>
          <w:vertAlign w:val="superscript"/>
        </w:rPr>
        <w:t>,</w:t>
      </w:r>
      <w:r>
        <w:rPr>
          <w:rStyle w:val="11"/>
          <w:sz w:val="24"/>
        </w:rPr>
        <w:endnoteReference w:id="19"/>
      </w:r>
      <w:r>
        <w:rPr>
          <w:sz w:val="24"/>
        </w:rPr>
        <w:t>. To more effectively measure the importance of markers in models, SHAP was introduced to quantify the contributions of each marker to the model, indicating the importance of each marker for the models' classification predictions, further improving model interpretability and prediction accuracy. By using this method to select important markers and incorporating them into logistic regression analysis, the lasso-logistic regression models were constructed. The training set was used for model training, adjustment, and basic model evaluation. Subsequently, the validation set was used for external independent validation to test the model's prediction accuracy, generalizability and robustness. After comprehensively considering the research findings and practical clinical requirements, lasso-logistic regression models were constructed based on TAT, TM, tPAIC, PIC, and ATIII, employing a five-fold cross-validation to partition the training set for internal validation. The models derived from the training set were then externally validated in the validation set to objectively evaluate their diagnostic and predictive performance for overt-DIC. Specifically, this study plotted ROC curves and calculated the area under the curve (AUC), accuracy, sensitivity, specificity, precision, and F1-score. The above analyses and calculations were based on the Python Scikit-learn library.</w:t>
      </w:r>
    </w:p>
    <w:p w14:paraId="0B4AC73C">
      <w:pPr>
        <w:spacing w:after="0" w:afterLines="0"/>
        <w:ind w:firstLine="0" w:firstLineChars="0"/>
        <w:outlineLvl w:val="1"/>
        <w:rPr>
          <w:sz w:val="24"/>
        </w:rPr>
      </w:pPr>
      <w:r>
        <w:rPr>
          <w:b/>
          <w:bCs/>
          <w:sz w:val="24"/>
        </w:rPr>
        <w:t>Statistical analysis</w:t>
      </w:r>
      <w:r>
        <w:rPr>
          <w:sz w:val="24"/>
        </w:rPr>
        <w:t xml:space="preserve"> </w:t>
      </w:r>
    </w:p>
    <w:p w14:paraId="0B4AC73D">
      <w:pPr>
        <w:spacing w:after="0" w:afterLines="0"/>
        <w:rPr>
          <w:sz w:val="24"/>
        </w:rPr>
      </w:pPr>
      <w:r>
        <w:rPr>
          <w:sz w:val="24"/>
        </w:rPr>
        <w:t xml:space="preserve">Continuous variables were presented as medians and inter-quartile ranges (IQR; 25th and 75th percentiles). Continuous data underwent analysis through the Mann-Whitney </w:t>
      </w:r>
      <w:r>
        <w:rPr>
          <w:i/>
          <w:iCs/>
          <w:sz w:val="24"/>
        </w:rPr>
        <w:t>U</w:t>
      </w:r>
      <w:r>
        <w:rPr>
          <w:sz w:val="24"/>
        </w:rPr>
        <w:t xml:space="preserve"> test or a Kruskal-Wallis test with post-hoc Bonferroni correction for multiple intergroup analysis. Categorical data were assessed using the </w:t>
      </w:r>
      <w:r>
        <w:rPr>
          <w:i/>
          <w:iCs/>
          <w:sz w:val="24"/>
        </w:rPr>
        <w:t>χ</w:t>
      </w:r>
      <w:r>
        <w:rPr>
          <w:sz w:val="24"/>
          <w:vertAlign w:val="superscript"/>
        </w:rPr>
        <w:t>2</w:t>
      </w:r>
      <w:r>
        <w:rPr>
          <w:sz w:val="24"/>
        </w:rPr>
        <w:t xml:space="preserve"> test or Fisher’s exact test, and post-hoc Bonferroni correction w</w:t>
      </w:r>
      <w:r>
        <w:rPr>
          <w:rFonts w:hint="eastAsia"/>
          <w:sz w:val="24"/>
        </w:rPr>
        <w:t>as</w:t>
      </w:r>
      <w:r>
        <w:rPr>
          <w:sz w:val="24"/>
        </w:rPr>
        <w:t xml:space="preserve"> used for multiple comparisons. </w:t>
      </w:r>
      <w:bookmarkStart w:id="10" w:name="OLE_LINK19"/>
      <w:r>
        <w:rPr>
          <w:sz w:val="24"/>
        </w:rPr>
        <w:t xml:space="preserve">Spearman’s rank correlation </w:t>
      </w:r>
      <w:bookmarkEnd w:id="10"/>
      <w:r>
        <w:rPr>
          <w:sz w:val="24"/>
        </w:rPr>
        <w:t>analysis was used to examine the associations between hemostatic biomarkers and laboratory coagulation studies. General logistic regression analysis and ROC curves were used to calculate the AUC and establish optimal cutoff points for markers to diagnose and predict overt-DIC. The Youden index guided the calculation of the best cutoff value, maximizing the sum of the sensitivity and specificity. Kaplan-Meier curves were generated to a</w:t>
      </w:r>
      <w:r>
        <w:rPr>
          <w:rFonts w:hint="eastAsia"/>
          <w:sz w:val="24"/>
        </w:rPr>
        <w:t>ss</w:t>
      </w:r>
      <w:r>
        <w:rPr>
          <w:sz w:val="24"/>
        </w:rPr>
        <w:t>ess the in-hospital mortality, with differences assessed using the log-rank statistic.</w:t>
      </w:r>
    </w:p>
    <w:p w14:paraId="0B4AC73E">
      <w:pPr>
        <w:rPr>
          <w:sz w:val="24"/>
        </w:rPr>
      </w:pPr>
      <w:r>
        <w:rPr>
          <w:sz w:val="24"/>
        </w:rPr>
        <w:t>All data were analy</w:t>
      </w:r>
      <w:r>
        <w:rPr>
          <w:rFonts w:hint="eastAsia"/>
          <w:sz w:val="24"/>
        </w:rPr>
        <w:t>z</w:t>
      </w:r>
      <w:r>
        <w:rPr>
          <w:sz w:val="24"/>
        </w:rPr>
        <w:t xml:space="preserve">ed using IBM SPSS Statistics 27, Python 3.10, and GraphPad Prism 9.0. A </w:t>
      </w:r>
      <w:r>
        <w:rPr>
          <w:i/>
          <w:iCs/>
          <w:sz w:val="24"/>
        </w:rPr>
        <w:t>P</w:t>
      </w:r>
      <w:r>
        <w:rPr>
          <w:sz w:val="24"/>
        </w:rPr>
        <w:t xml:space="preserve"> value &lt;0.05 (two-tailed) was considered statistically significant. </w:t>
      </w:r>
    </w:p>
    <w:p w14:paraId="0B4AC73F">
      <w:pPr>
        <w:spacing w:after="0" w:afterLines="0"/>
        <w:ind w:firstLine="0" w:firstLineChars="0"/>
        <w:outlineLvl w:val="0"/>
        <w:rPr>
          <w:b/>
          <w:bCs/>
          <w:color w:val="000000"/>
          <w:sz w:val="28"/>
          <w:szCs w:val="21"/>
          <w:lang w:bidi="ar"/>
        </w:rPr>
      </w:pPr>
      <w:r>
        <w:rPr>
          <w:b/>
          <w:bCs/>
          <w:sz w:val="28"/>
          <w:szCs w:val="21"/>
        </w:rPr>
        <w:t>Results</w:t>
      </w:r>
    </w:p>
    <w:p w14:paraId="0B4AC742">
      <w:pPr>
        <w:spacing w:after="0" w:afterLines="0"/>
        <w:ind w:firstLine="0" w:firstLineChars="0"/>
        <w:outlineLvl w:val="1"/>
        <w:rPr>
          <w:b/>
          <w:bCs/>
          <w:sz w:val="24"/>
        </w:rPr>
      </w:pPr>
      <w:r>
        <w:rPr>
          <w:b/>
          <w:bCs/>
          <w:sz w:val="24"/>
          <w:lang w:val="en-CA"/>
        </w:rPr>
        <w:t>Compari</w:t>
      </w:r>
      <w:r>
        <w:rPr>
          <w:rFonts w:hint="eastAsia"/>
          <w:b/>
          <w:bCs/>
          <w:sz w:val="24"/>
          <w:lang w:val="en-CA"/>
        </w:rPr>
        <w:t>son</w:t>
      </w:r>
      <w:r>
        <w:rPr>
          <w:b/>
          <w:bCs/>
          <w:sz w:val="24"/>
          <w:lang w:val="en-CA"/>
        </w:rPr>
        <w:t xml:space="preserve"> of laboratory tests </w:t>
      </w:r>
      <w:r>
        <w:rPr>
          <w:b/>
          <w:bCs/>
          <w:sz w:val="24"/>
        </w:rPr>
        <w:t xml:space="preserve">and outcomes </w:t>
      </w:r>
      <w:r>
        <w:rPr>
          <w:b/>
          <w:bCs/>
          <w:sz w:val="24"/>
          <w:lang w:val="en-CA"/>
        </w:rPr>
        <w:t>across DIC phases</w:t>
      </w:r>
    </w:p>
    <w:p w14:paraId="0B4AC743">
      <w:pPr>
        <w:spacing w:after="0" w:afterLines="0"/>
        <w:rPr>
          <w:sz w:val="24"/>
        </w:rPr>
      </w:pPr>
      <w:r>
        <w:rPr>
          <w:sz w:val="24"/>
          <w:lang w:val="en-CA"/>
        </w:rPr>
        <w:t xml:space="preserve">The study observed </w:t>
      </w:r>
      <w:r>
        <w:rPr>
          <w:sz w:val="24"/>
        </w:rPr>
        <w:t xml:space="preserve">significant </w:t>
      </w:r>
      <w:r>
        <w:rPr>
          <w:sz w:val="24"/>
          <w:lang w:val="en-CA"/>
        </w:rPr>
        <w:t xml:space="preserve">differences in laboratory </w:t>
      </w:r>
      <w:r>
        <w:rPr>
          <w:sz w:val="24"/>
        </w:rPr>
        <w:t>coagulation series</w:t>
      </w:r>
      <w:r>
        <w:rPr>
          <w:sz w:val="24"/>
          <w:lang w:val="en-CA"/>
        </w:rPr>
        <w:t xml:space="preserve"> between </w:t>
      </w:r>
      <w:r>
        <w:rPr>
          <w:sz w:val="24"/>
        </w:rPr>
        <w:t xml:space="preserve">non-DIC, </w:t>
      </w:r>
      <w:r>
        <w:rPr>
          <w:sz w:val="24"/>
          <w:lang w:val="en-CA"/>
        </w:rPr>
        <w:t>pre-DIC, and overt-DIC</w:t>
      </w:r>
      <w:r>
        <w:rPr>
          <w:sz w:val="24"/>
        </w:rPr>
        <w:t xml:space="preserve"> </w:t>
      </w:r>
      <w:bookmarkStart w:id="11" w:name="OLE_LINK15"/>
      <w:r>
        <w:rPr>
          <w:sz w:val="24"/>
        </w:rPr>
        <w:t>(Table 2, Table 3)</w:t>
      </w:r>
      <w:bookmarkEnd w:id="11"/>
      <w:r>
        <w:rPr>
          <w:sz w:val="24"/>
          <w:lang w:val="en-CA"/>
        </w:rPr>
        <w:t>.</w:t>
      </w:r>
      <w:r>
        <w:rPr>
          <w:sz w:val="24"/>
        </w:rPr>
        <w:t xml:space="preserve"> PLT, PT, DDi, and FDP </w:t>
      </w:r>
      <w:r>
        <w:rPr>
          <w:sz w:val="24"/>
          <w:lang w:val="en-CA"/>
        </w:rPr>
        <w:t>differed significantly when stratified by DIC types</w:t>
      </w:r>
      <w:r>
        <w:rPr>
          <w:sz w:val="24"/>
        </w:rPr>
        <w:t>.</w:t>
      </w:r>
    </w:p>
    <w:p w14:paraId="0B4AC744">
      <w:pPr>
        <w:spacing w:after="0" w:afterLines="0"/>
        <w:rPr>
          <w:sz w:val="24"/>
        </w:rPr>
      </w:pPr>
      <w:r>
        <w:rPr>
          <w:sz w:val="24"/>
          <w:lang w:val="en-CA"/>
        </w:rPr>
        <w:t xml:space="preserve">Significantly different values were observed in </w:t>
      </w:r>
      <w:r>
        <w:rPr>
          <w:sz w:val="24"/>
        </w:rPr>
        <w:t>hemostatic biomarkers between non-overt DIC and overt-DIC</w:t>
      </w:r>
      <w:bookmarkStart w:id="12" w:name="OLE_LINK17"/>
      <w:r>
        <w:rPr>
          <w:sz w:val="24"/>
        </w:rPr>
        <w:t xml:space="preserve"> (</w:t>
      </w:r>
      <w:bookmarkStart w:id="13" w:name="OLE_LINK16"/>
      <w:r>
        <w:rPr>
          <w:sz w:val="24"/>
        </w:rPr>
        <w:t>Table 2, Table 3</w:t>
      </w:r>
      <w:bookmarkEnd w:id="13"/>
      <w:r>
        <w:rPr>
          <w:sz w:val="24"/>
        </w:rPr>
        <w:t>).</w:t>
      </w:r>
      <w:bookmarkEnd w:id="12"/>
      <w:r>
        <w:rPr>
          <w:sz w:val="24"/>
        </w:rPr>
        <w:t xml:space="preserve"> </w:t>
      </w:r>
      <w:r>
        <w:rPr>
          <w:sz w:val="24"/>
          <w:lang w:val="en-CA"/>
        </w:rPr>
        <w:t xml:space="preserve">The overt-DIC group demonstrated </w:t>
      </w:r>
      <w:r>
        <w:rPr>
          <w:sz w:val="24"/>
        </w:rPr>
        <w:t xml:space="preserve">significantly </w:t>
      </w:r>
      <w:r>
        <w:rPr>
          <w:sz w:val="24"/>
          <w:lang w:val="en-CA"/>
        </w:rPr>
        <w:t>elevated TAT, TM, tPAIC, PIC</w:t>
      </w:r>
      <w:r>
        <w:rPr>
          <w:sz w:val="24"/>
        </w:rPr>
        <w:t xml:space="preserve">, </w:t>
      </w:r>
      <w:bookmarkStart w:id="14" w:name="OLE_LINK18"/>
      <w:r>
        <w:rPr>
          <w:sz w:val="24"/>
        </w:rPr>
        <w:t xml:space="preserve">TAT/ATIII, </w:t>
      </w:r>
      <w:r>
        <w:rPr>
          <w:sz w:val="24"/>
          <w:lang w:val="en-CA"/>
        </w:rPr>
        <w:t>TAT/tPAIC</w:t>
      </w:r>
      <w:r>
        <w:rPr>
          <w:sz w:val="24"/>
        </w:rPr>
        <w:t xml:space="preserve">, </w:t>
      </w:r>
      <w:r>
        <w:rPr>
          <w:sz w:val="24"/>
          <w:lang w:val="en-CA"/>
        </w:rPr>
        <w:t>and TAT/PIC</w:t>
      </w:r>
      <w:bookmarkEnd w:id="14"/>
      <w:r>
        <w:rPr>
          <w:sz w:val="24"/>
        </w:rPr>
        <w:t xml:space="preserve"> </w:t>
      </w:r>
      <w:r>
        <w:rPr>
          <w:sz w:val="24"/>
          <w:lang w:val="en-CA"/>
        </w:rPr>
        <w:t>compared to the</w:t>
      </w:r>
      <w:r>
        <w:rPr>
          <w:sz w:val="24"/>
        </w:rPr>
        <w:t xml:space="preserve"> non-overt DIC group. </w:t>
      </w:r>
    </w:p>
    <w:p w14:paraId="0B4AC746">
      <w:pPr>
        <w:spacing w:after="0" w:afterLines="0"/>
        <w:rPr>
          <w:sz w:val="24"/>
        </w:rPr>
      </w:pPr>
      <w:r>
        <w:rPr>
          <w:sz w:val="24"/>
        </w:rPr>
        <w:t>Together, w</w:t>
      </w:r>
      <w:r>
        <w:rPr>
          <w:sz w:val="24"/>
          <w:lang w:val="en-CA"/>
        </w:rPr>
        <w:t>hen comparing non-DIC and pre-DIC groups, significant differences were found in TAT, TM, tPAIC, and ATIII</w:t>
      </w:r>
      <w:r>
        <w:rPr>
          <w:sz w:val="24"/>
        </w:rPr>
        <w:t xml:space="preserve"> (Table 2, Table 3)</w:t>
      </w:r>
      <w:r>
        <w:rPr>
          <w:sz w:val="24"/>
          <w:lang w:val="en-CA"/>
        </w:rPr>
        <w:t>. The pre-DIC group showed increased TAT, TM, tPAIC levels, and decreased ATIII activity</w:t>
      </w:r>
      <w:r>
        <w:rPr>
          <w:sz w:val="24"/>
        </w:rPr>
        <w:t xml:space="preserve">. Of note, TAT/ATIII and TAT/PIC were significantly higher in the pre-DIC group compared to the non-DIC group, but both PIC and TAT/tPAIC </w:t>
      </w:r>
      <w:r>
        <w:rPr>
          <w:sz w:val="24"/>
          <w:lang w:val="en-CA"/>
        </w:rPr>
        <w:t xml:space="preserve">remained </w:t>
      </w:r>
      <w:r>
        <w:rPr>
          <w:sz w:val="24"/>
        </w:rPr>
        <w:t>comparable between the two groups. H</w:t>
      </w:r>
      <w:r>
        <w:rPr>
          <w:rFonts w:hint="eastAsia"/>
          <w:sz w:val="24"/>
        </w:rPr>
        <w:t>owever</w:t>
      </w:r>
      <w:r>
        <w:rPr>
          <w:sz w:val="24"/>
        </w:rPr>
        <w:t xml:space="preserve">, TM, </w:t>
      </w:r>
      <w:r>
        <w:rPr>
          <w:rFonts w:hint="eastAsia"/>
          <w:sz w:val="24"/>
        </w:rPr>
        <w:t>t</w:t>
      </w:r>
      <w:r>
        <w:rPr>
          <w:sz w:val="24"/>
        </w:rPr>
        <w:t>PAIC, and ATIII were always comparable between pre-DIC and overt-DIC (Table 2, Table 3).</w:t>
      </w:r>
    </w:p>
    <w:p w14:paraId="0B4AC747">
      <w:pPr>
        <w:spacing w:after="240" w:afterLines="0"/>
        <w:rPr>
          <w:sz w:val="24"/>
        </w:rPr>
      </w:pPr>
      <w:r>
        <w:rPr>
          <w:sz w:val="24"/>
        </w:rPr>
        <w:t>I</w:t>
      </w:r>
      <w:r>
        <w:rPr>
          <w:sz w:val="24"/>
          <w:lang w:val="en-CA"/>
        </w:rPr>
        <w:t xml:space="preserve">n-hospital mortality rates were </w:t>
      </w:r>
      <w:r>
        <w:rPr>
          <w:sz w:val="24"/>
        </w:rPr>
        <w:t xml:space="preserve">statistically and </w:t>
      </w:r>
      <w:r>
        <w:rPr>
          <w:sz w:val="24"/>
          <w:lang w:val="en-CA"/>
        </w:rPr>
        <w:t>markedly higher in both the pre-DIC and overt-DIC groups compared to the non-DIC group</w:t>
      </w:r>
      <w:r>
        <w:rPr>
          <w:sz w:val="24"/>
        </w:rPr>
        <w:t xml:space="preserve"> (Table 2, Table 3)</w:t>
      </w:r>
      <w:r>
        <w:rPr>
          <w:sz w:val="24"/>
          <w:lang w:val="en-CA"/>
        </w:rPr>
        <w:t>.</w:t>
      </w:r>
      <w:r>
        <w:rPr>
          <w:sz w:val="24"/>
        </w:rPr>
        <w:t xml:space="preserve"> Additionally, survival analysis by Kaplan-Meier showed </w:t>
      </w:r>
      <w:r>
        <w:rPr>
          <w:rFonts w:hint="eastAsia"/>
          <w:sz w:val="24"/>
        </w:rPr>
        <w:t>that</w:t>
      </w:r>
      <w:r>
        <w:rPr>
          <w:sz w:val="24"/>
        </w:rPr>
        <w:t xml:space="preserve"> </w:t>
      </w:r>
      <w:r>
        <w:rPr>
          <w:rFonts w:hint="eastAsia"/>
          <w:sz w:val="24"/>
        </w:rPr>
        <w:t>both</w:t>
      </w:r>
      <w:r>
        <w:rPr>
          <w:sz w:val="24"/>
        </w:rPr>
        <w:t xml:space="preserve"> </w:t>
      </w:r>
      <w:r>
        <w:rPr>
          <w:rFonts w:hint="eastAsia"/>
          <w:sz w:val="24"/>
        </w:rPr>
        <w:t>pre</w:t>
      </w:r>
      <w:r>
        <w:rPr>
          <w:sz w:val="24"/>
        </w:rPr>
        <w:t xml:space="preserve">-DIC </w:t>
      </w:r>
      <w:r>
        <w:rPr>
          <w:rFonts w:hint="eastAsia"/>
          <w:sz w:val="24"/>
        </w:rPr>
        <w:t>patients</w:t>
      </w:r>
      <w:r>
        <w:rPr>
          <w:sz w:val="24"/>
        </w:rPr>
        <w:t xml:space="preserve"> </w:t>
      </w:r>
      <w:r>
        <w:rPr>
          <w:rFonts w:hint="eastAsia"/>
          <w:sz w:val="24"/>
        </w:rPr>
        <w:t>and</w:t>
      </w:r>
      <w:r>
        <w:rPr>
          <w:sz w:val="24"/>
        </w:rPr>
        <w:t xml:space="preserve"> </w:t>
      </w:r>
      <w:r>
        <w:rPr>
          <w:rFonts w:hint="eastAsia"/>
          <w:sz w:val="24"/>
        </w:rPr>
        <w:t>overt</w:t>
      </w:r>
      <w:r>
        <w:rPr>
          <w:sz w:val="24"/>
        </w:rPr>
        <w:t xml:space="preserve">-DIC </w:t>
      </w:r>
      <w:r>
        <w:rPr>
          <w:rFonts w:hint="eastAsia"/>
          <w:sz w:val="24"/>
        </w:rPr>
        <w:t>patients</w:t>
      </w:r>
      <w:r>
        <w:rPr>
          <w:sz w:val="24"/>
        </w:rPr>
        <w:t xml:space="preserve"> </w:t>
      </w:r>
      <w:r>
        <w:rPr>
          <w:rFonts w:hint="eastAsia"/>
          <w:sz w:val="24"/>
        </w:rPr>
        <w:t>had</w:t>
      </w:r>
      <w:r>
        <w:rPr>
          <w:sz w:val="24"/>
        </w:rPr>
        <w:t xml:space="preserve"> </w:t>
      </w:r>
      <w:r>
        <w:rPr>
          <w:rFonts w:hint="eastAsia"/>
          <w:sz w:val="24"/>
        </w:rPr>
        <w:t>worse</w:t>
      </w:r>
      <w:r>
        <w:rPr>
          <w:sz w:val="24"/>
        </w:rPr>
        <w:t xml:space="preserve"> </w:t>
      </w:r>
      <w:r>
        <w:rPr>
          <w:rFonts w:hint="eastAsia"/>
          <w:sz w:val="24"/>
        </w:rPr>
        <w:t>outcomes</w:t>
      </w:r>
      <w:r>
        <w:rPr>
          <w:sz w:val="24"/>
        </w:rPr>
        <w:t xml:space="preserve"> </w:t>
      </w:r>
      <w:r>
        <w:rPr>
          <w:rFonts w:hint="eastAsia"/>
          <w:sz w:val="24"/>
        </w:rPr>
        <w:t>compared</w:t>
      </w:r>
      <w:r>
        <w:rPr>
          <w:sz w:val="24"/>
        </w:rPr>
        <w:t xml:space="preserve"> </w:t>
      </w:r>
      <w:r>
        <w:rPr>
          <w:rFonts w:hint="eastAsia"/>
          <w:sz w:val="24"/>
        </w:rPr>
        <w:t>with</w:t>
      </w:r>
      <w:r>
        <w:rPr>
          <w:sz w:val="24"/>
        </w:rPr>
        <w:t xml:space="preserve"> </w:t>
      </w:r>
      <w:r>
        <w:rPr>
          <w:rFonts w:hint="eastAsia"/>
          <w:sz w:val="24"/>
        </w:rPr>
        <w:t>non</w:t>
      </w:r>
      <w:r>
        <w:rPr>
          <w:sz w:val="24"/>
        </w:rPr>
        <w:t xml:space="preserve">-DIC </w:t>
      </w:r>
      <w:r>
        <w:rPr>
          <w:rFonts w:hint="eastAsia"/>
          <w:sz w:val="24"/>
        </w:rPr>
        <w:t>patients</w:t>
      </w:r>
      <w:r>
        <w:rPr>
          <w:sz w:val="24"/>
        </w:rPr>
        <w:t xml:space="preserve"> </w:t>
      </w:r>
      <w:r>
        <w:rPr>
          <w:rFonts w:hint="eastAsia"/>
          <w:sz w:val="24"/>
        </w:rPr>
        <w:t>in</w:t>
      </w:r>
      <w:r>
        <w:rPr>
          <w:sz w:val="24"/>
        </w:rPr>
        <w:t xml:space="preserve"> the training set (Figure 2).</w:t>
      </w:r>
    </w:p>
    <w:p w14:paraId="0B4AC748">
      <w:pPr>
        <w:spacing w:after="0" w:afterLines="0"/>
        <w:ind w:firstLine="0" w:firstLineChars="0"/>
        <w:outlineLvl w:val="1"/>
        <w:rPr>
          <w:b/>
          <w:bCs/>
          <w:sz w:val="24"/>
        </w:rPr>
      </w:pPr>
      <w:r>
        <w:rPr>
          <w:b/>
          <w:bCs/>
          <w:sz w:val="24"/>
        </w:rPr>
        <w:t>Spearman’</w:t>
      </w:r>
      <w:r>
        <w:rPr>
          <w:rFonts w:hint="eastAsia"/>
          <w:b/>
          <w:bCs/>
          <w:sz w:val="24"/>
        </w:rPr>
        <w:t>s</w:t>
      </w:r>
      <w:r>
        <w:rPr>
          <w:b/>
          <w:bCs/>
          <w:sz w:val="24"/>
        </w:rPr>
        <w:t xml:space="preserve"> </w:t>
      </w:r>
      <w:r>
        <w:rPr>
          <w:rFonts w:hint="eastAsia"/>
          <w:b/>
          <w:bCs/>
          <w:sz w:val="24"/>
        </w:rPr>
        <w:t>rank</w:t>
      </w:r>
      <w:r>
        <w:rPr>
          <w:b/>
          <w:bCs/>
          <w:sz w:val="24"/>
        </w:rPr>
        <w:t xml:space="preserve"> correlation analys</w:t>
      </w:r>
      <w:r>
        <w:rPr>
          <w:rFonts w:hint="eastAsia"/>
          <w:b/>
          <w:bCs/>
          <w:sz w:val="24"/>
        </w:rPr>
        <w:t>i</w:t>
      </w:r>
      <w:r>
        <w:rPr>
          <w:b/>
          <w:bCs/>
          <w:sz w:val="24"/>
        </w:rPr>
        <w:t>s between hemostatic biomarkers and laboratory coagulation series in training</w:t>
      </w:r>
    </w:p>
    <w:p w14:paraId="0B4AC749">
      <w:pPr>
        <w:spacing w:after="240" w:afterLines="0"/>
        <w:rPr>
          <w:sz w:val="24"/>
        </w:rPr>
      </w:pPr>
      <w:r>
        <w:rPr>
          <w:sz w:val="24"/>
        </w:rPr>
        <w:t xml:space="preserve">To screen specific hemostatic biomarkers </w:t>
      </w:r>
      <w:r>
        <w:rPr>
          <w:rFonts w:hint="eastAsia"/>
          <w:sz w:val="24"/>
        </w:rPr>
        <w:t>which</w:t>
      </w:r>
      <w:r>
        <w:rPr>
          <w:sz w:val="24"/>
        </w:rPr>
        <w:t xml:space="preserve"> serv</w:t>
      </w:r>
      <w:r>
        <w:rPr>
          <w:rFonts w:hint="eastAsia"/>
          <w:sz w:val="24"/>
        </w:rPr>
        <w:t>e</w:t>
      </w:r>
      <w:r>
        <w:rPr>
          <w:sz w:val="24"/>
        </w:rPr>
        <w:t xml:space="preserve"> as early indicators of endothelial injury and coagulation activation allowing early diagnosis of DIC, Spearman’</w:t>
      </w:r>
      <w:r>
        <w:rPr>
          <w:rFonts w:hint="eastAsia"/>
          <w:sz w:val="24"/>
        </w:rPr>
        <w:t>s</w:t>
      </w:r>
      <w:r>
        <w:rPr>
          <w:sz w:val="24"/>
        </w:rPr>
        <w:t xml:space="preserve"> </w:t>
      </w:r>
      <w:r>
        <w:rPr>
          <w:rFonts w:hint="eastAsia"/>
          <w:sz w:val="24"/>
        </w:rPr>
        <w:t>rank</w:t>
      </w:r>
      <w:r>
        <w:rPr>
          <w:sz w:val="24"/>
        </w:rPr>
        <w:t xml:space="preserve"> correlation analysis </w:t>
      </w:r>
      <w:r>
        <w:rPr>
          <w:rStyle w:val="14"/>
          <w:color w:val="000000" w:themeColor="text1"/>
          <w:sz w:val="24"/>
          <w:szCs w:val="24"/>
          <w14:textFill>
            <w14:solidFill>
              <w14:schemeClr w14:val="tx1"/>
            </w14:solidFill>
          </w14:textFill>
        </w:rPr>
        <w:t xml:space="preserve">was performed </w:t>
      </w:r>
      <w:r>
        <w:rPr>
          <w:sz w:val="24"/>
        </w:rPr>
        <w:t xml:space="preserve">(Table 4). On Day 0, the correlation coefficients between TAT and DDi were 0.462 (95% CI 0.375-0.541, </w:t>
      </w:r>
      <w:r>
        <w:rPr>
          <w:i/>
          <w:iCs/>
          <w:sz w:val="24"/>
        </w:rPr>
        <w:t>P</w:t>
      </w:r>
      <w:r>
        <w:rPr>
          <w:sz w:val="24"/>
        </w:rPr>
        <w:t xml:space="preserve">&lt;0.001), and between TAT and FDP were 0.507 (95% CI 0.405-0.596, </w:t>
      </w:r>
      <w:r>
        <w:rPr>
          <w:i/>
          <w:iCs/>
          <w:sz w:val="24"/>
        </w:rPr>
        <w:t>P</w:t>
      </w:r>
      <w:r>
        <w:rPr>
          <w:sz w:val="24"/>
        </w:rPr>
        <w:t>&lt;0.001). TAT was positively correlated with fibrinolytic markers DDi and FDP. I</w:t>
      </w:r>
      <w:r>
        <w:rPr>
          <w:rFonts w:hint="eastAsia"/>
          <w:sz w:val="24"/>
        </w:rPr>
        <w:t>n</w:t>
      </w:r>
      <w:r>
        <w:rPr>
          <w:sz w:val="24"/>
        </w:rPr>
        <w:t xml:space="preserve"> </w:t>
      </w:r>
      <w:r>
        <w:rPr>
          <w:rFonts w:hint="eastAsia"/>
          <w:sz w:val="24"/>
        </w:rPr>
        <w:t>addition</w:t>
      </w:r>
      <w:r>
        <w:rPr>
          <w:sz w:val="24"/>
        </w:rPr>
        <w:t xml:space="preserve">, </w:t>
      </w:r>
      <w:r>
        <w:rPr>
          <w:rFonts w:hint="eastAsia"/>
          <w:sz w:val="24"/>
        </w:rPr>
        <w:t>b</w:t>
      </w:r>
      <w:r>
        <w:rPr>
          <w:sz w:val="24"/>
        </w:rPr>
        <w:t xml:space="preserve">aseline TM, tPAIC, and PIC correlated with laboratory coagulation </w:t>
      </w:r>
      <w:r>
        <w:rPr>
          <w:rFonts w:hint="eastAsia"/>
          <w:sz w:val="24"/>
          <w:lang w:eastAsia="zh-CN"/>
        </w:rPr>
        <w:t>series</w:t>
      </w:r>
      <w:r>
        <w:rPr>
          <w:sz w:val="24"/>
        </w:rPr>
        <w:t xml:space="preserve"> </w:t>
      </w:r>
      <w:r>
        <w:rPr>
          <w:rFonts w:hint="eastAsia"/>
          <w:sz w:val="24"/>
        </w:rPr>
        <w:t>a</w:t>
      </w:r>
      <w:r>
        <w:rPr>
          <w:sz w:val="24"/>
        </w:rPr>
        <w:t xml:space="preserve">t one </w:t>
      </w:r>
      <w:r>
        <w:rPr>
          <w:rFonts w:hint="eastAsia"/>
          <w:sz w:val="24"/>
        </w:rPr>
        <w:t>week</w:t>
      </w:r>
      <w:r>
        <w:rPr>
          <w:sz w:val="24"/>
        </w:rPr>
        <w:t xml:space="preserve"> (</w:t>
      </w:r>
      <w:r>
        <w:rPr>
          <w:i/>
          <w:iCs/>
          <w:sz w:val="24"/>
        </w:rPr>
        <w:t>P</w:t>
      </w:r>
      <w:r>
        <w:rPr>
          <w:sz w:val="24"/>
        </w:rPr>
        <w:t xml:space="preserve">&lt;0.05, Table 4). Notably, </w:t>
      </w:r>
      <w:r>
        <w:rPr>
          <w:rFonts w:hint="eastAsia"/>
          <w:sz w:val="24"/>
        </w:rPr>
        <w:t>baseline</w:t>
      </w:r>
      <w:r>
        <w:rPr>
          <w:sz w:val="24"/>
        </w:rPr>
        <w:t xml:space="preserve"> ATIII activity significantly correlated with other laboratory coagulation </w:t>
      </w:r>
      <w:r>
        <w:rPr>
          <w:rFonts w:hint="eastAsia"/>
          <w:sz w:val="24"/>
          <w:lang w:eastAsia="zh-CN"/>
        </w:rPr>
        <w:t>series</w:t>
      </w:r>
      <w:r>
        <w:rPr>
          <w:sz w:val="24"/>
        </w:rPr>
        <w:t xml:space="preserve"> whose abnormalities reflect coagulation consumption, including PT (r=-0.509, 95% CI -0.607~-0.395, </w:t>
      </w:r>
      <w:r>
        <w:rPr>
          <w:i/>
          <w:iCs/>
          <w:sz w:val="24"/>
        </w:rPr>
        <w:t>P</w:t>
      </w:r>
      <w:r>
        <w:rPr>
          <w:sz w:val="24"/>
        </w:rPr>
        <w:t xml:space="preserve">&lt;0.001), FIB (r=0.369, 95% CI 0.243-0.483, </w:t>
      </w:r>
      <w:r>
        <w:rPr>
          <w:i/>
          <w:iCs/>
          <w:sz w:val="24"/>
        </w:rPr>
        <w:t>P</w:t>
      </w:r>
      <w:r>
        <w:rPr>
          <w:sz w:val="24"/>
        </w:rPr>
        <w:t xml:space="preserve">&lt;0.001), and PLT (r=0.447, 95% CI 0.327-0.553, </w:t>
      </w:r>
      <w:r>
        <w:rPr>
          <w:i/>
          <w:iCs/>
          <w:sz w:val="24"/>
        </w:rPr>
        <w:t>P</w:t>
      </w:r>
      <w:r>
        <w:rPr>
          <w:sz w:val="24"/>
        </w:rPr>
        <w:t xml:space="preserve">&lt;0.001) on Day 0, and the correlation persisted for a week. </w:t>
      </w:r>
      <w:r>
        <w:rPr>
          <w:sz w:val="24"/>
          <w:lang w:val="en-CA"/>
        </w:rPr>
        <w:t>Given the involvement of</w:t>
      </w:r>
      <w:r>
        <w:rPr>
          <w:sz w:val="24"/>
        </w:rPr>
        <w:t xml:space="preserve"> procoagulant thrombin and anticoagulant substance ATIII in the </w:t>
      </w:r>
      <w:r>
        <w:rPr>
          <w:sz w:val="24"/>
          <w:lang w:val="en-CA"/>
        </w:rPr>
        <w:t>initiation of the coagulation cascade</w:t>
      </w:r>
      <w:r>
        <w:rPr>
          <w:sz w:val="24"/>
        </w:rPr>
        <w:t xml:space="preserve"> and that TAT’s composition of thrombin and antithrombin, it was hypothesized that the severity of imbalance between TAT and ATIII may reflect an overactivation of the coagulation system in DIC. Therefore, we proposed TAT/ATIII and explored its clinical application value. B</w:t>
      </w:r>
      <w:r>
        <w:rPr>
          <w:rFonts w:hint="eastAsia"/>
          <w:sz w:val="24"/>
        </w:rPr>
        <w:t>aseline</w:t>
      </w:r>
      <w:r>
        <w:rPr>
          <w:sz w:val="24"/>
        </w:rPr>
        <w:t xml:space="preserve"> TAT/ATIII was linearly correlated with platelet count, FDP, and DDi within 7 days (</w:t>
      </w:r>
      <w:r>
        <w:rPr>
          <w:i/>
          <w:iCs/>
          <w:sz w:val="24"/>
        </w:rPr>
        <w:t>P</w:t>
      </w:r>
      <w:r>
        <w:rPr>
          <w:sz w:val="24"/>
        </w:rPr>
        <w:t xml:space="preserve">&lt;0.05). Scatter plots revealed significant linear correlations between TAT, ATIII, TAT/ATIII and laboratory coagulation </w:t>
      </w:r>
      <w:r>
        <w:rPr>
          <w:rFonts w:hint="eastAsia"/>
          <w:sz w:val="24"/>
          <w:lang w:eastAsia="zh-CN"/>
        </w:rPr>
        <w:t>series</w:t>
      </w:r>
      <w:r>
        <w:rPr>
          <w:sz w:val="24"/>
        </w:rPr>
        <w:t xml:space="preserve"> relevant to DIC</w:t>
      </w:r>
      <w:r>
        <w:rPr>
          <w:color w:val="auto"/>
          <w:sz w:val="24"/>
        </w:rPr>
        <w:t xml:space="preserve"> (</w:t>
      </w:r>
      <w:r>
        <w:rPr>
          <w:rFonts w:hint="eastAsia"/>
          <w:color w:val="auto"/>
          <w:sz w:val="24"/>
          <w:lang w:val="en-US" w:eastAsia="zh-CN"/>
        </w:rPr>
        <w:t xml:space="preserve">Supplemental </w:t>
      </w:r>
      <w:r>
        <w:rPr>
          <w:color w:val="auto"/>
          <w:sz w:val="24"/>
        </w:rPr>
        <w:t>Figure</w:t>
      </w:r>
      <w:r>
        <w:rPr>
          <w:rFonts w:hint="eastAsia"/>
          <w:color w:val="auto"/>
          <w:sz w:val="24"/>
          <w:lang w:val="en-US" w:eastAsia="zh-CN"/>
        </w:rPr>
        <w:t xml:space="preserve"> </w:t>
      </w:r>
      <w:r>
        <w:rPr>
          <w:color w:val="auto"/>
          <w:sz w:val="24"/>
        </w:rPr>
        <w:t xml:space="preserve">1). </w:t>
      </w:r>
      <w:r>
        <w:rPr>
          <w:sz w:val="24"/>
        </w:rPr>
        <w:t>Therefore, in addition to hemostatic biomarkers TAT, TM, tPAIC, and PIC, anticoagulation substance ATIII may also have the potential to early diagnose DIC.</w:t>
      </w:r>
    </w:p>
    <w:p w14:paraId="0B4AC74A">
      <w:pPr>
        <w:spacing w:after="0" w:afterLines="0"/>
        <w:ind w:firstLine="0" w:firstLineChars="0"/>
        <w:outlineLvl w:val="1"/>
        <w:rPr>
          <w:b/>
          <w:bCs/>
          <w:sz w:val="24"/>
        </w:rPr>
      </w:pPr>
      <w:r>
        <w:rPr>
          <w:b/>
          <w:bCs/>
          <w:sz w:val="24"/>
        </w:rPr>
        <w:t>Diagnostic performance of hemostatic biomarkers and ATIII for overt-DIC in training</w:t>
      </w:r>
    </w:p>
    <w:p w14:paraId="0B4AC74B">
      <w:pPr>
        <w:spacing w:after="240" w:afterLines="0"/>
        <w:rPr>
          <w:sz w:val="24"/>
          <w:lang w:val="en-CA"/>
        </w:rPr>
      </w:pPr>
      <w:r>
        <w:rPr>
          <w:sz w:val="24"/>
          <w:lang w:val="en-CA"/>
        </w:rPr>
        <w:t>Given Spearman’</w:t>
      </w:r>
      <w:r>
        <w:rPr>
          <w:rFonts w:hint="eastAsia"/>
          <w:sz w:val="24"/>
          <w:lang w:val="en-CA"/>
        </w:rPr>
        <w:t>s</w:t>
      </w:r>
      <w:r>
        <w:rPr>
          <w:sz w:val="24"/>
          <w:lang w:val="en-CA"/>
        </w:rPr>
        <w:t xml:space="preserve"> </w:t>
      </w:r>
      <w:r>
        <w:rPr>
          <w:rFonts w:hint="eastAsia"/>
          <w:sz w:val="24"/>
          <w:lang w:val="en-CA"/>
        </w:rPr>
        <w:t>rank</w:t>
      </w:r>
      <w:r>
        <w:rPr>
          <w:sz w:val="24"/>
          <w:lang w:val="en-CA"/>
        </w:rPr>
        <w:t xml:space="preserve"> correlation analysis results mentioned above, TAT, TM, tPAIC, PIC, and ATIII may have the potential to diagnose DIC earlier. This study first evaluated the diagnostic role of markers </w:t>
      </w:r>
      <w:r>
        <w:rPr>
          <w:sz w:val="24"/>
        </w:rPr>
        <w:t xml:space="preserve">in non-overt DIC and </w:t>
      </w:r>
      <w:r>
        <w:rPr>
          <w:sz w:val="24"/>
          <w:lang w:val="en-CA"/>
        </w:rPr>
        <w:t>overt</w:t>
      </w:r>
      <w:r>
        <w:rPr>
          <w:sz w:val="24"/>
        </w:rPr>
        <w:t>-</w:t>
      </w:r>
      <w:r>
        <w:rPr>
          <w:sz w:val="24"/>
          <w:lang w:val="en-CA"/>
        </w:rPr>
        <w:t xml:space="preserve">DIC. </w:t>
      </w:r>
      <w:r>
        <w:rPr>
          <w:sz w:val="24"/>
        </w:rPr>
        <w:t>TAT, TM, tPAIC, PIC</w:t>
      </w:r>
      <w:r>
        <w:rPr>
          <w:sz w:val="24"/>
          <w:lang w:val="en-CA"/>
        </w:rPr>
        <w:t>,</w:t>
      </w:r>
      <w:r>
        <w:rPr>
          <w:sz w:val="24"/>
        </w:rPr>
        <w:t xml:space="preserve"> </w:t>
      </w:r>
      <w:r>
        <w:rPr>
          <w:sz w:val="24"/>
          <w:lang w:val="en-CA"/>
        </w:rPr>
        <w:t xml:space="preserve">ATIII, and their derived </w:t>
      </w:r>
      <w:r>
        <w:rPr>
          <w:sz w:val="24"/>
        </w:rPr>
        <w:t>markers</w:t>
      </w:r>
      <w:r>
        <w:rPr>
          <w:sz w:val="24"/>
          <w:lang w:val="en-CA"/>
        </w:rPr>
        <w:t xml:space="preserve"> showed statistically significant differences between overt</w:t>
      </w:r>
      <w:r>
        <w:rPr>
          <w:sz w:val="24"/>
        </w:rPr>
        <w:t>-</w:t>
      </w:r>
      <w:r>
        <w:rPr>
          <w:sz w:val="24"/>
          <w:lang w:val="en-CA"/>
        </w:rPr>
        <w:t>DIC and non-overt DIC patients. These parameters were selected to construct</w:t>
      </w:r>
      <w:r>
        <w:rPr>
          <w:sz w:val="24"/>
        </w:rPr>
        <w:t xml:space="preserve"> </w:t>
      </w:r>
      <w:r>
        <w:rPr>
          <w:sz w:val="24"/>
          <w:lang w:val="en-CA"/>
        </w:rPr>
        <w:t>general logistic regression model</w:t>
      </w:r>
      <w:r>
        <w:rPr>
          <w:sz w:val="24"/>
        </w:rPr>
        <w:t>s</w:t>
      </w:r>
      <w:r>
        <w:rPr>
          <w:sz w:val="24"/>
          <w:lang w:val="en-CA"/>
        </w:rPr>
        <w:t xml:space="preserve"> comparing the individual and combined diagnostic </w:t>
      </w:r>
      <w:r>
        <w:rPr>
          <w:sz w:val="24"/>
        </w:rPr>
        <w:t>performance</w:t>
      </w:r>
      <w:r>
        <w:rPr>
          <w:sz w:val="24"/>
          <w:lang w:val="en-CA"/>
        </w:rPr>
        <w:t xml:space="preserve"> of TAT, TM, tPAIC, PIC, ATIII</w:t>
      </w:r>
      <w:r>
        <w:rPr>
          <w:sz w:val="24"/>
        </w:rPr>
        <w:t xml:space="preserve"> </w:t>
      </w:r>
      <w:r>
        <w:rPr>
          <w:sz w:val="24"/>
          <w:lang w:val="en-CA"/>
        </w:rPr>
        <w:t>for overt</w:t>
      </w:r>
      <w:r>
        <w:rPr>
          <w:sz w:val="24"/>
        </w:rPr>
        <w:t>-</w:t>
      </w:r>
      <w:r>
        <w:rPr>
          <w:sz w:val="24"/>
          <w:lang w:val="en-CA"/>
        </w:rPr>
        <w:t xml:space="preserve">DIC (Table 5, </w:t>
      </w:r>
      <w:r>
        <w:rPr>
          <w:rFonts w:hint="eastAsia"/>
          <w:color w:val="auto"/>
          <w:sz w:val="24"/>
          <w:lang w:val="en-US" w:eastAsia="zh-CN"/>
        </w:rPr>
        <w:t xml:space="preserve">Supplemental </w:t>
      </w:r>
      <w:r>
        <w:rPr>
          <w:sz w:val="24"/>
          <w:lang w:val="en-CA"/>
        </w:rPr>
        <w:t xml:space="preserve">Figure </w:t>
      </w:r>
      <w:r>
        <w:rPr>
          <w:sz w:val="24"/>
        </w:rPr>
        <w:t>2</w:t>
      </w:r>
      <w:r>
        <w:rPr>
          <w:sz w:val="24"/>
          <w:lang w:val="en-CA"/>
        </w:rPr>
        <w:t xml:space="preserve">a). We found that TAT (AUC=0.751, 95% CI 0.691-0.811, </w:t>
      </w:r>
      <w:r>
        <w:rPr>
          <w:i/>
          <w:iCs/>
          <w:sz w:val="24"/>
          <w:lang w:val="en-CA"/>
        </w:rPr>
        <w:t>P</w:t>
      </w:r>
      <w:r>
        <w:rPr>
          <w:sz w:val="24"/>
          <w:lang w:val="en-CA"/>
        </w:rPr>
        <w:t xml:space="preserve">&lt;0.001) and ATIII (AUC=0.731, 95% CI 0.660-0.802, </w:t>
      </w:r>
      <w:r>
        <w:rPr>
          <w:i/>
          <w:iCs/>
          <w:sz w:val="24"/>
          <w:lang w:val="en-CA"/>
        </w:rPr>
        <w:t>P</w:t>
      </w:r>
      <w:r>
        <w:rPr>
          <w:sz w:val="24"/>
          <w:lang w:val="en-CA"/>
        </w:rPr>
        <w:t>&lt;0.001) had higher accuracies in diagnosing overt</w:t>
      </w:r>
      <w:r>
        <w:rPr>
          <w:sz w:val="24"/>
        </w:rPr>
        <w:t>-</w:t>
      </w:r>
      <w:r>
        <w:rPr>
          <w:sz w:val="24"/>
          <w:lang w:val="en-CA"/>
        </w:rPr>
        <w:t xml:space="preserve">DIC compared to TM (AUC=0.656, 95% CI 0.594-0.717, </w:t>
      </w:r>
      <w:r>
        <w:rPr>
          <w:i/>
          <w:iCs/>
          <w:sz w:val="24"/>
          <w:lang w:val="en-CA"/>
        </w:rPr>
        <w:t>P</w:t>
      </w:r>
      <w:r>
        <w:rPr>
          <w:sz w:val="24"/>
          <w:lang w:val="en-CA"/>
        </w:rPr>
        <w:t xml:space="preserve">&lt;0.001), PIC (AUC=0.649, 95% CI 0.579-0.718, </w:t>
      </w:r>
      <w:r>
        <w:rPr>
          <w:i/>
          <w:iCs/>
          <w:sz w:val="24"/>
          <w:lang w:val="en-CA"/>
        </w:rPr>
        <w:t>P</w:t>
      </w:r>
      <w:r>
        <w:rPr>
          <w:sz w:val="24"/>
          <w:lang w:val="en-CA"/>
        </w:rPr>
        <w:t xml:space="preserve">&lt;0.001), and tPAIC (AUC=0.624, 95% CI 0.558-0.690, </w:t>
      </w:r>
      <w:r>
        <w:rPr>
          <w:i/>
          <w:iCs/>
          <w:sz w:val="24"/>
          <w:lang w:val="en-CA"/>
        </w:rPr>
        <w:t>P</w:t>
      </w:r>
      <w:r>
        <w:rPr>
          <w:sz w:val="24"/>
          <w:lang w:val="en-CA"/>
        </w:rPr>
        <w:t>&lt;0.001). Notably, the diagnostic accuracy of TAT/ATIII was superior to TAT and ATIII</w:t>
      </w:r>
      <w:r>
        <w:rPr>
          <w:sz w:val="24"/>
        </w:rPr>
        <w:t xml:space="preserve"> alone</w:t>
      </w:r>
      <w:r>
        <w:rPr>
          <w:sz w:val="24"/>
          <w:lang w:val="en-CA"/>
        </w:rPr>
        <w:t xml:space="preserve">, with an AUC of 0.817 (95% CI 0.746-0.889, </w:t>
      </w:r>
      <w:r>
        <w:rPr>
          <w:i/>
          <w:iCs/>
          <w:sz w:val="24"/>
          <w:lang w:val="en-CA"/>
        </w:rPr>
        <w:t>P</w:t>
      </w:r>
      <w:r>
        <w:rPr>
          <w:sz w:val="24"/>
          <w:lang w:val="en-CA"/>
        </w:rPr>
        <w:t>&lt;0.001) and an optimal cutoff value of 24.33, corresponding to a sensitivity of 72% and specificity of 84%. Furthermore, when TAT</w:t>
      </w:r>
      <w:r>
        <w:rPr>
          <w:sz w:val="24"/>
        </w:rPr>
        <w:t xml:space="preserve"> was </w:t>
      </w:r>
      <w:r>
        <w:rPr>
          <w:sz w:val="24"/>
          <w:lang w:val="en-CA"/>
        </w:rPr>
        <w:t>combined with ATIII to diagnose overt</w:t>
      </w:r>
      <w:r>
        <w:rPr>
          <w:sz w:val="24"/>
        </w:rPr>
        <w:t>-</w:t>
      </w:r>
      <w:r>
        <w:rPr>
          <w:sz w:val="24"/>
          <w:lang w:val="en-CA"/>
        </w:rPr>
        <w:t xml:space="preserve">DIC, the AUC was 0.851 (95% CI 0.792-0.910, </w:t>
      </w:r>
      <w:r>
        <w:rPr>
          <w:i/>
          <w:iCs/>
          <w:sz w:val="24"/>
          <w:lang w:val="en-CA"/>
        </w:rPr>
        <w:t>P</w:t>
      </w:r>
      <w:r>
        <w:rPr>
          <w:sz w:val="24"/>
          <w:lang w:val="en-CA"/>
        </w:rPr>
        <w:t xml:space="preserve">&lt;0.001), higher than the AUC of TAT/ATIII. The highest AUC of 0.875 (95% CI 0.815-0.936, </w:t>
      </w:r>
      <w:r>
        <w:rPr>
          <w:i/>
          <w:iCs/>
          <w:sz w:val="24"/>
          <w:lang w:val="en-CA"/>
        </w:rPr>
        <w:t>P</w:t>
      </w:r>
      <w:r>
        <w:rPr>
          <w:sz w:val="24"/>
          <w:lang w:val="en-CA"/>
        </w:rPr>
        <w:t xml:space="preserve">&lt;0.001) was obtained when TAT, TM, tPAIC, PIC, </w:t>
      </w:r>
      <w:r>
        <w:rPr>
          <w:sz w:val="24"/>
        </w:rPr>
        <w:t xml:space="preserve">and </w:t>
      </w:r>
      <w:r>
        <w:rPr>
          <w:sz w:val="24"/>
          <w:lang w:val="en-CA"/>
        </w:rPr>
        <w:t>ATIII</w:t>
      </w:r>
      <w:r>
        <w:rPr>
          <w:sz w:val="24"/>
        </w:rPr>
        <w:t xml:space="preserve"> </w:t>
      </w:r>
      <w:r>
        <w:rPr>
          <w:sz w:val="24"/>
          <w:lang w:val="en-CA"/>
        </w:rPr>
        <w:t>were combined to diagnose overt</w:t>
      </w:r>
      <w:r>
        <w:rPr>
          <w:sz w:val="24"/>
        </w:rPr>
        <w:t>-</w:t>
      </w:r>
      <w:r>
        <w:rPr>
          <w:sz w:val="24"/>
          <w:lang w:val="en-CA"/>
        </w:rPr>
        <w:t xml:space="preserve">DIC. The diagnostic </w:t>
      </w:r>
      <w:r>
        <w:rPr>
          <w:sz w:val="24"/>
        </w:rPr>
        <w:t>performance</w:t>
      </w:r>
      <w:r>
        <w:rPr>
          <w:sz w:val="24"/>
          <w:lang w:val="en-CA"/>
        </w:rPr>
        <w:t xml:space="preserve"> of TAT, TM, tPAIC, PIC, ATIII, and TAT/ATIII for overt</w:t>
      </w:r>
      <w:r>
        <w:rPr>
          <w:sz w:val="24"/>
        </w:rPr>
        <w:t>-</w:t>
      </w:r>
      <w:r>
        <w:rPr>
          <w:sz w:val="24"/>
          <w:lang w:val="en-CA"/>
        </w:rPr>
        <w:t xml:space="preserve">DIC varied with different cutoff values, as shown in </w:t>
      </w:r>
      <w:r>
        <w:rPr>
          <w:rFonts w:hint="eastAsia"/>
          <w:color w:val="auto"/>
          <w:sz w:val="24"/>
          <w:lang w:val="en-US" w:eastAsia="zh-CN"/>
        </w:rPr>
        <w:t xml:space="preserve">Supplemental </w:t>
      </w:r>
      <w:r>
        <w:rPr>
          <w:sz w:val="24"/>
          <w:lang w:val="en-CA"/>
        </w:rPr>
        <w:t>Figure</w:t>
      </w:r>
      <w:r>
        <w:rPr>
          <w:rFonts w:hint="eastAsia"/>
          <w:sz w:val="24"/>
          <w:lang w:val="en-US" w:eastAsia="zh-CN"/>
        </w:rPr>
        <w:t xml:space="preserve"> </w:t>
      </w:r>
      <w:r>
        <w:rPr>
          <w:sz w:val="24"/>
        </w:rPr>
        <w:t>3</w:t>
      </w:r>
      <w:r>
        <w:rPr>
          <w:sz w:val="24"/>
          <w:lang w:val="en-CA"/>
        </w:rPr>
        <w:t xml:space="preserve"> a-h.</w:t>
      </w:r>
    </w:p>
    <w:p w14:paraId="261DC0D7">
      <w:pPr>
        <w:spacing w:after="0" w:afterLines="0"/>
        <w:ind w:firstLine="0" w:firstLineChars="0"/>
        <w:outlineLvl w:val="1"/>
        <w:rPr>
          <w:sz w:val="24"/>
          <w:lang w:val="en-CA"/>
        </w:rPr>
      </w:pPr>
      <w:r>
        <w:rPr>
          <w:b/>
          <w:bCs/>
          <w:sz w:val="24"/>
          <w:lang w:val="en-CA"/>
        </w:rPr>
        <w:t>Predictive performance of hemostatic biomarkers</w:t>
      </w:r>
      <w:r>
        <w:rPr>
          <w:b/>
          <w:bCs/>
          <w:sz w:val="24"/>
        </w:rPr>
        <w:t xml:space="preserve"> and </w:t>
      </w:r>
      <w:r>
        <w:rPr>
          <w:b/>
          <w:bCs/>
          <w:sz w:val="24"/>
          <w:lang w:val="en-CA"/>
        </w:rPr>
        <w:t>ATIII</w:t>
      </w:r>
      <w:r>
        <w:rPr>
          <w:b/>
          <w:bCs/>
          <w:sz w:val="24"/>
        </w:rPr>
        <w:t xml:space="preserve"> </w:t>
      </w:r>
      <w:r>
        <w:rPr>
          <w:b/>
          <w:bCs/>
          <w:sz w:val="24"/>
          <w:lang w:val="en-CA"/>
        </w:rPr>
        <w:t>for overt-DIC</w:t>
      </w:r>
      <w:r>
        <w:rPr>
          <w:b/>
          <w:bCs/>
          <w:sz w:val="24"/>
        </w:rPr>
        <w:t xml:space="preserve"> in training</w:t>
      </w:r>
    </w:p>
    <w:p w14:paraId="0B4AC74E">
      <w:pPr>
        <w:spacing w:after="0" w:afterLines="0"/>
        <w:rPr>
          <w:sz w:val="24"/>
          <w:lang w:val="en-CA"/>
        </w:rPr>
      </w:pPr>
      <w:r>
        <w:rPr>
          <w:sz w:val="24"/>
        </w:rPr>
        <w:t xml:space="preserve">TAT, TM, tPAIC, </w:t>
      </w:r>
      <w:r>
        <w:rPr>
          <w:sz w:val="24"/>
          <w:lang w:val="en-CA"/>
        </w:rPr>
        <w:t xml:space="preserve">ATIII, and their derived </w:t>
      </w:r>
      <w:r>
        <w:rPr>
          <w:sz w:val="24"/>
        </w:rPr>
        <w:t>markers</w:t>
      </w:r>
      <w:r>
        <w:rPr>
          <w:sz w:val="24"/>
          <w:lang w:val="en-CA"/>
        </w:rPr>
        <w:t xml:space="preserve"> with statistically significant differences between </w:t>
      </w:r>
      <w:r>
        <w:rPr>
          <w:sz w:val="24"/>
        </w:rPr>
        <w:t>pre-</w:t>
      </w:r>
      <w:r>
        <w:rPr>
          <w:sz w:val="24"/>
          <w:lang w:val="en-CA"/>
        </w:rPr>
        <w:t>DIC patients and non</w:t>
      </w:r>
      <w:r>
        <w:rPr>
          <w:sz w:val="24"/>
        </w:rPr>
        <w:t>-</w:t>
      </w:r>
      <w:r>
        <w:rPr>
          <w:sz w:val="24"/>
          <w:lang w:val="en-CA"/>
        </w:rPr>
        <w:t>DIC patients were selected to construct general logistic regression model</w:t>
      </w:r>
      <w:r>
        <w:rPr>
          <w:sz w:val="24"/>
        </w:rPr>
        <w:t>s</w:t>
      </w:r>
      <w:r>
        <w:rPr>
          <w:sz w:val="24"/>
          <w:lang w:val="en-CA"/>
        </w:rPr>
        <w:t xml:space="preserve"> comparing the individual and combined </w:t>
      </w:r>
      <w:r>
        <w:rPr>
          <w:sz w:val="24"/>
        </w:rPr>
        <w:t>predictive</w:t>
      </w:r>
      <w:r>
        <w:rPr>
          <w:sz w:val="24"/>
          <w:lang w:val="en-CA"/>
        </w:rPr>
        <w:t xml:space="preserve"> </w:t>
      </w:r>
      <w:r>
        <w:rPr>
          <w:sz w:val="24"/>
        </w:rPr>
        <w:t>performance</w:t>
      </w:r>
      <w:r>
        <w:rPr>
          <w:sz w:val="24"/>
          <w:lang w:val="en-CA"/>
        </w:rPr>
        <w:t xml:space="preserve"> of TAT, TM, tPAIC, </w:t>
      </w:r>
      <w:r>
        <w:rPr>
          <w:rFonts w:hint="eastAsia"/>
          <w:sz w:val="24"/>
          <w:lang w:val="en-CA"/>
        </w:rPr>
        <w:t>and</w:t>
      </w:r>
      <w:r>
        <w:rPr>
          <w:sz w:val="24"/>
          <w:lang w:val="en-CA"/>
        </w:rPr>
        <w:t xml:space="preserve"> ATIII</w:t>
      </w:r>
      <w:r>
        <w:rPr>
          <w:sz w:val="24"/>
        </w:rPr>
        <w:t xml:space="preserve"> </w:t>
      </w:r>
      <w:r>
        <w:rPr>
          <w:sz w:val="24"/>
          <w:lang w:val="en-CA"/>
        </w:rPr>
        <w:t>for overt</w:t>
      </w:r>
      <w:r>
        <w:rPr>
          <w:sz w:val="24"/>
        </w:rPr>
        <w:t>-</w:t>
      </w:r>
      <w:r>
        <w:rPr>
          <w:sz w:val="24"/>
          <w:lang w:val="en-CA"/>
        </w:rPr>
        <w:t xml:space="preserve">DIC (Table 5, </w:t>
      </w:r>
      <w:r>
        <w:rPr>
          <w:rFonts w:hint="eastAsia"/>
          <w:color w:val="auto"/>
          <w:sz w:val="24"/>
          <w:lang w:val="en-US" w:eastAsia="zh-CN"/>
        </w:rPr>
        <w:t xml:space="preserve">Supplemental </w:t>
      </w:r>
      <w:r>
        <w:rPr>
          <w:sz w:val="24"/>
          <w:lang w:val="en-CA"/>
        </w:rPr>
        <w:t xml:space="preserve">Figure </w:t>
      </w:r>
      <w:r>
        <w:rPr>
          <w:sz w:val="24"/>
        </w:rPr>
        <w:t>2b</w:t>
      </w:r>
      <w:r>
        <w:rPr>
          <w:sz w:val="24"/>
          <w:lang w:val="en-CA"/>
        </w:rPr>
        <w:t>). The results showed that TAT (AUC=0.730</w:t>
      </w:r>
      <w:r>
        <w:rPr>
          <w:sz w:val="24"/>
        </w:rPr>
        <w:t xml:space="preserve">, </w:t>
      </w:r>
      <w:r>
        <w:rPr>
          <w:sz w:val="24"/>
          <w:lang w:val="en-CA"/>
        </w:rPr>
        <w:t>95% CI 0.651-0.808</w:t>
      </w:r>
      <w:r>
        <w:rPr>
          <w:sz w:val="24"/>
        </w:rPr>
        <w:t xml:space="preserve">, </w:t>
      </w:r>
      <w:r>
        <w:rPr>
          <w:i/>
          <w:iCs/>
          <w:sz w:val="24"/>
          <w:lang w:val="en-CA"/>
        </w:rPr>
        <w:t>P</w:t>
      </w:r>
      <w:r>
        <w:rPr>
          <w:sz w:val="24"/>
          <w:lang w:val="en-CA"/>
        </w:rPr>
        <w:t>&lt;0.001) and ATIII (AUC=0.707</w:t>
      </w:r>
      <w:r>
        <w:rPr>
          <w:sz w:val="24"/>
        </w:rPr>
        <w:t xml:space="preserve">, </w:t>
      </w:r>
      <w:r>
        <w:rPr>
          <w:sz w:val="24"/>
          <w:lang w:val="en-CA"/>
        </w:rPr>
        <w:t>95% CI 0.596-0.818</w:t>
      </w:r>
      <w:r>
        <w:rPr>
          <w:sz w:val="24"/>
        </w:rPr>
        <w:t xml:space="preserve">, </w:t>
      </w:r>
      <w:r>
        <w:rPr>
          <w:i/>
          <w:iCs/>
          <w:sz w:val="24"/>
          <w:lang w:val="en-CA"/>
        </w:rPr>
        <w:t>P</w:t>
      </w:r>
      <w:r>
        <w:rPr>
          <w:sz w:val="24"/>
          <w:lang w:val="en-CA"/>
        </w:rPr>
        <w:t>&lt;0.001) had higher accurac</w:t>
      </w:r>
      <w:r>
        <w:rPr>
          <w:rFonts w:hint="eastAsia"/>
          <w:sz w:val="24"/>
          <w:lang w:val="en-CA"/>
        </w:rPr>
        <w:t>ies</w:t>
      </w:r>
      <w:r>
        <w:rPr>
          <w:sz w:val="24"/>
          <w:lang w:val="en-CA"/>
        </w:rPr>
        <w:t xml:space="preserve"> for </w:t>
      </w:r>
      <w:r>
        <w:rPr>
          <w:sz w:val="24"/>
        </w:rPr>
        <w:t>predicting</w:t>
      </w:r>
      <w:r>
        <w:rPr>
          <w:sz w:val="24"/>
          <w:lang w:val="en-CA"/>
        </w:rPr>
        <w:t xml:space="preserve"> overt</w:t>
      </w:r>
      <w:r>
        <w:rPr>
          <w:sz w:val="24"/>
        </w:rPr>
        <w:t>-</w:t>
      </w:r>
      <w:r>
        <w:rPr>
          <w:sz w:val="24"/>
          <w:lang w:val="en-CA"/>
        </w:rPr>
        <w:t>DIC compared to TM (AUC=0.688</w:t>
      </w:r>
      <w:r>
        <w:rPr>
          <w:sz w:val="24"/>
        </w:rPr>
        <w:t xml:space="preserve">, </w:t>
      </w:r>
      <w:r>
        <w:rPr>
          <w:sz w:val="24"/>
          <w:lang w:val="en-CA"/>
        </w:rPr>
        <w:t>95% CI 0.616-0.760</w:t>
      </w:r>
      <w:r>
        <w:rPr>
          <w:sz w:val="24"/>
        </w:rPr>
        <w:t xml:space="preserve">, </w:t>
      </w:r>
      <w:r>
        <w:rPr>
          <w:i/>
          <w:iCs/>
          <w:sz w:val="24"/>
          <w:lang w:val="en-CA"/>
        </w:rPr>
        <w:t>P</w:t>
      </w:r>
      <w:r>
        <w:rPr>
          <w:sz w:val="24"/>
          <w:lang w:val="en-CA"/>
        </w:rPr>
        <w:t>&lt;0.001)</w:t>
      </w:r>
      <w:r>
        <w:rPr>
          <w:sz w:val="24"/>
        </w:rPr>
        <w:t xml:space="preserve"> </w:t>
      </w:r>
      <w:r>
        <w:rPr>
          <w:sz w:val="24"/>
          <w:lang w:val="en-CA"/>
        </w:rPr>
        <w:t>and tPAIC (AUC=0.696</w:t>
      </w:r>
      <w:r>
        <w:rPr>
          <w:sz w:val="24"/>
        </w:rPr>
        <w:t xml:space="preserve">, </w:t>
      </w:r>
      <w:r>
        <w:rPr>
          <w:sz w:val="24"/>
          <w:lang w:val="en-CA"/>
        </w:rPr>
        <w:t>95% CI 0.621-0.770</w:t>
      </w:r>
      <w:r>
        <w:rPr>
          <w:sz w:val="24"/>
        </w:rPr>
        <w:t xml:space="preserve">, </w:t>
      </w:r>
      <w:r>
        <w:rPr>
          <w:i/>
          <w:iCs/>
          <w:sz w:val="24"/>
          <w:lang w:val="en-CA"/>
        </w:rPr>
        <w:t>P</w:t>
      </w:r>
      <w:r>
        <w:rPr>
          <w:sz w:val="24"/>
          <w:lang w:val="en-CA"/>
        </w:rPr>
        <w:t xml:space="preserve">&lt;0.001). Notably, the </w:t>
      </w:r>
      <w:r>
        <w:rPr>
          <w:sz w:val="24"/>
        </w:rPr>
        <w:t>predictive</w:t>
      </w:r>
      <w:r>
        <w:rPr>
          <w:sz w:val="24"/>
          <w:lang w:val="en-CA"/>
        </w:rPr>
        <w:t xml:space="preserve"> accuracy of TAT/ATIII was superior to TAT and ATIII</w:t>
      </w:r>
      <w:r>
        <w:rPr>
          <w:sz w:val="24"/>
        </w:rPr>
        <w:t xml:space="preserve"> alone</w:t>
      </w:r>
      <w:r>
        <w:rPr>
          <w:sz w:val="24"/>
          <w:lang w:val="en-CA"/>
        </w:rPr>
        <w:t>, with an AUC of 0.</w:t>
      </w:r>
      <w:r>
        <w:rPr>
          <w:sz w:val="24"/>
        </w:rPr>
        <w:t>771</w:t>
      </w:r>
      <w:r>
        <w:rPr>
          <w:sz w:val="24"/>
          <w:lang w:val="en-CA"/>
        </w:rPr>
        <w:t xml:space="preserve"> (95% CI 0.675-0.866</w:t>
      </w:r>
      <w:r>
        <w:rPr>
          <w:sz w:val="24"/>
        </w:rPr>
        <w:t xml:space="preserve">, </w:t>
      </w:r>
      <w:r>
        <w:rPr>
          <w:i/>
          <w:iCs/>
          <w:sz w:val="24"/>
          <w:lang w:val="en-CA"/>
        </w:rPr>
        <w:t>P</w:t>
      </w:r>
      <w:r>
        <w:rPr>
          <w:sz w:val="24"/>
          <w:lang w:val="en-CA"/>
        </w:rPr>
        <w:t>&lt;0.001) and an optimal cutoff value of 2</w:t>
      </w:r>
      <w:r>
        <w:rPr>
          <w:sz w:val="24"/>
        </w:rPr>
        <w:t>2.10</w:t>
      </w:r>
      <w:r>
        <w:rPr>
          <w:sz w:val="24"/>
          <w:lang w:val="en-CA"/>
        </w:rPr>
        <w:t xml:space="preserve">, corresponding to a sensitivity of </w:t>
      </w:r>
      <w:r>
        <w:rPr>
          <w:sz w:val="24"/>
        </w:rPr>
        <w:t>55</w:t>
      </w:r>
      <w:r>
        <w:rPr>
          <w:sz w:val="24"/>
          <w:lang w:val="en-CA"/>
        </w:rPr>
        <w:t>% and specificity of 8</w:t>
      </w:r>
      <w:r>
        <w:rPr>
          <w:sz w:val="24"/>
        </w:rPr>
        <w:t>9</w:t>
      </w:r>
      <w:r>
        <w:rPr>
          <w:sz w:val="24"/>
          <w:lang w:val="en-CA"/>
        </w:rPr>
        <w:t>%. Furthermore, when TAT</w:t>
      </w:r>
      <w:r>
        <w:rPr>
          <w:sz w:val="24"/>
        </w:rPr>
        <w:t xml:space="preserve"> </w:t>
      </w:r>
      <w:r>
        <w:rPr>
          <w:sz w:val="24"/>
          <w:lang w:val="en-CA"/>
        </w:rPr>
        <w:t xml:space="preserve">combined with ATIII to </w:t>
      </w:r>
      <w:r>
        <w:rPr>
          <w:sz w:val="24"/>
        </w:rPr>
        <w:t>predict</w:t>
      </w:r>
      <w:r>
        <w:rPr>
          <w:sz w:val="24"/>
          <w:lang w:val="en-CA"/>
        </w:rPr>
        <w:t xml:space="preserve"> overt</w:t>
      </w:r>
      <w:r>
        <w:rPr>
          <w:sz w:val="24"/>
        </w:rPr>
        <w:t>-</w:t>
      </w:r>
      <w:r>
        <w:rPr>
          <w:sz w:val="24"/>
          <w:lang w:val="en-CA"/>
        </w:rPr>
        <w:t>DIC, the AUC was 0.</w:t>
      </w:r>
      <w:r>
        <w:rPr>
          <w:sz w:val="24"/>
        </w:rPr>
        <w:t>796</w:t>
      </w:r>
      <w:r>
        <w:rPr>
          <w:sz w:val="24"/>
          <w:lang w:val="en-CA"/>
        </w:rPr>
        <w:t xml:space="preserve"> (95% CI 0.696-0.897</w:t>
      </w:r>
      <w:r>
        <w:rPr>
          <w:sz w:val="24"/>
        </w:rPr>
        <w:t xml:space="preserve">, </w:t>
      </w:r>
      <w:r>
        <w:rPr>
          <w:i/>
          <w:iCs/>
          <w:sz w:val="24"/>
          <w:lang w:val="en-CA"/>
        </w:rPr>
        <w:t>P</w:t>
      </w:r>
      <w:r>
        <w:rPr>
          <w:sz w:val="24"/>
          <w:lang w:val="en-CA"/>
        </w:rPr>
        <w:t>&lt;0.001), higher than the AUC of TAT/ATIII. The highest AUC of 0.8</w:t>
      </w:r>
      <w:r>
        <w:rPr>
          <w:sz w:val="24"/>
        </w:rPr>
        <w:t>38</w:t>
      </w:r>
      <w:r>
        <w:rPr>
          <w:sz w:val="24"/>
          <w:lang w:val="en-CA"/>
        </w:rPr>
        <w:t xml:space="preserve"> (95% CI 0.754-0.922</w:t>
      </w:r>
      <w:r>
        <w:rPr>
          <w:sz w:val="24"/>
        </w:rPr>
        <w:t xml:space="preserve">, </w:t>
      </w:r>
      <w:r>
        <w:rPr>
          <w:i/>
          <w:iCs/>
          <w:sz w:val="24"/>
          <w:lang w:val="en-CA"/>
        </w:rPr>
        <w:t>P</w:t>
      </w:r>
      <w:r>
        <w:rPr>
          <w:sz w:val="24"/>
          <w:lang w:val="en-CA"/>
        </w:rPr>
        <w:t xml:space="preserve">&lt;0.001) was obtained when TAT, TM, tPAIC, </w:t>
      </w:r>
      <w:r>
        <w:rPr>
          <w:sz w:val="24"/>
        </w:rPr>
        <w:t xml:space="preserve">and </w:t>
      </w:r>
      <w:r>
        <w:rPr>
          <w:sz w:val="24"/>
          <w:lang w:val="en-CA"/>
        </w:rPr>
        <w:t>ATIII</w:t>
      </w:r>
      <w:r>
        <w:rPr>
          <w:sz w:val="24"/>
        </w:rPr>
        <w:t xml:space="preserve"> </w:t>
      </w:r>
      <w:r>
        <w:rPr>
          <w:sz w:val="24"/>
          <w:lang w:val="en-CA"/>
        </w:rPr>
        <w:t xml:space="preserve">were combined to </w:t>
      </w:r>
      <w:r>
        <w:rPr>
          <w:sz w:val="24"/>
        </w:rPr>
        <w:t>predictive</w:t>
      </w:r>
      <w:r>
        <w:rPr>
          <w:sz w:val="24"/>
          <w:lang w:val="en-CA"/>
        </w:rPr>
        <w:t xml:space="preserve"> overt</w:t>
      </w:r>
      <w:r>
        <w:rPr>
          <w:sz w:val="24"/>
        </w:rPr>
        <w:t>-</w:t>
      </w:r>
      <w:r>
        <w:rPr>
          <w:sz w:val="24"/>
          <w:lang w:val="en-CA"/>
        </w:rPr>
        <w:t xml:space="preserve">DIC. The </w:t>
      </w:r>
      <w:r>
        <w:rPr>
          <w:sz w:val="24"/>
        </w:rPr>
        <w:t>predictive</w:t>
      </w:r>
      <w:r>
        <w:rPr>
          <w:sz w:val="24"/>
          <w:lang w:val="en-CA"/>
        </w:rPr>
        <w:t xml:space="preserve"> </w:t>
      </w:r>
      <w:r>
        <w:rPr>
          <w:sz w:val="24"/>
        </w:rPr>
        <w:t>performance</w:t>
      </w:r>
      <w:r>
        <w:rPr>
          <w:sz w:val="24"/>
          <w:lang w:val="en-CA"/>
        </w:rPr>
        <w:t xml:space="preserve"> of TAT, TM, tPAIC, ATIII, and TAT/ATIII for overt</w:t>
      </w:r>
      <w:r>
        <w:rPr>
          <w:sz w:val="24"/>
        </w:rPr>
        <w:t>-</w:t>
      </w:r>
      <w:r>
        <w:rPr>
          <w:sz w:val="24"/>
          <w:lang w:val="en-CA"/>
        </w:rPr>
        <w:t xml:space="preserve">DIC varied with different cutoff values, as shown in </w:t>
      </w:r>
      <w:r>
        <w:rPr>
          <w:rFonts w:hint="eastAsia"/>
          <w:color w:val="auto"/>
          <w:sz w:val="24"/>
          <w:lang w:val="en-US" w:eastAsia="zh-CN"/>
        </w:rPr>
        <w:t xml:space="preserve">Supplemental </w:t>
      </w:r>
      <w:r>
        <w:rPr>
          <w:sz w:val="24"/>
          <w:lang w:val="en-CA"/>
        </w:rPr>
        <w:t xml:space="preserve">Figure </w:t>
      </w:r>
      <w:r>
        <w:rPr>
          <w:sz w:val="24"/>
        </w:rPr>
        <w:t>3</w:t>
      </w:r>
      <w:r>
        <w:rPr>
          <w:sz w:val="24"/>
          <w:lang w:val="en-CA"/>
        </w:rPr>
        <w:t xml:space="preserve"> </w:t>
      </w:r>
      <w:r>
        <w:rPr>
          <w:sz w:val="24"/>
        </w:rPr>
        <w:t>i-n</w:t>
      </w:r>
      <w:r>
        <w:rPr>
          <w:sz w:val="24"/>
          <w:lang w:val="en-CA"/>
        </w:rPr>
        <w:t>.</w:t>
      </w:r>
    </w:p>
    <w:p w14:paraId="6415C98B">
      <w:pPr>
        <w:spacing w:after="0" w:afterLines="0"/>
        <w:rPr>
          <w:sz w:val="24"/>
          <w:lang w:val="en-CA"/>
        </w:rPr>
      </w:pPr>
      <w:r>
        <w:rPr>
          <w:rFonts w:hint="eastAsia"/>
          <w:sz w:val="24"/>
        </w:rPr>
        <w:t>B</w:t>
      </w:r>
      <w:r>
        <w:rPr>
          <w:sz w:val="24"/>
          <w:lang w:val="en-CA"/>
        </w:rPr>
        <w:t xml:space="preserve">ased on the time of overt-DIC occurrence, pre-DIC patients were divided into two groups, namely those progressing to overt-DIC within 3 days and after 3 days (Table 6). The analysis of baseline characteristics showed that compared to non-DIC patients, pre-DIC patients progressing to overt-DIC within 3 days had </w:t>
      </w:r>
      <w:r>
        <w:rPr>
          <w:rFonts w:hint="eastAsia"/>
          <w:sz w:val="24"/>
          <w:lang w:val="en-CA"/>
        </w:rPr>
        <w:t>higher</w:t>
      </w:r>
      <w:r>
        <w:rPr>
          <w:sz w:val="24"/>
          <w:lang w:val="en-CA"/>
        </w:rPr>
        <w:t xml:space="preserve"> levels of TAT (18.20 ng/ml vs 5.61 ng/ml, </w:t>
      </w:r>
      <w:r>
        <w:rPr>
          <w:i/>
          <w:iCs/>
          <w:sz w:val="24"/>
          <w:lang w:val="en-CA"/>
        </w:rPr>
        <w:t>P</w:t>
      </w:r>
      <w:r>
        <w:rPr>
          <w:sz w:val="24"/>
          <w:lang w:val="en-CA"/>
        </w:rPr>
        <w:t xml:space="preserve">&lt;0.001), TM (24.28 TU/ml vs 16.01 TU/ml, </w:t>
      </w:r>
      <w:r>
        <w:rPr>
          <w:i/>
          <w:iCs/>
          <w:sz w:val="24"/>
          <w:lang w:val="en-CA"/>
        </w:rPr>
        <w:t>P</w:t>
      </w:r>
      <w:r>
        <w:rPr>
          <w:sz w:val="24"/>
          <w:lang w:val="en-CA"/>
        </w:rPr>
        <w:t xml:space="preserve">&lt;0.001), tPAIC (17.97 ng/ml vs 9.64 ng/ml, </w:t>
      </w:r>
      <w:r>
        <w:rPr>
          <w:i/>
          <w:iCs/>
          <w:sz w:val="24"/>
          <w:lang w:val="en-CA"/>
        </w:rPr>
        <w:t>P</w:t>
      </w:r>
      <w:r>
        <w:rPr>
          <w:sz w:val="24"/>
          <w:lang w:val="en-CA"/>
        </w:rPr>
        <w:t xml:space="preserve">&lt;0.001), TAT/ATIII (31.76 vs 8.21, </w:t>
      </w:r>
      <w:r>
        <w:rPr>
          <w:i/>
          <w:iCs/>
          <w:sz w:val="24"/>
          <w:lang w:val="en-CA"/>
        </w:rPr>
        <w:t>P</w:t>
      </w:r>
      <w:r>
        <w:rPr>
          <w:sz w:val="24"/>
          <w:lang w:val="en-CA"/>
        </w:rPr>
        <w:t xml:space="preserve">&lt;0.001), and TAT/PIC (7.34 vs 4.75, </w:t>
      </w:r>
      <w:r>
        <w:rPr>
          <w:i/>
          <w:iCs/>
          <w:sz w:val="24"/>
          <w:lang w:val="en-CA"/>
        </w:rPr>
        <w:t>P</w:t>
      </w:r>
      <w:r>
        <w:rPr>
          <w:sz w:val="24"/>
          <w:lang w:val="en-CA"/>
        </w:rPr>
        <w:t xml:space="preserve">=0.012), with decreased ATIII activity (0.52 vs 0.75, </w:t>
      </w:r>
      <w:r>
        <w:rPr>
          <w:i/>
          <w:iCs/>
          <w:sz w:val="24"/>
          <w:lang w:val="en-CA"/>
        </w:rPr>
        <w:t>P</w:t>
      </w:r>
      <w:r>
        <w:rPr>
          <w:sz w:val="24"/>
          <w:lang w:val="en-CA"/>
        </w:rPr>
        <w:t xml:space="preserve">=0.002).  </w:t>
      </w:r>
    </w:p>
    <w:p w14:paraId="04AF62F1">
      <w:pPr>
        <w:spacing w:after="240" w:afterLines="0"/>
        <w:ind w:firstLine="0" w:firstLineChars="0"/>
        <w:rPr>
          <w:sz w:val="24"/>
          <w:lang w:val="en-CA"/>
        </w:rPr>
      </w:pPr>
      <w:r>
        <w:rPr>
          <w:sz w:val="24"/>
          <w:lang w:val="en-CA"/>
        </w:rPr>
        <w:t>O</w:t>
      </w:r>
      <w:r>
        <w:rPr>
          <w:rFonts w:hint="eastAsia"/>
          <w:sz w:val="24"/>
          <w:lang w:val="en-CA"/>
        </w:rPr>
        <w:t>f</w:t>
      </w:r>
      <w:r>
        <w:rPr>
          <w:sz w:val="24"/>
          <w:lang w:val="en-CA"/>
        </w:rPr>
        <w:t xml:space="preserve"> </w:t>
      </w:r>
      <w:r>
        <w:rPr>
          <w:rFonts w:hint="eastAsia"/>
          <w:sz w:val="24"/>
          <w:lang w:val="en-CA"/>
        </w:rPr>
        <w:t>note</w:t>
      </w:r>
      <w:r>
        <w:rPr>
          <w:sz w:val="24"/>
          <w:lang w:val="en-CA"/>
        </w:rPr>
        <w:t>, when predicting overt</w:t>
      </w:r>
      <w:r>
        <w:rPr>
          <w:sz w:val="24"/>
        </w:rPr>
        <w:t>-</w:t>
      </w:r>
      <w:r>
        <w:rPr>
          <w:sz w:val="24"/>
          <w:lang w:val="en-CA"/>
        </w:rPr>
        <w:t>DIC within 3 days, the AUC of the above markers alone or in combination surpassed th</w:t>
      </w:r>
      <w:r>
        <w:rPr>
          <w:sz w:val="24"/>
        </w:rPr>
        <w:t xml:space="preserve">at in </w:t>
      </w:r>
      <w:r>
        <w:rPr>
          <w:sz w:val="24"/>
          <w:lang w:val="en-CA"/>
        </w:rPr>
        <w:t>predicti</w:t>
      </w:r>
      <w:r>
        <w:rPr>
          <w:sz w:val="24"/>
        </w:rPr>
        <w:t xml:space="preserve">ng </w:t>
      </w:r>
      <w:r>
        <w:rPr>
          <w:sz w:val="24"/>
          <w:lang w:val="en-CA"/>
        </w:rPr>
        <w:t>overt</w:t>
      </w:r>
      <w:r>
        <w:rPr>
          <w:sz w:val="24"/>
        </w:rPr>
        <w:t>-</w:t>
      </w:r>
      <w:r>
        <w:rPr>
          <w:sz w:val="24"/>
          <w:lang w:val="en-CA"/>
        </w:rPr>
        <w:t>DIC within 7 days or 3 days later</w:t>
      </w:r>
      <w:r>
        <w:rPr>
          <w:rFonts w:hint="eastAsia"/>
          <w:sz w:val="24"/>
        </w:rPr>
        <w:t xml:space="preserve"> </w:t>
      </w:r>
      <w:r>
        <w:rPr>
          <w:rFonts w:hint="eastAsia"/>
          <w:sz w:val="24"/>
          <w:lang w:val="en-CA"/>
        </w:rPr>
        <w:t xml:space="preserve">(Table 5, </w:t>
      </w:r>
      <w:r>
        <w:rPr>
          <w:rFonts w:hint="eastAsia"/>
          <w:color w:val="auto"/>
          <w:sz w:val="24"/>
          <w:lang w:val="en-US" w:eastAsia="zh-CN"/>
        </w:rPr>
        <w:t xml:space="preserve">Supplemental </w:t>
      </w:r>
      <w:r>
        <w:rPr>
          <w:rFonts w:hint="eastAsia"/>
          <w:sz w:val="24"/>
          <w:lang w:val="en-CA"/>
        </w:rPr>
        <w:t>Figure 2b</w:t>
      </w:r>
      <w:r>
        <w:rPr>
          <w:rFonts w:hint="eastAsia"/>
          <w:sz w:val="24"/>
        </w:rPr>
        <w:t>-d</w:t>
      </w:r>
      <w:r>
        <w:rPr>
          <w:rFonts w:hint="eastAsia"/>
          <w:sz w:val="24"/>
          <w:lang w:val="en-CA"/>
        </w:rPr>
        <w:t>)</w:t>
      </w:r>
      <w:r>
        <w:rPr>
          <w:sz w:val="24"/>
          <w:lang w:val="en-CA"/>
        </w:rPr>
        <w:t>.</w:t>
      </w:r>
      <w:r>
        <w:rPr>
          <w:rFonts w:hint="eastAsia"/>
          <w:sz w:val="24"/>
        </w:rPr>
        <w:t xml:space="preserve"> </w:t>
      </w:r>
      <w:r>
        <w:rPr>
          <w:sz w:val="24"/>
          <w:lang w:val="en-CA"/>
        </w:rPr>
        <w:t xml:space="preserve">These results indicate that compared to a 7-day timeframe, </w:t>
      </w:r>
      <w:r>
        <w:rPr>
          <w:sz w:val="24"/>
        </w:rPr>
        <w:t>TAT, TM, tPAIC, and ATIII</w:t>
      </w:r>
      <w:r>
        <w:rPr>
          <w:sz w:val="24"/>
          <w:lang w:val="en-CA"/>
        </w:rPr>
        <w:t xml:space="preserve"> c</w:t>
      </w:r>
      <w:r>
        <w:rPr>
          <w:sz w:val="24"/>
        </w:rPr>
        <w:t>ould</w:t>
      </w:r>
      <w:r>
        <w:rPr>
          <w:sz w:val="24"/>
          <w:lang w:val="en-CA"/>
        </w:rPr>
        <w:t xml:space="preserve"> more accurately predict overt</w:t>
      </w:r>
      <w:r>
        <w:rPr>
          <w:sz w:val="24"/>
        </w:rPr>
        <w:t>-</w:t>
      </w:r>
      <w:r>
        <w:rPr>
          <w:sz w:val="24"/>
          <w:lang w:val="en-CA"/>
        </w:rPr>
        <w:t>DIC within 3 days, with TAT and ATIII playing a more significant role in the model.</w:t>
      </w:r>
    </w:p>
    <w:p w14:paraId="0B4AC753">
      <w:pPr>
        <w:ind w:firstLine="0" w:firstLineChars="0"/>
        <w:outlineLvl w:val="1"/>
        <w:rPr>
          <w:sz w:val="24"/>
          <w:lang w:val="en-CA"/>
        </w:rPr>
      </w:pPr>
      <w:r>
        <w:rPr>
          <w:b/>
          <w:bCs/>
          <w:sz w:val="24"/>
          <w:lang w:val="en-CA"/>
        </w:rPr>
        <w:t xml:space="preserve">Validating </w:t>
      </w:r>
      <w:r>
        <w:rPr>
          <w:b/>
          <w:bCs/>
          <w:sz w:val="24"/>
        </w:rPr>
        <w:t>hemostatic bio</w:t>
      </w:r>
      <w:r>
        <w:rPr>
          <w:b/>
          <w:bCs/>
          <w:sz w:val="24"/>
          <w:lang w:val="en-CA"/>
        </w:rPr>
        <w:t>markers and ATIII for early diagnosis of DIC</w:t>
      </w:r>
      <w:r>
        <w:rPr>
          <w:b/>
          <w:bCs/>
          <w:sz w:val="24"/>
          <w:lang w:val="en-CA"/>
        </w:rPr>
        <w:br w:type="textWrapping"/>
      </w:r>
      <w:r>
        <w:rPr>
          <w:b/>
          <w:bCs/>
          <w:sz w:val="24"/>
        </w:rPr>
        <w:t xml:space="preserve">    </w:t>
      </w:r>
      <w:r>
        <w:rPr>
          <w:sz w:val="24"/>
          <w:lang w:val="en-CA"/>
        </w:rPr>
        <w:t>Utilizing the validation data, we further assessed the ability</w:t>
      </w:r>
      <w:r>
        <w:rPr>
          <w:sz w:val="24"/>
        </w:rPr>
        <w:t xml:space="preserve"> to </w:t>
      </w:r>
      <w:r>
        <w:rPr>
          <w:sz w:val="24"/>
          <w:lang w:val="en-CA"/>
        </w:rPr>
        <w:t>distinguish non-DIC</w:t>
      </w:r>
      <w:r>
        <w:rPr>
          <w:sz w:val="24"/>
        </w:rPr>
        <w:t xml:space="preserve"> from </w:t>
      </w:r>
      <w:r>
        <w:rPr>
          <w:sz w:val="24"/>
          <w:lang w:val="en-CA"/>
        </w:rPr>
        <w:t>DIC (including pre-DIC and overt</w:t>
      </w:r>
      <w:r>
        <w:rPr>
          <w:sz w:val="24"/>
        </w:rPr>
        <w:t>-</w:t>
      </w:r>
      <w:r>
        <w:rPr>
          <w:sz w:val="24"/>
          <w:lang w:val="en-CA"/>
        </w:rPr>
        <w:t>DIC)</w:t>
      </w:r>
      <w:r>
        <w:rPr>
          <w:sz w:val="24"/>
        </w:rPr>
        <w:t xml:space="preserve"> with optimal cutoff values which were calculated in </w:t>
      </w:r>
      <w:r>
        <w:rPr>
          <w:sz w:val="24"/>
          <w:lang w:val="en-CA"/>
        </w:rPr>
        <w:t>the training data</w:t>
      </w:r>
      <w:r>
        <w:rPr>
          <w:sz w:val="24"/>
        </w:rPr>
        <w:t xml:space="preserve"> to </w:t>
      </w:r>
      <w:r>
        <w:rPr>
          <w:sz w:val="24"/>
          <w:lang w:val="en-CA"/>
        </w:rPr>
        <w:t>predict overt</w:t>
      </w:r>
      <w:r>
        <w:rPr>
          <w:sz w:val="24"/>
        </w:rPr>
        <w:t>-</w:t>
      </w:r>
      <w:r>
        <w:rPr>
          <w:sz w:val="24"/>
          <w:lang w:val="en-CA"/>
        </w:rPr>
        <w:t>DIC within 7 days</w:t>
      </w:r>
      <w:r>
        <w:rPr>
          <w:sz w:val="24"/>
        </w:rPr>
        <w:t xml:space="preserve"> </w:t>
      </w:r>
      <w:r>
        <w:rPr>
          <w:sz w:val="24"/>
          <w:lang w:val="en-CA"/>
        </w:rPr>
        <w:t>(Table 7). The sensitivities in the validation data for diagnosing DIC using TAT, ATIII, TAT/ATIII, TM, and tPAIC individually w</w:t>
      </w:r>
      <w:r>
        <w:rPr>
          <w:sz w:val="24"/>
        </w:rPr>
        <w:t>ere</w:t>
      </w:r>
      <w:r>
        <w:rPr>
          <w:sz w:val="24"/>
          <w:lang w:val="en-CA"/>
        </w:rPr>
        <w:t xml:space="preserve"> 64%, 64%, 59%, 65%, and 75%, with specificities of 69%, 91%, 90%, 75%, and 57%, respectively. I</w:t>
      </w:r>
      <w:r>
        <w:rPr>
          <w:rFonts w:hint="eastAsia"/>
          <w:sz w:val="24"/>
          <w:lang w:val="en-CA"/>
        </w:rPr>
        <w:t>n</w:t>
      </w:r>
      <w:r>
        <w:rPr>
          <w:sz w:val="24"/>
          <w:lang w:val="en-CA"/>
        </w:rPr>
        <w:t xml:space="preserve"> </w:t>
      </w:r>
      <w:r>
        <w:rPr>
          <w:rFonts w:hint="eastAsia"/>
          <w:sz w:val="24"/>
          <w:lang w:val="en-CA"/>
        </w:rPr>
        <w:t>addition</w:t>
      </w:r>
      <w:r>
        <w:rPr>
          <w:sz w:val="24"/>
          <w:lang w:val="en-CA"/>
        </w:rPr>
        <w:t>, we assessed the ability</w:t>
      </w:r>
      <w:r>
        <w:rPr>
          <w:sz w:val="24"/>
        </w:rPr>
        <w:t xml:space="preserve"> to </w:t>
      </w:r>
      <w:r>
        <w:rPr>
          <w:sz w:val="24"/>
          <w:lang w:val="en-CA"/>
        </w:rPr>
        <w:t>distinguish non-DIC</w:t>
      </w:r>
      <w:r>
        <w:rPr>
          <w:sz w:val="24"/>
        </w:rPr>
        <w:t xml:space="preserve"> from </w:t>
      </w:r>
      <w:r>
        <w:rPr>
          <w:sz w:val="24"/>
          <w:lang w:val="en-CA"/>
        </w:rPr>
        <w:t>DIC (including overt</w:t>
      </w:r>
      <w:r>
        <w:rPr>
          <w:sz w:val="24"/>
        </w:rPr>
        <w:t>-</w:t>
      </w:r>
      <w:r>
        <w:rPr>
          <w:sz w:val="24"/>
          <w:lang w:val="en-CA"/>
        </w:rPr>
        <w:t xml:space="preserve">DIC </w:t>
      </w:r>
      <w:r>
        <w:rPr>
          <w:rFonts w:hint="eastAsia"/>
          <w:sz w:val="24"/>
          <w:lang w:val="en-CA"/>
        </w:rPr>
        <w:t>on</w:t>
      </w:r>
      <w:r>
        <w:rPr>
          <w:sz w:val="24"/>
          <w:lang w:val="en-CA"/>
        </w:rPr>
        <w:t xml:space="preserve"> </w:t>
      </w:r>
      <w:r>
        <w:rPr>
          <w:rFonts w:hint="eastAsia"/>
          <w:sz w:val="24"/>
          <w:lang w:val="en-CA"/>
        </w:rPr>
        <w:t>day</w:t>
      </w:r>
      <w:r>
        <w:rPr>
          <w:sz w:val="24"/>
          <w:lang w:val="en-CA"/>
        </w:rPr>
        <w:t xml:space="preserve"> 0 </w:t>
      </w:r>
      <w:r>
        <w:rPr>
          <w:rFonts w:hint="eastAsia"/>
          <w:sz w:val="24"/>
          <w:lang w:val="en-CA"/>
        </w:rPr>
        <w:t>and</w:t>
      </w:r>
      <w:r>
        <w:rPr>
          <w:sz w:val="24"/>
          <w:lang w:val="en-CA"/>
        </w:rPr>
        <w:t xml:space="preserve"> pre-DIC </w:t>
      </w:r>
      <w:r>
        <w:rPr>
          <w:rFonts w:hint="eastAsia"/>
          <w:sz w:val="24"/>
          <w:lang w:val="en-CA"/>
        </w:rPr>
        <w:t>progressing</w:t>
      </w:r>
      <w:r>
        <w:rPr>
          <w:sz w:val="24"/>
          <w:lang w:val="en-CA"/>
        </w:rPr>
        <w:t xml:space="preserve"> </w:t>
      </w:r>
      <w:r>
        <w:rPr>
          <w:rFonts w:hint="eastAsia"/>
          <w:sz w:val="24"/>
          <w:lang w:val="en-CA"/>
        </w:rPr>
        <w:t>to</w:t>
      </w:r>
      <w:r>
        <w:rPr>
          <w:sz w:val="24"/>
          <w:lang w:val="en-CA"/>
        </w:rPr>
        <w:t xml:space="preserve"> </w:t>
      </w:r>
      <w:r>
        <w:rPr>
          <w:rFonts w:hint="eastAsia"/>
          <w:sz w:val="24"/>
          <w:lang w:val="en-CA"/>
        </w:rPr>
        <w:t>overt</w:t>
      </w:r>
      <w:r>
        <w:rPr>
          <w:sz w:val="24"/>
          <w:lang w:val="en-CA"/>
        </w:rPr>
        <w:t xml:space="preserve">-DIC </w:t>
      </w:r>
      <w:r>
        <w:rPr>
          <w:rFonts w:hint="eastAsia"/>
          <w:sz w:val="24"/>
          <w:lang w:val="en-CA"/>
        </w:rPr>
        <w:t>within</w:t>
      </w:r>
      <w:r>
        <w:rPr>
          <w:sz w:val="24"/>
          <w:lang w:val="en-CA"/>
        </w:rPr>
        <w:t xml:space="preserve"> 3 </w:t>
      </w:r>
      <w:r>
        <w:rPr>
          <w:rFonts w:hint="eastAsia"/>
          <w:sz w:val="24"/>
          <w:lang w:val="en-CA"/>
        </w:rPr>
        <w:t>days</w:t>
      </w:r>
      <w:r>
        <w:rPr>
          <w:sz w:val="24"/>
          <w:lang w:val="en-CA"/>
        </w:rPr>
        <w:t>)</w:t>
      </w:r>
      <w:r>
        <w:rPr>
          <w:sz w:val="24"/>
        </w:rPr>
        <w:t xml:space="preserve"> with optimal cutoff values which were calculated in </w:t>
      </w:r>
      <w:r>
        <w:rPr>
          <w:sz w:val="24"/>
          <w:lang w:val="en-CA"/>
        </w:rPr>
        <w:t>the training data</w:t>
      </w:r>
      <w:r>
        <w:rPr>
          <w:sz w:val="24"/>
        </w:rPr>
        <w:t xml:space="preserve"> to </w:t>
      </w:r>
      <w:r>
        <w:rPr>
          <w:sz w:val="24"/>
          <w:lang w:val="en-CA"/>
        </w:rPr>
        <w:t xml:space="preserve">predict </w:t>
      </w:r>
      <w:r>
        <w:rPr>
          <w:rFonts w:hint="eastAsia"/>
          <w:sz w:val="24"/>
          <w:lang w:val="en-CA"/>
        </w:rPr>
        <w:t>pre</w:t>
      </w:r>
      <w:r>
        <w:rPr>
          <w:sz w:val="24"/>
        </w:rPr>
        <w:t>-</w:t>
      </w:r>
      <w:r>
        <w:rPr>
          <w:sz w:val="24"/>
          <w:lang w:val="en-CA"/>
        </w:rPr>
        <w:t>DIC within 3 days</w:t>
      </w:r>
      <w:r>
        <w:rPr>
          <w:sz w:val="24"/>
        </w:rPr>
        <w:t xml:space="preserve"> </w:t>
      </w:r>
      <w:r>
        <w:rPr>
          <w:sz w:val="24"/>
          <w:lang w:val="en-CA"/>
        </w:rPr>
        <w:t xml:space="preserve">(Table 8). Both ATIII and TAT/ATIII exhibited specificities above 90%, making them specific </w:t>
      </w:r>
      <w:r>
        <w:rPr>
          <w:sz w:val="24"/>
        </w:rPr>
        <w:t>markers</w:t>
      </w:r>
      <w:r>
        <w:rPr>
          <w:sz w:val="24"/>
          <w:lang w:val="en-CA"/>
        </w:rPr>
        <w:t xml:space="preserve"> of DIC, while the performance of </w:t>
      </w:r>
      <w:r>
        <w:rPr>
          <w:sz w:val="24"/>
        </w:rPr>
        <w:t xml:space="preserve">the </w:t>
      </w:r>
      <w:r>
        <w:rPr>
          <w:sz w:val="24"/>
          <w:lang w:val="en-CA"/>
        </w:rPr>
        <w:t xml:space="preserve">other </w:t>
      </w:r>
      <w:r>
        <w:rPr>
          <w:sz w:val="24"/>
        </w:rPr>
        <w:t>markers</w:t>
      </w:r>
      <w:r>
        <w:rPr>
          <w:sz w:val="24"/>
          <w:lang w:val="en-CA"/>
        </w:rPr>
        <w:t xml:space="preserve"> was moderate. These </w:t>
      </w:r>
      <w:r>
        <w:rPr>
          <w:sz w:val="24"/>
        </w:rPr>
        <w:t>results</w:t>
      </w:r>
      <w:r>
        <w:rPr>
          <w:sz w:val="24"/>
          <w:lang w:val="en-CA"/>
        </w:rPr>
        <w:t xml:space="preserve"> suggest that relying on a single </w:t>
      </w:r>
      <w:r>
        <w:rPr>
          <w:sz w:val="24"/>
        </w:rPr>
        <w:t>marker</w:t>
      </w:r>
      <w:r>
        <w:rPr>
          <w:sz w:val="24"/>
          <w:lang w:val="en-CA"/>
        </w:rPr>
        <w:t xml:space="preserve"> </w:t>
      </w:r>
      <w:r>
        <w:rPr>
          <w:sz w:val="24"/>
        </w:rPr>
        <w:t>to diagnose</w:t>
      </w:r>
      <w:r>
        <w:rPr>
          <w:sz w:val="24"/>
          <w:lang w:val="en-CA"/>
        </w:rPr>
        <w:t xml:space="preserve"> DIC ha</w:t>
      </w:r>
      <w:r>
        <w:rPr>
          <w:sz w:val="24"/>
        </w:rPr>
        <w:t>d</w:t>
      </w:r>
      <w:r>
        <w:rPr>
          <w:sz w:val="24"/>
          <w:lang w:val="en-CA"/>
        </w:rPr>
        <w:t xml:space="preserve"> certain limitations.</w:t>
      </w:r>
    </w:p>
    <w:p w14:paraId="0B4AC757">
      <w:pPr>
        <w:spacing w:after="0" w:afterLines="0"/>
        <w:ind w:firstLine="0" w:firstLineChars="0"/>
        <w:outlineLvl w:val="1"/>
        <w:rPr>
          <w:b/>
          <w:bCs/>
          <w:sz w:val="24"/>
        </w:rPr>
      </w:pPr>
      <w:r>
        <w:rPr>
          <w:b/>
          <w:bCs/>
          <w:sz w:val="24"/>
        </w:rPr>
        <w:t>The diagnostic and predictive performance of lasso-logistic regression models for overt-DIC</w:t>
      </w:r>
    </w:p>
    <w:p w14:paraId="0B4AC758">
      <w:pPr>
        <w:spacing w:after="240" w:afterLines="0"/>
        <w:rPr>
          <w:sz w:val="24"/>
        </w:rPr>
      </w:pPr>
      <w:r>
        <w:rPr>
          <w:sz w:val="24"/>
        </w:rPr>
        <w:t xml:space="preserve">Comprehensively considering the above results from general logistic regression models and the practical clinical needs for markers, this study utilized the training data to construct lasso-logistic regression models based on TAT, TM, tPAIC, PIC, and ATIII, and then validated </w:t>
      </w:r>
      <w:r>
        <w:rPr>
          <w:rFonts w:hint="eastAsia"/>
          <w:sz w:val="24"/>
        </w:rPr>
        <w:t>them</w:t>
      </w:r>
      <w:r>
        <w:rPr>
          <w:sz w:val="24"/>
        </w:rPr>
        <w:t xml:space="preserve"> internally and externally. The results showed that in the training set, lasso-logistic regression models had AUC values greater than 0.8 for diagnosing overt-DIC, predicting overt-DIC within 7 days, and predicting overt-DIC within 3 days, with AUC 0.870, 0.811, and 0.858, respectively, indicating high accuracies (Table 9, Figure 3). This also supported the above results in general logistic regression models. Subsequently, in the validation data, this study externally validated the lasso-logistic regression models, demonstrating that lasso-logistic regression models effectively distinguished patients with overt-DIC from those without overt-DIC, with an AUC of 0.930. In the validation set, lasso-logistic regression models maintained acceptable predictive performance when predicting overt-DIC within 7 days and 3 days, with AUC values of 0.803 and 0.780, respectively, indicating their ability to accurately differentiate non-DIC patients from those progressing to overt-DIC. Therefore, TAT, TM, tPAIC, PIC, and ATIII hold potential value in the early diagnosis of DIC.</w:t>
      </w:r>
    </w:p>
    <w:p w14:paraId="0B4AC759">
      <w:pPr>
        <w:spacing w:after="0" w:afterLines="0"/>
        <w:ind w:firstLine="0" w:firstLineChars="0"/>
        <w:outlineLvl w:val="1"/>
        <w:rPr>
          <w:b/>
          <w:bCs/>
          <w:sz w:val="24"/>
        </w:rPr>
      </w:pPr>
      <w:r>
        <w:rPr>
          <w:b/>
          <w:bCs/>
          <w:color w:val="000000" w:themeColor="text1"/>
          <w:sz w:val="24"/>
          <w14:textFill>
            <w14:solidFill>
              <w14:schemeClr w14:val="tx1"/>
            </w14:solidFill>
          </w14:textFill>
        </w:rPr>
        <w:t>Lasso-logistic regression m</w:t>
      </w:r>
      <w:r>
        <w:rPr>
          <w:b/>
          <w:bCs/>
          <w:sz w:val="24"/>
        </w:rPr>
        <w:t>odels interpretation by SHAP values</w:t>
      </w:r>
    </w:p>
    <w:p w14:paraId="0B4AC75B">
      <w:pPr>
        <w:rPr>
          <w:sz w:val="24"/>
        </w:rPr>
      </w:pPr>
      <w:r>
        <w:rPr>
          <w:sz w:val="24"/>
        </w:rPr>
        <w:t>To more intuitively compare the importance of TAT, ATIII, TM, tPAIC, and PIC in the lasso-logistic regression models, this study incorporated the SHAP calculation module into models to explain and quantify the</w:t>
      </w:r>
      <w:r>
        <w:rPr>
          <w:rFonts w:hint="eastAsia"/>
          <w:sz w:val="24"/>
        </w:rPr>
        <w:t>ir</w:t>
      </w:r>
      <w:r>
        <w:rPr>
          <w:sz w:val="24"/>
        </w:rPr>
        <w:t xml:space="preserve"> contributions to models. Subsequently, swarm plots and bar graphs were used to visualize the importance of each marker (Figure 4a-d). The x-axis of the swarm plot represented the SHAP values and their ranges for each sample. On each feature line, each circle represents a data point, with the color gradient from red to blue indicating </w:t>
      </w:r>
      <w:r>
        <w:rPr>
          <w:rFonts w:hint="eastAsia"/>
          <w:sz w:val="24"/>
        </w:rPr>
        <w:t>the</w:t>
      </w:r>
      <w:r>
        <w:rPr>
          <w:sz w:val="24"/>
        </w:rPr>
        <w:t xml:space="preserve"> decreasing influence of the marker</w:t>
      </w:r>
      <w:r>
        <w:rPr>
          <w:rFonts w:hint="eastAsia"/>
          <w:sz w:val="24"/>
        </w:rPr>
        <w:t>s</w:t>
      </w:r>
      <w:r>
        <w:rPr>
          <w:sz w:val="24"/>
        </w:rPr>
        <w:t xml:space="preserve"> on models. Additionally, the study ranked markers based on the average absolute SHAP values and depicted typical bar graphs of a markers’ importance (Figure 4e-h). The results indicated that when diagnosing overt-DIC, predicting overt-DIC within 7 days, and within 3 days, the importance of TAT and ATIII consistently ranked in the top two positions, aligning with the AUC results from general logistic regression models mentioned above.</w:t>
      </w:r>
    </w:p>
    <w:p w14:paraId="0B4AC75C">
      <w:pPr>
        <w:spacing w:after="0" w:afterLines="0"/>
        <w:ind w:firstLine="0" w:firstLineChars="0"/>
        <w:outlineLvl w:val="0"/>
        <w:rPr>
          <w:b/>
          <w:bCs/>
          <w:sz w:val="28"/>
          <w:szCs w:val="21"/>
        </w:rPr>
      </w:pPr>
      <w:r>
        <w:rPr>
          <w:b/>
          <w:bCs/>
          <w:sz w:val="28"/>
          <w:szCs w:val="21"/>
        </w:rPr>
        <w:t>Discussion</w:t>
      </w:r>
    </w:p>
    <w:p w14:paraId="0B4AC75E">
      <w:pPr>
        <w:spacing w:after="240" w:afterLines="0"/>
        <w:rPr>
          <w:sz w:val="24"/>
        </w:rPr>
      </w:pPr>
      <w:r>
        <w:rPr>
          <w:sz w:val="24"/>
        </w:rPr>
        <w:t>This study retrospectively and comprehensively analy</w:t>
      </w:r>
      <w:r>
        <w:rPr>
          <w:rFonts w:hint="eastAsia"/>
          <w:sz w:val="24"/>
        </w:rPr>
        <w:t>z</w:t>
      </w:r>
      <w:r>
        <w:rPr>
          <w:sz w:val="24"/>
        </w:rPr>
        <w:t>ed the real-world data from 733 enrolled patients with coagulation abnormalities, incorporating not only established ISTH-DIC scoring items such as PT, FIB, DDi, FDP, and PLT, but also ATIII and four hemostatic biomarkers TAT, TM, tPAIC, and PIC. It utilized both general logistic regression and lasso-logistic regression models to assess the significance of hemostatic biomarkers and ATIII in the diagnosis of DIC, with SHAP values visualizing the importance of markers. The results indicated that hemostatic biomarkers and ATIII h</w:t>
      </w:r>
      <w:r>
        <w:rPr>
          <w:rFonts w:hint="eastAsia"/>
          <w:sz w:val="24"/>
        </w:rPr>
        <w:t>e</w:t>
      </w:r>
      <w:r>
        <w:rPr>
          <w:sz w:val="24"/>
        </w:rPr>
        <w:t xml:space="preserve">ld important value in early DIC diagnosis, particularly TAT and ATIII, which may serve as crucial markers for early DIC diagnosis. Furthermore, the study </w:t>
      </w:r>
      <w:r>
        <w:rPr>
          <w:rFonts w:hint="eastAsia"/>
          <w:sz w:val="24"/>
        </w:rPr>
        <w:t>propos</w:t>
      </w:r>
      <w:r>
        <w:rPr>
          <w:sz w:val="24"/>
        </w:rPr>
        <w:t>ed a</w:t>
      </w:r>
      <w:r>
        <w:rPr>
          <w:rFonts w:hint="eastAsia"/>
          <w:sz w:val="24"/>
        </w:rPr>
        <w:t>n</w:t>
      </w:r>
      <w:r>
        <w:rPr>
          <w:sz w:val="24"/>
        </w:rPr>
        <w:t xml:space="preserve"> </w:t>
      </w:r>
      <w:r>
        <w:rPr>
          <w:rFonts w:hint="eastAsia"/>
          <w:sz w:val="24"/>
        </w:rPr>
        <w:t>innovative</w:t>
      </w:r>
      <w:r>
        <w:rPr>
          <w:sz w:val="24"/>
        </w:rPr>
        <w:t xml:space="preserve"> </w:t>
      </w:r>
      <w:r>
        <w:rPr>
          <w:rFonts w:hint="eastAsia"/>
          <w:sz w:val="24"/>
        </w:rPr>
        <w:t>parameter</w:t>
      </w:r>
      <w:r>
        <w:rPr>
          <w:sz w:val="24"/>
        </w:rPr>
        <w:t xml:space="preserve"> TAT/ATIII, which played a significant role in early DIC diagnosis. TAT, ATIII, and TAT/ATIII served as early marker</w:t>
      </w:r>
      <w:r>
        <w:rPr>
          <w:rFonts w:hint="eastAsia"/>
          <w:sz w:val="24"/>
        </w:rPr>
        <w:t>s</w:t>
      </w:r>
      <w:r>
        <w:rPr>
          <w:sz w:val="24"/>
        </w:rPr>
        <w:t xml:space="preserve"> of coagulation abnormalities and reliable predictors of DIC onset, demonstrating great potential in diagnosing and predicting overt-DIC, especially within 3 days. Because of the lack of clinical guideline consensus and robust evidence support, TAT, TM, tPAIC, PIC, and ATIII have not been utilized in DIC diagnosis and treatment decisions. These findings offer invaluable clinical foresight, empowering early recognition of DIC and the initiation of timely interventions, which can potentially revolutionize patient care and improve clinical outcomes.</w:t>
      </w:r>
    </w:p>
    <w:p w14:paraId="0B4AC760">
      <w:pPr>
        <w:spacing w:after="240" w:afterLines="0"/>
        <w:rPr>
          <w:sz w:val="24"/>
        </w:rPr>
      </w:pPr>
      <w:r>
        <w:rPr>
          <w:sz w:val="24"/>
        </w:rPr>
        <w:t>In 2001, ISTH set forth a diagnostic scoring system for DIC that is most widely used</w:t>
      </w:r>
      <w:r>
        <w:rPr>
          <w:sz w:val="24"/>
        </w:rPr>
        <w:fldChar w:fldCharType="begin"/>
      </w:r>
      <w:r>
        <w:rPr>
          <w:sz w:val="24"/>
        </w:rPr>
        <w:instrText xml:space="preserve"> NOTEREF _Ref14349 \f \h </w:instrText>
      </w:r>
      <w:r>
        <w:rPr>
          <w:sz w:val="24"/>
        </w:rPr>
        <w:fldChar w:fldCharType="separate"/>
      </w:r>
      <w:r>
        <w:rPr>
          <w:sz w:val="24"/>
          <w:vertAlign w:val="superscript"/>
        </w:rPr>
        <w:t>3</w:t>
      </w:r>
      <w:r>
        <w:rPr>
          <w:sz w:val="24"/>
        </w:rPr>
        <w:fldChar w:fldCharType="end"/>
      </w:r>
      <w:r>
        <w:rPr>
          <w:sz w:val="24"/>
        </w:rPr>
        <w:t>. This system assigns scores based on PT, PLT, FIB levels, and FDPs (i.e., DDi) concentrations, with a score of 5 or higher indicative of overt-DIC, otherwise non-overt DIC. It emphasized the need to monitor coagulation function in non-overt DIC patients, but it cannot identify DIC early</w:t>
      </w:r>
      <w:r>
        <w:rPr>
          <w:sz w:val="24"/>
        </w:rPr>
        <w:fldChar w:fldCharType="begin"/>
      </w:r>
      <w:r>
        <w:rPr>
          <w:sz w:val="24"/>
        </w:rPr>
        <w:instrText xml:space="preserve"> NOTEREF _Ref14349 \f \h </w:instrText>
      </w:r>
      <w:r>
        <w:rPr>
          <w:sz w:val="24"/>
        </w:rPr>
        <w:fldChar w:fldCharType="separate"/>
      </w:r>
      <w:r>
        <w:rPr>
          <w:sz w:val="24"/>
          <w:vertAlign w:val="superscript"/>
        </w:rPr>
        <w:t>3</w:t>
      </w:r>
      <w:r>
        <w:rPr>
          <w:sz w:val="24"/>
        </w:rPr>
        <w:fldChar w:fldCharType="end"/>
      </w:r>
      <w:r>
        <w:rPr>
          <w:sz w:val="24"/>
        </w:rPr>
        <w:t>. In clinical practice, the value of early identifying patients with a predisposition to overt-DIC and timely initiation of treatment far outweighs diagnosing overt-DIC. Therefore, the concept of pre-DIC was introduced</w:t>
      </w:r>
      <w:r>
        <w:rPr>
          <w:sz w:val="24"/>
        </w:rPr>
        <w:fldChar w:fldCharType="begin"/>
      </w:r>
      <w:r>
        <w:rPr>
          <w:sz w:val="24"/>
        </w:rPr>
        <w:instrText xml:space="preserve"> NOTEREF _Ref16416 \f \h </w:instrText>
      </w:r>
      <w:r>
        <w:rPr>
          <w:sz w:val="24"/>
        </w:rPr>
        <w:fldChar w:fldCharType="separate"/>
      </w:r>
      <w:r>
        <w:rPr>
          <w:sz w:val="24"/>
          <w:vertAlign w:val="superscript"/>
        </w:rPr>
        <w:t>,21</w:t>
      </w:r>
      <w:r>
        <w:rPr>
          <w:sz w:val="24"/>
        </w:rPr>
        <w:fldChar w:fldCharType="end"/>
      </w:r>
      <w:r>
        <w:rPr>
          <w:sz w:val="24"/>
        </w:rPr>
        <w:t>. Many experts and scholars are looking forward to evaluating the characteristics that differentiate pre-DIC patients from those with overt-DIC by reviewing clinical data</w:t>
      </w:r>
      <w:r>
        <w:rPr>
          <w:sz w:val="24"/>
        </w:rPr>
        <w:fldChar w:fldCharType="begin"/>
      </w:r>
      <w:r>
        <w:rPr>
          <w:sz w:val="24"/>
        </w:rPr>
        <w:instrText xml:space="preserve"> NOTEREF _Ref15172 \f \h </w:instrText>
      </w:r>
      <w:r>
        <w:rPr>
          <w:sz w:val="24"/>
        </w:rPr>
        <w:fldChar w:fldCharType="separate"/>
      </w:r>
      <w:r>
        <w:rPr>
          <w:sz w:val="24"/>
          <w:vertAlign w:val="superscript"/>
        </w:rPr>
        <w:t>16</w:t>
      </w:r>
      <w:r>
        <w:rPr>
          <w:sz w:val="24"/>
        </w:rPr>
        <w:fldChar w:fldCharType="end"/>
      </w:r>
      <w:bookmarkStart w:id="15" w:name="_Ref16416"/>
      <w:r>
        <w:rPr>
          <w:sz w:val="24"/>
          <w:vertAlign w:val="superscript"/>
        </w:rPr>
        <w:t>,</w:t>
      </w:r>
      <w:r>
        <w:rPr>
          <w:rStyle w:val="11"/>
          <w:color w:val="000000" w:themeColor="text1"/>
          <w:sz w:val="24"/>
          <w14:textFill>
            <w14:solidFill>
              <w14:schemeClr w14:val="tx1"/>
            </w14:solidFill>
          </w14:textFill>
        </w:rPr>
        <w:endnoteReference w:id="20"/>
      </w:r>
      <w:bookmarkEnd w:id="15"/>
      <w:r>
        <w:rPr>
          <w:sz w:val="24"/>
        </w:rPr>
        <w:t>. However, to date, there is still a lack of robust criteria for pre-DIC. Previous studies showed a significantly higher mortality among pre-DIC patients compared to non-DIC patients, with some suggesting the mortality rates w</w:t>
      </w:r>
      <w:r>
        <w:rPr>
          <w:rFonts w:hint="eastAsia"/>
          <w:sz w:val="24"/>
        </w:rPr>
        <w:t>ere</w:t>
      </w:r>
      <w:r>
        <w:rPr>
          <w:sz w:val="24"/>
        </w:rPr>
        <w:t xml:space="preserve"> comparable or even higher in pre-DIC than in overt-DIC</w:t>
      </w:r>
      <w:r>
        <w:rPr>
          <w:sz w:val="24"/>
        </w:rPr>
        <w:fldChar w:fldCharType="begin"/>
      </w:r>
      <w:r>
        <w:rPr>
          <w:sz w:val="24"/>
        </w:rPr>
        <w:instrText xml:space="preserve"> NOTEREF _Ref15172 \f \h </w:instrText>
      </w:r>
      <w:r>
        <w:rPr>
          <w:sz w:val="24"/>
        </w:rPr>
        <w:fldChar w:fldCharType="separate"/>
      </w:r>
      <w:r>
        <w:rPr>
          <w:sz w:val="24"/>
          <w:vertAlign w:val="superscript"/>
        </w:rPr>
        <w:t>16</w:t>
      </w:r>
      <w:r>
        <w:rPr>
          <w:sz w:val="24"/>
        </w:rPr>
        <w:fldChar w:fldCharType="end"/>
      </w:r>
      <w:r>
        <w:rPr>
          <w:sz w:val="24"/>
          <w:vertAlign w:val="superscript"/>
        </w:rPr>
        <w:t>,</w:t>
      </w:r>
      <w:r>
        <w:rPr>
          <w:rStyle w:val="11"/>
          <w:color w:val="000000" w:themeColor="text1"/>
          <w:sz w:val="24"/>
          <w14:textFill>
            <w14:solidFill>
              <w14:schemeClr w14:val="tx1"/>
            </w14:solidFill>
          </w14:textFill>
        </w:rPr>
        <w:endnoteReference w:id="21"/>
      </w:r>
      <w:r>
        <w:rPr>
          <w:sz w:val="24"/>
          <w:vertAlign w:val="superscript"/>
        </w:rPr>
        <w:t>-</w:t>
      </w:r>
      <w:r>
        <w:rPr>
          <w:rStyle w:val="11"/>
          <w:vanish/>
          <w:color w:val="000000" w:themeColor="text1"/>
          <w:sz w:val="24"/>
          <w14:textFill>
            <w14:solidFill>
              <w14:schemeClr w14:val="tx1"/>
            </w14:solidFill>
          </w14:textFill>
        </w:rPr>
        <w:endnoteReference w:id="22"/>
      </w:r>
      <w:r>
        <w:rPr>
          <w:rStyle w:val="11"/>
          <w:color w:val="000000" w:themeColor="text1"/>
          <w:sz w:val="24"/>
          <w14:textFill>
            <w14:solidFill>
              <w14:schemeClr w14:val="tx1"/>
            </w14:solidFill>
          </w14:textFill>
        </w:rPr>
        <w:endnoteReference w:id="23"/>
      </w:r>
      <w:r>
        <w:rPr>
          <w:sz w:val="24"/>
        </w:rPr>
        <w:t>, which was confirmed again in our study.</w:t>
      </w:r>
      <w:r>
        <w:rPr>
          <w:sz w:val="24"/>
          <w:vertAlign w:val="superscript"/>
        </w:rPr>
        <w:t xml:space="preserve"> </w:t>
      </w:r>
      <w:r>
        <w:rPr>
          <w:sz w:val="24"/>
        </w:rPr>
        <w:t>Consequently, the early identification of pre-DIC presents a substantial opportunity to decrease mortality rates and potentially reverse the progression to overt-DIC, thereby offering a profound clinical advantage</w:t>
      </w:r>
      <w:r>
        <w:rPr>
          <w:sz w:val="24"/>
        </w:rPr>
        <w:fldChar w:fldCharType="begin"/>
      </w:r>
      <w:r>
        <w:rPr>
          <w:sz w:val="24"/>
        </w:rPr>
        <w:instrText xml:space="preserve"> NOTEREF _Ref15440 \f \h </w:instrText>
      </w:r>
      <w:r>
        <w:rPr>
          <w:sz w:val="24"/>
        </w:rPr>
        <w:fldChar w:fldCharType="separate"/>
      </w:r>
      <w:r>
        <w:rPr>
          <w:sz w:val="24"/>
          <w:vertAlign w:val="superscript"/>
        </w:rPr>
        <w:t>10</w:t>
      </w:r>
      <w:r>
        <w:rPr>
          <w:sz w:val="24"/>
        </w:rPr>
        <w:fldChar w:fldCharType="end"/>
      </w:r>
      <w:r>
        <w:rPr>
          <w:sz w:val="24"/>
          <w:vertAlign w:val="superscript"/>
        </w:rPr>
        <w:t>,</w:t>
      </w:r>
      <w:r>
        <w:rPr>
          <w:sz w:val="24"/>
          <w:vertAlign w:val="superscript"/>
        </w:rPr>
        <w:fldChar w:fldCharType="begin"/>
      </w:r>
      <w:r>
        <w:rPr>
          <w:sz w:val="24"/>
          <w:vertAlign w:val="superscript"/>
        </w:rPr>
        <w:instrText xml:space="preserve"> NOTEREF _Ref28764 \f \h </w:instrText>
      </w:r>
      <w:r>
        <w:rPr>
          <w:sz w:val="24"/>
          <w:vertAlign w:val="superscript"/>
        </w:rPr>
        <w:fldChar w:fldCharType="separate"/>
      </w:r>
      <w:r>
        <w:rPr>
          <w:sz w:val="24"/>
          <w:vertAlign w:val="superscript"/>
        </w:rPr>
        <w:t>11</w:t>
      </w:r>
      <w:r>
        <w:rPr>
          <w:sz w:val="24"/>
          <w:vertAlign w:val="superscript"/>
        </w:rPr>
        <w:fldChar w:fldCharType="end"/>
      </w:r>
      <w:r>
        <w:rPr>
          <w:sz w:val="24"/>
        </w:rPr>
        <w:t>. However, as there is currently no gold standard for DIC diagnosis, achieving the diagnosis of pre-DIC is even more challenging, which has always been a worldwide dilemma troubling clinical physicians</w:t>
      </w:r>
      <w:r>
        <w:rPr>
          <w:sz w:val="24"/>
        </w:rPr>
        <w:fldChar w:fldCharType="begin"/>
      </w:r>
      <w:r>
        <w:rPr>
          <w:sz w:val="24"/>
        </w:rPr>
        <w:instrText xml:space="preserve"> NOTEREF _Ref16743 \f \h </w:instrText>
      </w:r>
      <w:r>
        <w:rPr>
          <w:sz w:val="24"/>
        </w:rPr>
        <w:fldChar w:fldCharType="separate"/>
      </w:r>
      <w:r>
        <w:rPr>
          <w:sz w:val="24"/>
          <w:vertAlign w:val="superscript"/>
        </w:rPr>
        <w:t>4</w:t>
      </w:r>
      <w:r>
        <w:rPr>
          <w:sz w:val="24"/>
        </w:rPr>
        <w:fldChar w:fldCharType="end"/>
      </w:r>
      <w:r>
        <w:rPr>
          <w:sz w:val="24"/>
        </w:rPr>
        <w:t>.</w:t>
      </w:r>
    </w:p>
    <w:p w14:paraId="0B4AC762">
      <w:pPr>
        <w:rPr>
          <w:rFonts w:hint="eastAsia"/>
          <w:sz w:val="24"/>
        </w:rPr>
      </w:pPr>
      <w:r>
        <w:rPr>
          <w:sz w:val="24"/>
        </w:rPr>
        <w:t>In this study, the plasma level of TAT, TM, and tPAIC in pre-DIC patients was higher than that in non-DIC patients, while the level of PIC was similar to that in non-DIC patients, consistent with a prospective observational study by Mei et al</w:t>
      </w:r>
      <w:r>
        <w:rPr>
          <w:sz w:val="24"/>
        </w:rPr>
        <w:fldChar w:fldCharType="begin"/>
      </w:r>
      <w:r>
        <w:rPr>
          <w:sz w:val="24"/>
        </w:rPr>
        <w:instrText xml:space="preserve"> NOTEREF _Ref15172 \f \h </w:instrText>
      </w:r>
      <w:r>
        <w:rPr>
          <w:sz w:val="24"/>
        </w:rPr>
        <w:fldChar w:fldCharType="separate"/>
      </w:r>
      <w:r>
        <w:rPr>
          <w:sz w:val="24"/>
          <w:vertAlign w:val="superscript"/>
        </w:rPr>
        <w:t>16</w:t>
      </w:r>
      <w:r>
        <w:rPr>
          <w:sz w:val="24"/>
        </w:rPr>
        <w:fldChar w:fldCharType="end"/>
      </w:r>
      <w:r>
        <w:rPr>
          <w:sz w:val="24"/>
        </w:rPr>
        <w:t>. The ATIII activity in pre-DIC patients was lower than that in non-DIC patients, consistent with the findings of a study by Jackson Chornenki NL et al</w:t>
      </w:r>
      <w:r>
        <w:rPr>
          <w:rFonts w:hint="eastAsia"/>
          <w:sz w:val="24"/>
          <w:vertAlign w:val="superscript"/>
          <w:lang w:val="en-US" w:eastAsia="zh-CN"/>
        </w:rPr>
        <w:t>15</w:t>
      </w:r>
      <w:r>
        <w:rPr>
          <w:sz w:val="24"/>
        </w:rPr>
        <w:t>. These changes suggest that even in the pre-DIC stage, patients already exhibit signs of coagulation activation and impaired anticoagulant function. Although these abnormalities may not yet cause overt symptoms, they reflect an early imbalance in hemostasis that can rapidly progress to overt DIC if not recognized and managed in time.</w:t>
      </w:r>
    </w:p>
    <w:p w14:paraId="0B4AC764">
      <w:pPr>
        <w:spacing w:after="240" w:afterLines="0"/>
        <w:rPr>
          <w:sz w:val="24"/>
        </w:rPr>
      </w:pPr>
      <w:r>
        <w:rPr>
          <w:sz w:val="24"/>
        </w:rPr>
        <w:t>In this study, pre-DIC patients showed similar levels of TAT, TM, tPAIC, and ATIII compared to overt-DIC patients, but these were significantly different from non-DIC patients.</w:t>
      </w:r>
      <w:r>
        <w:rPr>
          <w:rFonts w:hint="eastAsia"/>
          <w:sz w:val="24"/>
        </w:rPr>
        <w:t xml:space="preserve"> </w:t>
      </w:r>
      <w:r>
        <w:rPr>
          <w:sz w:val="24"/>
        </w:rPr>
        <w:t xml:space="preserve"> It indicated that coagulation abnormalities </w:t>
      </w:r>
      <w:r>
        <w:rPr>
          <w:rFonts w:hint="eastAsia"/>
          <w:sz w:val="24"/>
          <w:lang w:val="en-US" w:eastAsia="zh-CN"/>
        </w:rPr>
        <w:t>were</w:t>
      </w:r>
      <w:r>
        <w:rPr>
          <w:sz w:val="24"/>
        </w:rPr>
        <w:t xml:space="preserve"> already present in the pre-DIC stage. Since</w:t>
      </w:r>
      <w:r>
        <w:rPr>
          <w:rFonts w:hint="eastAsia"/>
          <w:sz w:val="24"/>
        </w:rPr>
        <w:t xml:space="preserve"> </w:t>
      </w:r>
      <w:r>
        <w:rPr>
          <w:sz w:val="24"/>
        </w:rPr>
        <w:t>overt-DIC has established diagnostic criteria, we focused on finding a method for diagnosing pre-DIC to determine optimal biomarker cutoffs. Therefore, the cutoff values of above markers had clinical significance and could partially compensate for the inability of the ISTH overt-DIC scoring system to diagnose pre-DIC.</w:t>
      </w:r>
    </w:p>
    <w:p w14:paraId="0B4AC766">
      <w:pPr>
        <w:rPr>
          <w:rFonts w:hint="eastAsia"/>
          <w:sz w:val="24"/>
        </w:rPr>
      </w:pPr>
      <w:r>
        <w:rPr>
          <w:sz w:val="24"/>
        </w:rPr>
        <w:t>To our best knowledge, this is the first study to propose and apply TAT/ATIII for evaluating DIC. Elevated TAT with reduced ATIII reflects excessive thrombin activity and weakened anticoagulant capacity</w:t>
      </w:r>
      <w:r>
        <w:rPr>
          <w:rStyle w:val="11"/>
          <w:sz w:val="24"/>
        </w:rPr>
        <w:endnoteReference w:id="24"/>
      </w:r>
      <w:r>
        <w:rPr>
          <w:sz w:val="24"/>
        </w:rPr>
        <w:t>. TAT/ATIII combines both factors, offering a more integrated view of coagulation imbalance. In our analysis, TAT/ATIII outperformed TAT/PIC in predicting overt-DIC and showed correlations with platelet count and D-dimer. These findings suggest that TAT/ATIII is a promising marker for identifying pre-DIC before clinical symptoms emerge, with potential to enhance existing diagnostic criteria. With wider access to biomarker testing, TAT/ATIII is also practical for clinical use.</w:t>
      </w:r>
    </w:p>
    <w:p w14:paraId="0B4AC768">
      <w:pPr>
        <w:rPr>
          <w:sz w:val="24"/>
        </w:rPr>
      </w:pPr>
      <w:r>
        <w:rPr>
          <w:sz w:val="24"/>
        </w:rPr>
        <w:t xml:space="preserve">Given that DIC progresses rapidly and carries a high risk of mortality, reducing the predictive </w:t>
      </w:r>
      <w:r>
        <w:rPr>
          <w:rFonts w:hint="eastAsia"/>
          <w:sz w:val="24"/>
        </w:rPr>
        <w:t>period</w:t>
      </w:r>
      <w:r>
        <w:rPr>
          <w:sz w:val="24"/>
        </w:rPr>
        <w:t xml:space="preserve"> would enhance the guidance value of treatment strategies. This study also conducted subgroup analysis on pre-DIC patients using general logistic regression models to assess the predictive ability of individual and combined biomarkers for overt-DIC within 3 days. The results indicated that the predictive performance of TAT, TM, tPAIC, and ATIII for overt-DIC within 3 days was more accurate </w:t>
      </w:r>
      <w:r>
        <w:rPr>
          <w:rFonts w:hint="eastAsia"/>
          <w:sz w:val="24"/>
          <w:lang w:val="en-US" w:eastAsia="zh-CN"/>
        </w:rPr>
        <w:t>than</w:t>
      </w:r>
      <w:r>
        <w:rPr>
          <w:sz w:val="24"/>
        </w:rPr>
        <w:t xml:space="preserve"> within 7 days and 3 days later. This finding was crucial because the speed varie</w:t>
      </w:r>
      <w:r>
        <w:rPr>
          <w:rFonts w:hint="eastAsia"/>
          <w:sz w:val="24"/>
        </w:rPr>
        <w:t>d</w:t>
      </w:r>
      <w:r>
        <w:rPr>
          <w:sz w:val="24"/>
        </w:rPr>
        <w:t xml:space="preserve"> from coagulation initiation to thrombus formation but overt-DIC typically develop</w:t>
      </w:r>
      <w:r>
        <w:rPr>
          <w:rFonts w:hint="eastAsia"/>
          <w:sz w:val="24"/>
        </w:rPr>
        <w:t>ed</w:t>
      </w:r>
      <w:r>
        <w:rPr>
          <w:sz w:val="24"/>
        </w:rPr>
        <w:t xml:space="preserve"> rapidly during the progression of DIC. Within 7 days, etiological control and the body's self-regulation mechanisms may reverse coagulation abnormalities, affecting </w:t>
      </w:r>
      <w:r>
        <w:rPr>
          <w:rFonts w:hint="eastAsia"/>
          <w:sz w:val="24"/>
        </w:rPr>
        <w:t>markers</w:t>
      </w:r>
      <w:r>
        <w:rPr>
          <w:sz w:val="24"/>
        </w:rPr>
        <w:t xml:space="preserve">' predictive accuracy for DIC. Therefore, TAT, TM, tPAIC, and ATIII may assist clinicians </w:t>
      </w:r>
      <w:r>
        <w:rPr>
          <w:rFonts w:hint="eastAsia"/>
          <w:sz w:val="24"/>
        </w:rPr>
        <w:t>in</w:t>
      </w:r>
      <w:r>
        <w:rPr>
          <w:sz w:val="24"/>
        </w:rPr>
        <w:t xml:space="preserve"> promptly identify</w:t>
      </w:r>
      <w:r>
        <w:rPr>
          <w:rFonts w:hint="eastAsia"/>
          <w:sz w:val="24"/>
        </w:rPr>
        <w:t>ing</w:t>
      </w:r>
      <w:r>
        <w:rPr>
          <w:sz w:val="24"/>
        </w:rPr>
        <w:t xml:space="preserve"> early DIC onset and tak</w:t>
      </w:r>
      <w:r>
        <w:rPr>
          <w:rFonts w:hint="eastAsia"/>
          <w:sz w:val="24"/>
        </w:rPr>
        <w:t>ing</w:t>
      </w:r>
      <w:r>
        <w:rPr>
          <w:sz w:val="24"/>
        </w:rPr>
        <w:t xml:space="preserve"> proactive intervention within 72 hours to halt DIC progression, thereby contributing to improving clinical outcomes.</w:t>
      </w:r>
    </w:p>
    <w:p w14:paraId="0B4AC76C">
      <w:pPr>
        <w:rPr>
          <w:strike/>
          <w:sz w:val="24"/>
        </w:rPr>
      </w:pPr>
      <w:r>
        <w:rPr>
          <w:sz w:val="24"/>
        </w:rPr>
        <w:t>In this study, the training and validation datasets were independent with certain imbalances in baseline characteristics, leading to statistical differences in some aspects, including clinical status, PLT, PT, DDi, FDP, hemostatic biomarkers, in-hospital mortality, and length of stay. Th</w:t>
      </w:r>
      <w:r>
        <w:rPr>
          <w:rFonts w:hint="eastAsia"/>
          <w:sz w:val="24"/>
        </w:rPr>
        <w:t>at</w:t>
      </w:r>
      <w:r>
        <w:rPr>
          <w:sz w:val="24"/>
        </w:rPr>
        <w:t xml:space="preserve"> imbalance may reduce the efficacy of the general logistic regression models in the validation. Therefore, this study also employed lasso-logistic regression with L1 regularization to reduce model complexity and better evaluate models' performance, to minimize the impact of differences between the training and validation sets on model performance</w:t>
      </w:r>
      <w:r>
        <w:rPr>
          <w:sz w:val="24"/>
        </w:rPr>
        <w:fldChar w:fldCharType="begin"/>
      </w:r>
      <w:r>
        <w:rPr>
          <w:sz w:val="24"/>
        </w:rPr>
        <w:instrText xml:space="preserve"> NOTEREF _Ref19090 \f \h </w:instrText>
      </w:r>
      <w:r>
        <w:rPr>
          <w:sz w:val="24"/>
        </w:rPr>
        <w:fldChar w:fldCharType="separate"/>
      </w:r>
      <w:r>
        <w:rPr>
          <w:sz w:val="24"/>
          <w:vertAlign w:val="superscript"/>
        </w:rPr>
        <w:t>19</w:t>
      </w:r>
      <w:r>
        <w:rPr>
          <w:sz w:val="24"/>
        </w:rPr>
        <w:fldChar w:fldCharType="end"/>
      </w:r>
      <w:r>
        <w:rPr>
          <w:sz w:val="24"/>
        </w:rPr>
        <w:t xml:space="preserve">. Comprehensively considering the above findings of general logistic regression models and </w:t>
      </w:r>
      <w:r>
        <w:rPr>
          <w:rFonts w:hint="eastAsia"/>
          <w:sz w:val="24"/>
        </w:rPr>
        <w:t>the</w:t>
      </w:r>
      <w:r>
        <w:rPr>
          <w:sz w:val="24"/>
        </w:rPr>
        <w:t xml:space="preserve"> significant clinical value of markers, this study constructed lasso-logistic regression models combining TAT, ATIII, TM, tPAIC, and PIC. Despite the sets not being entirely consistent, the lasso-logistic regression models still demonstrated good early diagnostic performance for DIC in the external validation data. Furthermore, when diagnosing overt-DIC, predicting overt-DIC within 7 days, and within 3 days, the importance of TAT and ATIII in lasso-logistic regression models consistently ranked higher than TM, tPAIC, and PIC, supporting the AUC results in general logistic regression models and confirming that TAT and ATIII were indeed more crucial compared to the others.</w:t>
      </w:r>
    </w:p>
    <w:p w14:paraId="0B4AC76E">
      <w:pPr>
        <w:rPr>
          <w:sz w:val="24"/>
        </w:rPr>
      </w:pPr>
      <w:r>
        <w:rPr>
          <w:sz w:val="24"/>
        </w:rPr>
        <w:t>Although there are important discoveries revealed by this study, our retrospective study, inherently face challenges such as potential bias and missing data. The single-cent</w:t>
      </w:r>
      <w:r>
        <w:rPr>
          <w:rFonts w:hint="eastAsia"/>
          <w:sz w:val="24"/>
        </w:rPr>
        <w:t>e</w:t>
      </w:r>
      <w:r>
        <w:rPr>
          <w:sz w:val="24"/>
        </w:rPr>
        <w:t>r nature of our research restricted generalizability, though our robust statistical approach and a significant cohort size did add to its credibility. Also, we have to emphasize that though retrospective, the management of all patients was unaffected by the researchers or the study protocol. Furthermore, due to the absence of clinical guideline consensus, the above five markers were not utilized in the international diagnostic and therapeutic decisions for DIC.</w:t>
      </w:r>
      <w:r>
        <w:rPr>
          <w:sz w:val="24"/>
          <w:vertAlign w:val="superscript"/>
        </w:rPr>
        <w:t xml:space="preserve"> </w:t>
      </w:r>
      <w:r>
        <w:rPr>
          <w:sz w:val="24"/>
        </w:rPr>
        <w:t>Hence, the findings of this study are clea</w:t>
      </w:r>
      <w:r>
        <w:rPr>
          <w:rFonts w:hint="eastAsia"/>
          <w:sz w:val="24"/>
        </w:rPr>
        <w:t>r</w:t>
      </w:r>
      <w:r>
        <w:rPr>
          <w:sz w:val="24"/>
        </w:rPr>
        <w:t xml:space="preserve"> and objective. Another limitation was the lack of ethnic and geographic diversity, with the study confined to a Chinese population. </w:t>
      </w:r>
      <w:r>
        <w:rPr>
          <w:rFonts w:hint="eastAsia"/>
          <w:sz w:val="24"/>
          <w:lang w:val="en-US" w:eastAsia="zh-CN"/>
        </w:rPr>
        <w:t xml:space="preserve">Because </w:t>
      </w:r>
      <w:r>
        <w:rPr>
          <w:rFonts w:hint="eastAsia"/>
          <w:sz w:val="24"/>
        </w:rPr>
        <w:t>association does not mean causality</w:t>
      </w:r>
      <w:r>
        <w:rPr>
          <w:rFonts w:hint="eastAsia"/>
          <w:sz w:val="24"/>
          <w:lang w:val="en-US" w:eastAsia="zh-CN"/>
        </w:rPr>
        <w:t xml:space="preserve">, it </w:t>
      </w:r>
      <w:r>
        <w:rPr>
          <w:sz w:val="24"/>
        </w:rPr>
        <w:t>signifies an opportunity for a prospective multi-cent</w:t>
      </w:r>
      <w:r>
        <w:rPr>
          <w:rFonts w:hint="eastAsia"/>
          <w:sz w:val="24"/>
        </w:rPr>
        <w:t>e</w:t>
      </w:r>
      <w:r>
        <w:rPr>
          <w:sz w:val="24"/>
        </w:rPr>
        <w:t>r randomized study, which we have initiated, to broaden the understanding and predictive accuracy regarding early diagnosis of DIC.</w:t>
      </w:r>
    </w:p>
    <w:p w14:paraId="0B4AC770">
      <w:pPr>
        <w:spacing w:after="0" w:afterLines="0"/>
        <w:rPr>
          <w:strike/>
          <w:sz w:val="24"/>
        </w:rPr>
      </w:pPr>
      <w:r>
        <w:rPr>
          <w:sz w:val="24"/>
        </w:rPr>
        <w:t xml:space="preserve">In summary, this study </w:t>
      </w:r>
      <w:r>
        <w:rPr>
          <w:sz w:val="24"/>
          <w:lang w:val="en-CA"/>
        </w:rPr>
        <w:t xml:space="preserve">demonstrates that </w:t>
      </w:r>
      <w:r>
        <w:rPr>
          <w:sz w:val="24"/>
        </w:rPr>
        <w:t>hemostatic biomarkers and ATIII can enable earlier and more direct diagnosis of pre-DIC, addressing the key limitations of the current the diagnostic</w:t>
      </w:r>
      <w:r>
        <w:rPr>
          <w:rFonts w:hint="eastAsia"/>
          <w:sz w:val="24"/>
          <w:lang w:val="en-US" w:eastAsia="zh-CN"/>
        </w:rPr>
        <w:t xml:space="preserve"> </w:t>
      </w:r>
      <w:r>
        <w:rPr>
          <w:sz w:val="24"/>
        </w:rPr>
        <w:t xml:space="preserve">ISTH-DIC scoring system. By identifying early coagulation imbalance, particularly through TAT and ATIII, our findings support timely intervention and may help prevent progression to overt-DIC. This approach represents a shift toward precision medicine in DIC management, promoting earlier, evidence-based decision-making in therapeutic interventions. </w:t>
      </w:r>
    </w:p>
    <w:p w14:paraId="0B4AC771">
      <w:pPr>
        <w:spacing w:after="0" w:afterLines="0"/>
        <w:ind w:firstLine="0" w:firstLineChars="0"/>
        <w:rPr>
          <w:b/>
          <w:bCs/>
          <w:sz w:val="24"/>
        </w:rPr>
      </w:pPr>
    </w:p>
    <w:p w14:paraId="0B4AC772">
      <w:pPr>
        <w:spacing w:after="0" w:afterLines="0"/>
        <w:ind w:firstLine="0" w:firstLineChars="0"/>
        <w:outlineLvl w:val="0"/>
        <w:rPr>
          <w:b/>
          <w:bCs/>
          <w:sz w:val="28"/>
          <w:szCs w:val="21"/>
        </w:rPr>
      </w:pPr>
      <w:r>
        <w:rPr>
          <w:b/>
          <w:bCs/>
          <w:sz w:val="28"/>
          <w:szCs w:val="21"/>
        </w:rPr>
        <w:t>Abbreviations</w:t>
      </w:r>
    </w:p>
    <w:p w14:paraId="0B4AC773">
      <w:pPr>
        <w:spacing w:after="0" w:afterLines="0"/>
        <w:ind w:firstLine="0" w:firstLineChars="0"/>
        <w:rPr>
          <w:sz w:val="24"/>
        </w:rPr>
      </w:pPr>
      <w:r>
        <w:rPr>
          <w:sz w:val="24"/>
        </w:rPr>
        <w:t>DIC    Disseminated intravascular coagulation</w:t>
      </w:r>
    </w:p>
    <w:p w14:paraId="0B4AC774">
      <w:pPr>
        <w:spacing w:after="0" w:afterLines="0"/>
        <w:ind w:firstLine="0" w:firstLineChars="0"/>
        <w:rPr>
          <w:sz w:val="24"/>
        </w:rPr>
      </w:pPr>
      <w:r>
        <w:rPr>
          <w:sz w:val="24"/>
        </w:rPr>
        <w:t xml:space="preserve">TAT    Thrombin-antithrombin complex </w:t>
      </w:r>
    </w:p>
    <w:p w14:paraId="0B4AC775">
      <w:pPr>
        <w:spacing w:after="0" w:afterLines="0"/>
        <w:ind w:firstLine="0" w:firstLineChars="0"/>
        <w:rPr>
          <w:sz w:val="24"/>
        </w:rPr>
      </w:pPr>
      <w:r>
        <w:rPr>
          <w:sz w:val="24"/>
        </w:rPr>
        <w:t xml:space="preserve">TM     Thrombomodulin </w:t>
      </w:r>
    </w:p>
    <w:p w14:paraId="0B4AC776">
      <w:pPr>
        <w:spacing w:after="0" w:afterLines="0"/>
        <w:ind w:firstLine="0" w:firstLineChars="0"/>
        <w:rPr>
          <w:sz w:val="24"/>
        </w:rPr>
      </w:pPr>
      <w:r>
        <w:rPr>
          <w:sz w:val="24"/>
        </w:rPr>
        <w:t>tPAIC   Tissue plasminogen activator inhibitor complex</w:t>
      </w:r>
    </w:p>
    <w:p w14:paraId="0B4AC777">
      <w:pPr>
        <w:spacing w:after="0" w:afterLines="0"/>
        <w:ind w:firstLine="0" w:firstLineChars="0"/>
        <w:rPr>
          <w:sz w:val="24"/>
        </w:rPr>
      </w:pPr>
      <w:r>
        <w:rPr>
          <w:sz w:val="24"/>
        </w:rPr>
        <w:t>PIC     α</w:t>
      </w:r>
      <w:r>
        <w:rPr>
          <w:sz w:val="24"/>
          <w:vertAlign w:val="subscript"/>
        </w:rPr>
        <w:t>2</w:t>
      </w:r>
      <w:r>
        <w:rPr>
          <w:sz w:val="24"/>
        </w:rPr>
        <w:t xml:space="preserve">-plasmin inhibitor plasmin complex </w:t>
      </w:r>
    </w:p>
    <w:p w14:paraId="0B4AC778">
      <w:pPr>
        <w:spacing w:after="0" w:afterLines="0"/>
        <w:ind w:firstLine="0" w:firstLineChars="0"/>
        <w:rPr>
          <w:sz w:val="24"/>
        </w:rPr>
      </w:pPr>
      <w:r>
        <w:rPr>
          <w:sz w:val="24"/>
        </w:rPr>
        <w:t xml:space="preserve">ATIII    Antithrombin III   </w:t>
      </w:r>
    </w:p>
    <w:p w14:paraId="0B4AC779">
      <w:pPr>
        <w:spacing w:after="0" w:afterLines="0"/>
        <w:ind w:firstLine="0" w:firstLineChars="0"/>
        <w:rPr>
          <w:sz w:val="24"/>
        </w:rPr>
      </w:pPr>
      <w:r>
        <w:rPr>
          <w:sz w:val="24"/>
        </w:rPr>
        <w:t xml:space="preserve">ICU     Intensive care unit  </w:t>
      </w:r>
    </w:p>
    <w:p w14:paraId="0B4AC77A">
      <w:pPr>
        <w:spacing w:after="0" w:afterLines="0"/>
        <w:ind w:firstLine="0" w:firstLineChars="0"/>
        <w:rPr>
          <w:sz w:val="24"/>
          <w:lang w:val="en-CA"/>
        </w:rPr>
      </w:pPr>
      <w:r>
        <w:rPr>
          <w:sz w:val="24"/>
          <w:lang w:val="en-CA"/>
        </w:rPr>
        <w:t>ROC</w:t>
      </w:r>
      <w:r>
        <w:rPr>
          <w:sz w:val="24"/>
        </w:rPr>
        <w:t xml:space="preserve">    R</w:t>
      </w:r>
      <w:r>
        <w:rPr>
          <w:sz w:val="24"/>
          <w:lang w:val="en-CA"/>
        </w:rPr>
        <w:t xml:space="preserve">eceiver operating characteristic </w:t>
      </w:r>
    </w:p>
    <w:p w14:paraId="0B4AC77B">
      <w:pPr>
        <w:spacing w:after="0" w:afterLines="0"/>
        <w:ind w:firstLine="0" w:firstLineChars="0"/>
        <w:rPr>
          <w:sz w:val="24"/>
          <w:lang w:val="en-CA"/>
        </w:rPr>
      </w:pPr>
      <w:r>
        <w:rPr>
          <w:sz w:val="24"/>
        </w:rPr>
        <w:t>ISTH    International Society on Thrombosis and Haemostasis</w:t>
      </w:r>
    </w:p>
    <w:p w14:paraId="0B4AC77C">
      <w:pPr>
        <w:spacing w:after="0" w:afterLines="0"/>
        <w:ind w:firstLine="0" w:firstLineChars="0"/>
        <w:rPr>
          <w:sz w:val="24"/>
        </w:rPr>
      </w:pPr>
      <w:r>
        <w:rPr>
          <w:sz w:val="24"/>
        </w:rPr>
        <w:t xml:space="preserve">PT      Prothrombin time </w:t>
      </w:r>
    </w:p>
    <w:p w14:paraId="0B4AC77D">
      <w:pPr>
        <w:spacing w:after="0" w:afterLines="0"/>
        <w:ind w:firstLine="0" w:firstLineChars="0"/>
        <w:rPr>
          <w:sz w:val="24"/>
        </w:rPr>
      </w:pPr>
      <w:r>
        <w:rPr>
          <w:sz w:val="24"/>
        </w:rPr>
        <w:t xml:space="preserve">FIB     Fibrinogen </w:t>
      </w:r>
    </w:p>
    <w:p w14:paraId="0B4AC77E">
      <w:pPr>
        <w:spacing w:after="0" w:afterLines="0"/>
        <w:ind w:firstLine="0" w:firstLineChars="0"/>
        <w:rPr>
          <w:sz w:val="24"/>
        </w:rPr>
      </w:pPr>
      <w:r>
        <w:rPr>
          <w:sz w:val="24"/>
        </w:rPr>
        <w:t>DDi     D-dimer</w:t>
      </w:r>
    </w:p>
    <w:p w14:paraId="0B4AC77F">
      <w:pPr>
        <w:spacing w:after="0" w:afterLines="0"/>
        <w:ind w:firstLine="0" w:firstLineChars="0"/>
        <w:rPr>
          <w:sz w:val="24"/>
        </w:rPr>
      </w:pPr>
      <w:r>
        <w:rPr>
          <w:sz w:val="24"/>
        </w:rPr>
        <w:t xml:space="preserve">FDP     Fibrinogen degradation products </w:t>
      </w:r>
    </w:p>
    <w:p w14:paraId="0B4AC780">
      <w:pPr>
        <w:spacing w:after="0" w:afterLines="0"/>
        <w:ind w:firstLine="0" w:firstLineChars="0"/>
        <w:rPr>
          <w:sz w:val="24"/>
        </w:rPr>
      </w:pPr>
      <w:r>
        <w:rPr>
          <w:sz w:val="24"/>
        </w:rPr>
        <w:t>PLT     Platelet count</w:t>
      </w:r>
    </w:p>
    <w:p w14:paraId="0B4AC781">
      <w:pPr>
        <w:ind w:firstLine="0" w:firstLineChars="0"/>
        <w:rPr>
          <w:sz w:val="24"/>
        </w:rPr>
      </w:pPr>
      <w:r>
        <w:rPr>
          <w:sz w:val="24"/>
        </w:rPr>
        <w:t xml:space="preserve">AUC    The area under the ROC curve </w:t>
      </w:r>
    </w:p>
    <w:p w14:paraId="0B4AC782">
      <w:pPr>
        <w:spacing w:after="0" w:afterLines="0"/>
        <w:ind w:firstLine="0" w:firstLineChars="0"/>
        <w:outlineLvl w:val="0"/>
        <w:rPr>
          <w:b/>
          <w:bCs/>
          <w:sz w:val="28"/>
          <w:szCs w:val="21"/>
        </w:rPr>
      </w:pPr>
      <w:r>
        <w:rPr>
          <w:b/>
          <w:bCs/>
          <w:sz w:val="28"/>
          <w:szCs w:val="21"/>
        </w:rPr>
        <w:t>Acknowledgments</w:t>
      </w:r>
    </w:p>
    <w:p w14:paraId="0B4AC783">
      <w:pPr>
        <w:spacing w:after="0" w:afterLines="0"/>
        <w:ind w:firstLine="0" w:firstLineChars="0"/>
        <w:rPr>
          <w:sz w:val="24"/>
        </w:rPr>
      </w:pPr>
      <w:r>
        <w:rPr>
          <w:rFonts w:hint="eastAsia"/>
          <w:sz w:val="24"/>
        </w:rPr>
        <w:t>This work was supported by grants from National Key Research and Development Program of China (No. 2023YFC2507803, No. 2023YFC2507800), ECCM Program of Clinical Research Centre of Shandong University (No. 2021SDUCRCB008), Young Taishan Scholar Foundation of Shandong Province (No. tsqn201812133), the Fundamental Research Funds of Shandong University (2020QNQT001), and National Natural Science Foundation of China (No. 81900124). We would like to thank Reid C. Gallant (Department of Medicine, McMaster University, Hamilton, Ontario, Canada) for editing and revising the manuscript.</w:t>
      </w:r>
    </w:p>
    <w:p w14:paraId="0B4AC784">
      <w:pPr>
        <w:spacing w:after="0" w:afterLines="0"/>
        <w:ind w:firstLine="0" w:firstLineChars="0"/>
        <w:outlineLvl w:val="0"/>
        <w:rPr>
          <w:b/>
          <w:bCs/>
          <w:sz w:val="28"/>
          <w:szCs w:val="21"/>
        </w:rPr>
      </w:pPr>
      <w:r>
        <w:rPr>
          <w:b/>
          <w:bCs/>
          <w:sz w:val="28"/>
          <w:szCs w:val="21"/>
        </w:rPr>
        <w:t>Author</w:t>
      </w:r>
      <w:r>
        <w:rPr>
          <w:rFonts w:hint="eastAsia"/>
          <w:b/>
          <w:bCs/>
          <w:sz w:val="28"/>
          <w:szCs w:val="21"/>
        </w:rPr>
        <w:t>ship</w:t>
      </w:r>
      <w:r>
        <w:rPr>
          <w:b/>
          <w:bCs/>
          <w:sz w:val="28"/>
          <w:szCs w:val="21"/>
        </w:rPr>
        <w:t xml:space="preserve"> </w:t>
      </w:r>
      <w:r>
        <w:rPr>
          <w:rFonts w:hint="eastAsia"/>
          <w:b/>
          <w:bCs/>
          <w:sz w:val="28"/>
          <w:szCs w:val="21"/>
        </w:rPr>
        <w:t>C</w:t>
      </w:r>
      <w:r>
        <w:rPr>
          <w:b/>
          <w:bCs/>
          <w:sz w:val="28"/>
          <w:szCs w:val="21"/>
        </w:rPr>
        <w:t>ontributions</w:t>
      </w:r>
    </w:p>
    <w:p w14:paraId="0B4AC787">
      <w:pPr>
        <w:spacing w:after="0" w:afterLines="0"/>
        <w:ind w:firstLine="0" w:firstLineChars="0"/>
        <w:rPr>
          <w:color w:val="000000" w:themeColor="text1"/>
          <w:sz w:val="24"/>
          <w14:textFill>
            <w14:solidFill>
              <w14:schemeClr w14:val="tx1"/>
            </w14:solidFill>
          </w14:textFill>
        </w:rPr>
      </w:pPr>
      <w:bookmarkStart w:id="16" w:name="OLE_LINK10"/>
      <w:bookmarkStart w:id="17" w:name="OLE_LINK8"/>
      <w:r>
        <w:rPr>
          <w:rFonts w:hint="eastAsia"/>
          <w:sz w:val="24"/>
        </w:rPr>
        <w:t xml:space="preserve">Qiuyu Guo, Tichao Shan, </w:t>
      </w:r>
      <w:r>
        <w:rPr>
          <w:rFonts w:hint="eastAsia"/>
          <w:sz w:val="24"/>
          <w:lang w:val="en-US" w:eastAsia="zh-CN"/>
        </w:rPr>
        <w:t xml:space="preserve">Jun Peng, </w:t>
      </w:r>
      <w:r>
        <w:rPr>
          <w:rFonts w:hint="eastAsia"/>
          <w:sz w:val="24"/>
        </w:rPr>
        <w:t xml:space="preserve">and Miao Xu designed the study. Qiuyu Guo collected and analyzed the data, and wrote the manuscript. Jing Wang, Tichao Shan, Miao Xu, and Jun Peng analyzed the data, revised the manuscript. Fengjiao Han and Zhengqi Jiang collected and analyzed the data. Zhiping Liu and Xiaorong Yang analyzed the data and provided technical support. Ming Hou critically revised the manuscript. Miao Xu and Tichao Shan have accessed and verified all the data in the study. Miao Xu and Jun Peng funded the research. The authors report no competing interests. </w:t>
      </w:r>
      <w:r>
        <w:rPr>
          <w:sz w:val="24"/>
        </w:rPr>
        <w:t>All authors gave final approval for the version to be published.</w:t>
      </w:r>
      <w:bookmarkEnd w:id="16"/>
    </w:p>
    <w:p w14:paraId="0B4AC78B">
      <w:pPr>
        <w:spacing w:after="0" w:afterLines="0"/>
        <w:ind w:firstLine="0" w:firstLineChars="0"/>
        <w:outlineLvl w:val="0"/>
        <w:rPr>
          <w:b/>
          <w:bCs/>
          <w:sz w:val="28"/>
          <w:szCs w:val="21"/>
        </w:rPr>
      </w:pPr>
      <w:r>
        <w:rPr>
          <w:b/>
          <w:bCs/>
          <w:sz w:val="28"/>
          <w:szCs w:val="21"/>
        </w:rPr>
        <w:t xml:space="preserve">Ethics approval and consent to participate </w:t>
      </w:r>
    </w:p>
    <w:p w14:paraId="0B4AC78E">
      <w:pPr>
        <w:spacing w:after="0" w:afterLines="0"/>
        <w:ind w:firstLine="0" w:firstLineChars="0"/>
        <w:rPr>
          <w:sz w:val="24"/>
        </w:rPr>
      </w:pPr>
      <w:r>
        <w:rPr>
          <w:sz w:val="24"/>
        </w:rPr>
        <w:t>The Research Ethics Commission of Qilu Hospital approved this study (KYLL-202309-011) and waived the requirement for informed consent. This study was registered on Clinicaltrials.gov: NCT05995093.</w:t>
      </w:r>
    </w:p>
    <w:p w14:paraId="0B4AC78F">
      <w:pPr>
        <w:spacing w:after="0" w:afterLines="0"/>
        <w:ind w:firstLine="0" w:firstLineChars="0"/>
        <w:outlineLvl w:val="0"/>
        <w:rPr>
          <w:b/>
          <w:bCs/>
          <w:sz w:val="28"/>
          <w:szCs w:val="21"/>
        </w:rPr>
      </w:pPr>
      <w:r>
        <w:rPr>
          <w:rFonts w:hint="eastAsia"/>
          <w:b/>
          <w:bCs/>
          <w:sz w:val="28"/>
          <w:szCs w:val="21"/>
        </w:rPr>
        <w:t>Conflict of Interest Disclosures</w:t>
      </w:r>
      <w:r>
        <w:rPr>
          <w:b/>
          <w:bCs/>
          <w:sz w:val="28"/>
          <w:szCs w:val="21"/>
        </w:rPr>
        <w:t xml:space="preserve"> </w:t>
      </w:r>
    </w:p>
    <w:p w14:paraId="4562439D">
      <w:pPr>
        <w:spacing w:after="0" w:afterLines="0"/>
        <w:ind w:firstLine="0" w:firstLineChars="0"/>
        <w:rPr>
          <w:sz w:val="24"/>
        </w:rPr>
      </w:pPr>
      <w:r>
        <w:rPr>
          <w:sz w:val="24"/>
        </w:rPr>
        <w:t xml:space="preserve">The authors report no competing interests. </w:t>
      </w:r>
      <w:bookmarkEnd w:id="17"/>
    </w:p>
    <w:p w14:paraId="0B4AC790">
      <w:pPr>
        <w:spacing w:after="0" w:afterLines="0"/>
        <w:ind w:firstLine="0" w:firstLineChars="0"/>
        <w:rPr>
          <w:sz w:val="24"/>
        </w:rPr>
      </w:pPr>
      <w:r>
        <w:rPr>
          <w:sz w:val="24"/>
        </w:rPr>
        <w:br w:type="page"/>
      </w:r>
    </w:p>
    <w:p w14:paraId="18D0B2E6">
      <w:pPr>
        <w:spacing w:after="0" w:afterLines="0" w:line="360" w:lineRule="auto"/>
        <w:ind w:firstLine="0" w:firstLineChars="0"/>
        <w:outlineLvl w:val="0"/>
        <w:rPr>
          <w:rFonts w:hint="eastAsia"/>
          <w:b/>
          <w:bCs/>
          <w:sz w:val="24"/>
          <w:szCs w:val="24"/>
          <w:lang w:val="en-US" w:eastAsia="zh-CN"/>
        </w:rPr>
      </w:pPr>
      <w:r>
        <w:rPr>
          <w:rFonts w:hint="eastAsia"/>
          <w:b/>
          <w:bCs/>
          <w:sz w:val="24"/>
          <w:szCs w:val="24"/>
          <w:lang w:val="en-US" w:eastAsia="zh-CN"/>
        </w:rPr>
        <w:t>Tables</w:t>
      </w:r>
    </w:p>
    <w:p w14:paraId="68AC3F61">
      <w:pPr>
        <w:spacing w:after="0" w:afterLines="0" w:line="360" w:lineRule="auto"/>
        <w:ind w:firstLine="0" w:firstLineChars="0"/>
        <w:rPr>
          <w:rFonts w:hint="default"/>
          <w:b w:val="0"/>
          <w:bCs w:val="0"/>
          <w:sz w:val="24"/>
          <w:szCs w:val="24"/>
          <w:lang w:val="en-US" w:eastAsia="zh-CN"/>
        </w:rPr>
      </w:pPr>
      <w:r>
        <w:rPr>
          <w:rFonts w:hint="default"/>
          <w:b w:val="0"/>
          <w:bCs w:val="0"/>
          <w:sz w:val="24"/>
          <w:szCs w:val="24"/>
          <w:lang w:val="en-US" w:eastAsia="zh-CN"/>
        </w:rPr>
        <w:t>Table 1. Baseline characteristics in the training set and validation set.</w:t>
      </w:r>
    </w:p>
    <w:p w14:paraId="0B4AC791">
      <w:pPr>
        <w:spacing w:after="0" w:afterLines="0" w:line="360" w:lineRule="auto"/>
        <w:ind w:firstLine="0" w:firstLineChars="0"/>
        <w:rPr>
          <w:b w:val="0"/>
          <w:bCs w:val="0"/>
          <w:sz w:val="24"/>
          <w:szCs w:val="24"/>
        </w:rPr>
      </w:pPr>
      <w:r>
        <w:rPr>
          <w:rFonts w:hint="eastAsia"/>
          <w:b w:val="0"/>
          <w:bCs w:val="0"/>
          <w:sz w:val="24"/>
          <w:szCs w:val="24"/>
        </w:rPr>
        <w:t>Table 2. Baseline characteristics of subgroups in the training set.</w:t>
      </w:r>
    </w:p>
    <w:p w14:paraId="32B14BA2">
      <w:pPr>
        <w:spacing w:after="0" w:afterLines="0" w:line="360" w:lineRule="auto"/>
        <w:ind w:firstLine="0" w:firstLineChars="0"/>
        <w:outlineLvl w:val="9"/>
        <w:rPr>
          <w:rFonts w:hint="eastAsia"/>
          <w:b w:val="0"/>
          <w:bCs w:val="0"/>
          <w:sz w:val="24"/>
          <w:szCs w:val="24"/>
        </w:rPr>
      </w:pPr>
      <w:r>
        <w:rPr>
          <w:rFonts w:hint="eastAsia"/>
          <w:b w:val="0"/>
          <w:bCs w:val="0"/>
          <w:sz w:val="24"/>
          <w:szCs w:val="24"/>
        </w:rPr>
        <w:t>Table 3. Baseline characteristics of subgroups in the validation set.</w:t>
      </w:r>
    </w:p>
    <w:p w14:paraId="1E8C50C5">
      <w:pPr>
        <w:spacing w:after="0" w:afterLines="0" w:line="360" w:lineRule="auto"/>
        <w:ind w:firstLine="0" w:firstLineChars="0"/>
        <w:outlineLvl w:val="9"/>
        <w:rPr>
          <w:rFonts w:hint="eastAsia"/>
          <w:b w:val="0"/>
          <w:bCs w:val="0"/>
          <w:sz w:val="24"/>
          <w:szCs w:val="24"/>
        </w:rPr>
      </w:pPr>
      <w:r>
        <w:rPr>
          <w:rFonts w:hint="eastAsia"/>
          <w:b w:val="0"/>
          <w:bCs w:val="0"/>
          <w:sz w:val="24"/>
          <w:szCs w:val="24"/>
        </w:rPr>
        <w:t>Table 4. Spearman correlation analysis between markers and laboratory coagulation series in the training set.</w:t>
      </w:r>
    </w:p>
    <w:p w14:paraId="5EF2E410">
      <w:pPr>
        <w:spacing w:after="0" w:afterLines="0" w:line="360" w:lineRule="auto"/>
        <w:ind w:firstLine="0" w:firstLineChars="0"/>
        <w:outlineLvl w:val="9"/>
        <w:rPr>
          <w:rFonts w:hint="eastAsia"/>
          <w:sz w:val="24"/>
          <w:szCs w:val="24"/>
        </w:rPr>
      </w:pPr>
      <w:r>
        <w:rPr>
          <w:rFonts w:hint="eastAsia"/>
          <w:sz w:val="24"/>
          <w:szCs w:val="24"/>
        </w:rPr>
        <w:t>Table 5. Diagnostic and predictive performance of the markers for overt-DIC in the training set.</w:t>
      </w:r>
    </w:p>
    <w:p w14:paraId="793BA093">
      <w:pPr>
        <w:spacing w:after="0" w:afterLines="0" w:line="360" w:lineRule="auto"/>
        <w:ind w:firstLine="0" w:firstLineChars="0"/>
        <w:outlineLvl w:val="9"/>
        <w:rPr>
          <w:rFonts w:hint="eastAsia"/>
          <w:sz w:val="24"/>
          <w:szCs w:val="24"/>
        </w:rPr>
      </w:pPr>
      <w:r>
        <w:rPr>
          <w:rFonts w:hint="eastAsia"/>
          <w:sz w:val="24"/>
          <w:szCs w:val="24"/>
        </w:rPr>
        <w:t>Table 6. Subgroup analysis of pre-DIC patients in the training set.</w:t>
      </w:r>
    </w:p>
    <w:p w14:paraId="193327A4">
      <w:pPr>
        <w:spacing w:after="0" w:afterLines="0" w:line="360" w:lineRule="auto"/>
        <w:ind w:firstLine="0" w:firstLineChars="0"/>
        <w:outlineLvl w:val="9"/>
        <w:rPr>
          <w:rFonts w:hint="eastAsia"/>
          <w:sz w:val="24"/>
          <w:szCs w:val="24"/>
        </w:rPr>
      </w:pPr>
      <w:r>
        <w:rPr>
          <w:rFonts w:hint="eastAsia"/>
          <w:sz w:val="24"/>
          <w:szCs w:val="24"/>
        </w:rPr>
        <w:t>Table 7. Diagnostic performance of the cutoff values calculated from non-DIC and pre-DIC patients in table 5 for DIC in the validation set.</w:t>
      </w:r>
    </w:p>
    <w:p w14:paraId="0A8E4981">
      <w:pPr>
        <w:spacing w:after="0" w:afterLines="0" w:line="360" w:lineRule="auto"/>
        <w:ind w:firstLine="0" w:firstLineChars="0"/>
        <w:outlineLvl w:val="9"/>
        <w:rPr>
          <w:rFonts w:hint="eastAsia"/>
          <w:sz w:val="24"/>
          <w:szCs w:val="24"/>
        </w:rPr>
      </w:pPr>
      <w:r>
        <w:rPr>
          <w:rFonts w:hint="eastAsia"/>
          <w:sz w:val="24"/>
          <w:szCs w:val="24"/>
        </w:rPr>
        <w:t xml:space="preserve">Table 8. Diagnostic performance of the cutoff values calculated from non-DIC and pre-DIC1-3 patients in </w:t>
      </w:r>
      <w:r>
        <w:rPr>
          <w:rFonts w:hint="eastAsia"/>
          <w:sz w:val="24"/>
          <w:szCs w:val="24"/>
          <w:lang w:val="en-US" w:eastAsia="zh-CN"/>
        </w:rPr>
        <w:t>t</w:t>
      </w:r>
      <w:r>
        <w:rPr>
          <w:rFonts w:hint="eastAsia"/>
          <w:sz w:val="24"/>
          <w:szCs w:val="24"/>
        </w:rPr>
        <w:t>able 5 for DIC in the validation set.</w:t>
      </w:r>
    </w:p>
    <w:p w14:paraId="21A7A004">
      <w:pPr>
        <w:spacing w:after="0" w:afterLines="0" w:line="360" w:lineRule="auto"/>
        <w:ind w:firstLine="0" w:firstLineChars="0"/>
        <w:outlineLvl w:val="9"/>
        <w:rPr>
          <w:rFonts w:hint="eastAsia"/>
          <w:sz w:val="24"/>
          <w:szCs w:val="24"/>
        </w:rPr>
      </w:pPr>
      <w:r>
        <w:rPr>
          <w:rFonts w:hint="eastAsia"/>
          <w:sz w:val="24"/>
          <w:szCs w:val="24"/>
        </w:rPr>
        <w:t>Table</w:t>
      </w:r>
      <w:r>
        <w:rPr>
          <w:rFonts w:hint="eastAsia"/>
          <w:sz w:val="24"/>
          <w:szCs w:val="24"/>
          <w:lang w:val="en-US" w:eastAsia="zh-CN"/>
        </w:rPr>
        <w:t xml:space="preserve"> </w:t>
      </w:r>
      <w:r>
        <w:rPr>
          <w:rFonts w:hint="eastAsia"/>
          <w:sz w:val="24"/>
          <w:szCs w:val="24"/>
        </w:rPr>
        <w:t>9. The internal and external validation of lasso-logistic regression models for diagnosing and predicting overt-DIC.</w:t>
      </w:r>
    </w:p>
    <w:p w14:paraId="5B5E2523">
      <w:pPr>
        <w:spacing w:after="0" w:afterLines="0" w:line="360" w:lineRule="auto"/>
        <w:ind w:firstLine="0" w:firstLineChars="0"/>
        <w:outlineLvl w:val="9"/>
        <w:rPr>
          <w:rFonts w:hint="eastAsia"/>
          <w:sz w:val="24"/>
          <w:szCs w:val="24"/>
        </w:rPr>
      </w:pPr>
    </w:p>
    <w:p w14:paraId="475EA5A3">
      <w:pPr>
        <w:spacing w:after="0" w:afterLines="0" w:line="360" w:lineRule="auto"/>
        <w:ind w:firstLine="0" w:firstLineChars="0"/>
        <w:outlineLvl w:val="9"/>
        <w:rPr>
          <w:rFonts w:hint="eastAsia"/>
          <w:sz w:val="24"/>
          <w:szCs w:val="24"/>
        </w:rPr>
      </w:pPr>
    </w:p>
    <w:p w14:paraId="397CB420">
      <w:pPr>
        <w:spacing w:after="0" w:afterLines="0" w:line="360" w:lineRule="auto"/>
        <w:ind w:firstLine="0" w:firstLineChars="0"/>
        <w:outlineLvl w:val="0"/>
        <w:rPr>
          <w:rFonts w:hint="eastAsia"/>
          <w:b/>
          <w:bCs/>
          <w:sz w:val="24"/>
          <w:szCs w:val="24"/>
          <w:lang w:val="en-US" w:eastAsia="zh-CN"/>
        </w:rPr>
      </w:pPr>
      <w:r>
        <w:rPr>
          <w:rFonts w:hint="eastAsia"/>
          <w:b/>
          <w:bCs/>
          <w:sz w:val="24"/>
          <w:szCs w:val="24"/>
          <w:lang w:val="en-US" w:eastAsia="zh-CN"/>
        </w:rPr>
        <w:t>Figure legends</w:t>
      </w:r>
    </w:p>
    <w:p w14:paraId="279B0E56">
      <w:pPr>
        <w:spacing w:after="0" w:afterLines="0" w:line="360" w:lineRule="auto"/>
        <w:ind w:firstLine="0" w:firstLineChars="0"/>
        <w:outlineLvl w:val="9"/>
        <w:rPr>
          <w:rFonts w:hint="eastAsia"/>
          <w:b/>
          <w:bCs/>
          <w:sz w:val="24"/>
          <w:szCs w:val="24"/>
        </w:rPr>
      </w:pPr>
      <w:r>
        <w:rPr>
          <w:rFonts w:hint="eastAsia"/>
          <w:b/>
          <w:bCs/>
          <w:sz w:val="24"/>
          <w:szCs w:val="24"/>
        </w:rPr>
        <w:t>Figure 1. Study profile.</w:t>
      </w:r>
    </w:p>
    <w:p w14:paraId="2E2EFD40">
      <w:pPr>
        <w:spacing w:after="0" w:afterLines="0" w:line="360" w:lineRule="auto"/>
        <w:ind w:firstLine="0" w:firstLineChars="0"/>
        <w:outlineLvl w:val="9"/>
        <w:rPr>
          <w:rFonts w:hint="eastAsia"/>
          <w:b/>
          <w:bCs/>
          <w:sz w:val="24"/>
          <w:szCs w:val="24"/>
        </w:rPr>
      </w:pPr>
      <w:r>
        <w:rPr>
          <w:rFonts w:hint="eastAsia"/>
          <w:b/>
          <w:bCs/>
          <w:sz w:val="24"/>
          <w:szCs w:val="24"/>
        </w:rPr>
        <w:t>Figure 2. Kaplan-Meier survival plots of 451 patients in the training set stratified according to DIC.</w:t>
      </w:r>
    </w:p>
    <w:p w14:paraId="37E05B1C">
      <w:pPr>
        <w:spacing w:after="0" w:afterLines="0" w:line="360" w:lineRule="auto"/>
        <w:ind w:firstLine="0" w:firstLineChars="0"/>
        <w:outlineLvl w:val="9"/>
        <w:rPr>
          <w:rFonts w:hint="eastAsia"/>
          <w:sz w:val="24"/>
          <w:szCs w:val="24"/>
        </w:rPr>
      </w:pPr>
      <w:r>
        <w:rPr>
          <w:rFonts w:hint="eastAsia"/>
          <w:b/>
          <w:bCs/>
          <w:sz w:val="24"/>
          <w:szCs w:val="24"/>
        </w:rPr>
        <w:t>Figure 3. The internal and external validation of lasso-logistic regression models for diagnosing and predicting overt-DIC.</w:t>
      </w:r>
    </w:p>
    <w:p w14:paraId="5F723388">
      <w:pPr>
        <w:spacing w:after="0" w:afterLines="0" w:line="360" w:lineRule="auto"/>
        <w:ind w:firstLine="0" w:firstLineChars="0"/>
        <w:outlineLvl w:val="9"/>
        <w:rPr>
          <w:rFonts w:hint="eastAsia"/>
          <w:sz w:val="24"/>
          <w:szCs w:val="24"/>
        </w:rPr>
      </w:pPr>
      <w:r>
        <w:rPr>
          <w:rFonts w:hint="eastAsia"/>
          <w:sz w:val="24"/>
          <w:szCs w:val="24"/>
        </w:rPr>
        <w:t>Lasso-logistic regression models were constructed based on TAT, TM, tPAIC, PIC, and ATIII, employing a five-fold cross-validation to partition the training set for internal validation (a-d). The models derived from the training set were then externally validated in the validation set (e-h).</w:t>
      </w:r>
      <w:r>
        <w:rPr>
          <w:rFonts w:hint="eastAsia"/>
          <w:sz w:val="24"/>
          <w:szCs w:val="24"/>
          <w:lang w:val="en-US" w:eastAsia="zh-CN"/>
        </w:rPr>
        <w:t xml:space="preserve"> </w:t>
      </w:r>
      <w:r>
        <w:rPr>
          <w:rFonts w:hint="eastAsia"/>
          <w:sz w:val="24"/>
          <w:szCs w:val="24"/>
        </w:rPr>
        <w:t>(a) and (e), to diagnose overt-DIC. (b) and (f), to predict overt-DIC within 7 days. (c) and (g), to predict overt-DIC within 3 days. (d) and (h), to predict overt-DIC 3 days later.</w:t>
      </w:r>
    </w:p>
    <w:p w14:paraId="1F14C6C0">
      <w:pPr>
        <w:spacing w:after="0" w:afterLines="0" w:line="360" w:lineRule="auto"/>
        <w:ind w:firstLine="0" w:firstLineChars="0"/>
        <w:outlineLvl w:val="9"/>
        <w:rPr>
          <w:rFonts w:hint="eastAsia"/>
          <w:sz w:val="24"/>
          <w:szCs w:val="24"/>
        </w:rPr>
      </w:pPr>
      <w:r>
        <w:rPr>
          <w:rFonts w:hint="eastAsia"/>
          <w:sz w:val="24"/>
          <w:szCs w:val="24"/>
        </w:rPr>
        <w:t>Figure 4. SHAP interpreted the importance of markers in lasso-logistic regression models.</w:t>
      </w:r>
    </w:p>
    <w:p w14:paraId="221390D9">
      <w:pPr>
        <w:spacing w:after="0" w:afterLines="0" w:line="360" w:lineRule="auto"/>
        <w:ind w:firstLine="0" w:firstLineChars="0"/>
        <w:outlineLvl w:val="9"/>
        <w:rPr>
          <w:b w:val="0"/>
          <w:bCs w:val="0"/>
          <w:sz w:val="24"/>
          <w:szCs w:val="24"/>
        </w:rPr>
      </w:pPr>
      <w:r>
        <w:rPr>
          <w:rFonts w:hint="eastAsia"/>
          <w:sz w:val="24"/>
          <w:szCs w:val="24"/>
        </w:rPr>
        <w:t xml:space="preserve">(a) and (e), to diagnose overt-DIC. (b) and (f), to predict overt-DIC within 7 days. (c) and (g), to predict overt-DIC within 3 days. (d) and (h), to predict overt-DIC 3 days later. </w:t>
      </w:r>
      <w:r>
        <w:rPr>
          <w:b w:val="0"/>
          <w:bCs w:val="0"/>
          <w:sz w:val="24"/>
          <w:szCs w:val="24"/>
        </w:rPr>
        <w:br w:type="page"/>
      </w:r>
    </w:p>
    <w:p w14:paraId="0B4AC792">
      <w:pPr>
        <w:spacing w:after="0" w:afterLines="0"/>
        <w:ind w:firstLine="0" w:firstLineChars="0"/>
        <w:outlineLvl w:val="0"/>
        <w:rPr>
          <w:b/>
          <w:bCs/>
          <w:color w:val="000000" w:themeColor="text1"/>
          <w:sz w:val="28"/>
          <w:szCs w:val="21"/>
          <w14:textFill>
            <w14:solidFill>
              <w14:schemeClr w14:val="tx1"/>
            </w14:solidFill>
          </w14:textFill>
        </w:rPr>
      </w:pPr>
      <w:r>
        <w:rPr>
          <w:b/>
          <w:bCs/>
          <w:sz w:val="28"/>
          <w:szCs w:val="21"/>
        </w:rPr>
        <w:t>References</w:t>
      </w:r>
    </w:p>
    <w:sectPr>
      <w:headerReference r:id="rId7" w:type="first"/>
      <w:footerReference r:id="rId10" w:type="first"/>
      <w:headerReference r:id="rId5" w:type="default"/>
      <w:footerReference r:id="rId8" w:type="default"/>
      <w:headerReference r:id="rId6" w:type="even"/>
      <w:footerReference r:id="rId9" w:type="even"/>
      <w:endnotePr>
        <w:numFmt w:val="decimal"/>
      </w:endnotePr>
      <w:pgSz w:w="11906" w:h="16838"/>
      <w:pgMar w:top="1587" w:right="1417" w:bottom="1417" w:left="1417" w:header="851" w:footer="992" w:gutter="0"/>
      <w:lnNumType w:countBy="1" w:restart="continuous"/>
      <w:cols w:space="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50">
    <w:p>
      <w:pPr>
        <w:spacing w:line="240" w:lineRule="auto"/>
        <w:ind w:firstLine="400"/>
      </w:pPr>
    </w:p>
  </w:endnote>
  <w:endnote w:type="continuationSeparator" w:id="51">
    <w:p>
      <w:pPr>
        <w:spacing w:line="240" w:lineRule="auto"/>
        <w:ind w:firstLine="400"/>
      </w:pPr>
    </w:p>
  </w:endnote>
  <w:endnote w:id="0">
    <w:p w14:paraId="0B4AC7A5">
      <w:pPr>
        <w:pStyle w:val="3"/>
        <w:suppressLineNumbers w:val="0"/>
        <w:spacing w:after="0" w:afterLines="0"/>
        <w:ind w:firstLine="0" w:firstLineChars="0"/>
        <w:jc w:val="both"/>
        <w:rPr>
          <w:sz w:val="24"/>
          <w:szCs w:val="24"/>
        </w:rPr>
      </w:pPr>
      <w:r>
        <w:rPr>
          <w:rStyle w:val="11"/>
          <w:sz w:val="24"/>
          <w:vertAlign w:val="baseline"/>
        </w:rPr>
        <w:endnoteRef/>
      </w:r>
      <w:r>
        <w:t xml:space="preserve"> </w:t>
      </w:r>
      <w:r>
        <w:rPr>
          <w:sz w:val="24"/>
          <w:szCs w:val="24"/>
        </w:rPr>
        <w:t>Popescu NI, Lupu C, Lupu F. Disseminated intravascular coagulation and its immune mechanisms.</w:t>
      </w:r>
      <w:r>
        <w:rPr>
          <w:rFonts w:hint="eastAsia"/>
          <w:sz w:val="24"/>
          <w:szCs w:val="24"/>
        </w:rPr>
        <w:t xml:space="preserve"> </w:t>
      </w:r>
      <w:r>
        <w:rPr>
          <w:i/>
          <w:iCs/>
          <w:sz w:val="24"/>
          <w:szCs w:val="24"/>
        </w:rPr>
        <w:t>Blood</w:t>
      </w:r>
      <w:r>
        <w:rPr>
          <w:rFonts w:hint="eastAsia"/>
          <w:sz w:val="24"/>
          <w:szCs w:val="24"/>
        </w:rPr>
        <w:t xml:space="preserve">. </w:t>
      </w:r>
      <w:r>
        <w:rPr>
          <w:sz w:val="24"/>
          <w:szCs w:val="24"/>
        </w:rPr>
        <w:t>2022;139(13):1973-1986.</w:t>
      </w:r>
    </w:p>
  </w:endnote>
  <w:endnote w:id="1">
    <w:p w14:paraId="0B4AC7A6">
      <w:pPr>
        <w:spacing w:after="0" w:afterLines="0"/>
        <w:ind w:firstLine="0" w:firstLineChars="0"/>
        <w:rPr>
          <w:sz w:val="24"/>
          <w:szCs w:val="24"/>
        </w:rPr>
      </w:pPr>
      <w:r>
        <w:rPr>
          <w:rStyle w:val="11"/>
          <w:sz w:val="24"/>
          <w:szCs w:val="24"/>
          <w:vertAlign w:val="baseline"/>
        </w:rPr>
        <w:endnoteRef/>
      </w:r>
      <w:r>
        <w:rPr>
          <w:sz w:val="24"/>
          <w:szCs w:val="24"/>
        </w:rPr>
        <w:t xml:space="preserve"> Levi M, van der Poll T. Coagulation and sepsis. </w:t>
      </w:r>
      <w:r>
        <w:rPr>
          <w:i/>
          <w:iCs/>
          <w:sz w:val="24"/>
          <w:szCs w:val="24"/>
        </w:rPr>
        <w:t>Thromb Res</w:t>
      </w:r>
      <w:r>
        <w:rPr>
          <w:rFonts w:hint="eastAsia"/>
          <w:sz w:val="24"/>
          <w:szCs w:val="24"/>
        </w:rPr>
        <w:t xml:space="preserve">. </w:t>
      </w:r>
      <w:r>
        <w:rPr>
          <w:sz w:val="24"/>
          <w:szCs w:val="24"/>
        </w:rPr>
        <w:t>2017;149:38-44.</w:t>
      </w:r>
    </w:p>
  </w:endnote>
  <w:endnote w:id="2">
    <w:p w14:paraId="0B4AC7A7">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Taylor FB Jr, Toh CH, Hoots WK, Wada H, Levi M. Towards definition, clinical and laboratory criteria, and a scoring system for disseminated intravascular coagulation. </w:t>
      </w:r>
      <w:r>
        <w:rPr>
          <w:i/>
          <w:iCs/>
          <w:sz w:val="24"/>
          <w:szCs w:val="24"/>
        </w:rPr>
        <w:t>Thromb Haemost</w:t>
      </w:r>
      <w:r>
        <w:rPr>
          <w:rFonts w:hint="eastAsia"/>
          <w:sz w:val="24"/>
          <w:szCs w:val="24"/>
        </w:rPr>
        <w:t xml:space="preserve">. </w:t>
      </w:r>
      <w:r>
        <w:rPr>
          <w:sz w:val="24"/>
          <w:szCs w:val="24"/>
        </w:rPr>
        <w:t>2001;86:1327–30.</w:t>
      </w:r>
    </w:p>
  </w:endnote>
  <w:endnote w:id="3">
    <w:p w14:paraId="0B4AC7A8">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Gando S, Levi M, Toh CH. Disseminated intravascular coagulation. </w:t>
      </w:r>
      <w:r>
        <w:rPr>
          <w:i/>
          <w:iCs/>
          <w:sz w:val="24"/>
          <w:szCs w:val="24"/>
        </w:rPr>
        <w:t>Nat Rev Dis Primers</w:t>
      </w:r>
      <w:r>
        <w:rPr>
          <w:rFonts w:hint="eastAsia"/>
          <w:sz w:val="24"/>
          <w:szCs w:val="24"/>
        </w:rPr>
        <w:t xml:space="preserve">. </w:t>
      </w:r>
      <w:r>
        <w:rPr>
          <w:sz w:val="24"/>
          <w:szCs w:val="24"/>
        </w:rPr>
        <w:t>2016;2:16037</w:t>
      </w:r>
      <w:r>
        <w:rPr>
          <w:rFonts w:hint="eastAsia"/>
          <w:sz w:val="24"/>
          <w:szCs w:val="24"/>
        </w:rPr>
        <w:t>.</w:t>
      </w:r>
    </w:p>
  </w:endnote>
  <w:endnote w:id="4">
    <w:p w14:paraId="0B4AC7A9">
      <w:pPr>
        <w:spacing w:after="0" w:afterLines="0"/>
        <w:ind w:firstLine="0" w:firstLineChars="0"/>
        <w:rPr>
          <w:sz w:val="24"/>
          <w:szCs w:val="24"/>
        </w:rPr>
      </w:pPr>
      <w:r>
        <w:rPr>
          <w:rStyle w:val="11"/>
          <w:sz w:val="24"/>
          <w:szCs w:val="24"/>
          <w:vertAlign w:val="baseline"/>
        </w:rPr>
        <w:endnoteRef/>
      </w:r>
      <w:r>
        <w:rPr>
          <w:sz w:val="24"/>
          <w:szCs w:val="24"/>
        </w:rPr>
        <w:t xml:space="preserve"> </w:t>
      </w:r>
      <w:r>
        <w:rPr>
          <w:sz w:val="24"/>
          <w:szCs w:val="24"/>
          <w:lang w:bidi="ar"/>
        </w:rPr>
        <w:t xml:space="preserve">Asakura H, Takahashi H, Uchiyama T, Eguchi Y, Okamoto K, Kawasugi K, et al. Proposal for new diagnostic criteria for DIC from the Japanese Society on Thrombosis and Hemostasis. </w:t>
      </w:r>
      <w:r>
        <w:rPr>
          <w:rFonts w:eastAsia="AdvMINION-I"/>
          <w:i/>
          <w:iCs/>
          <w:sz w:val="24"/>
          <w:szCs w:val="24"/>
          <w:lang w:bidi="ar"/>
        </w:rPr>
        <w:t>Thromb J</w:t>
      </w:r>
      <w:r>
        <w:rPr>
          <w:rFonts w:hint="eastAsia" w:eastAsia="AdvMINION-I"/>
          <w:sz w:val="24"/>
          <w:szCs w:val="24"/>
          <w:lang w:bidi="ar"/>
        </w:rPr>
        <w:t xml:space="preserve"> </w:t>
      </w:r>
      <w:r>
        <w:rPr>
          <w:rFonts w:hint="eastAsia"/>
          <w:sz w:val="24"/>
          <w:szCs w:val="24"/>
          <w:lang w:bidi="ar"/>
        </w:rPr>
        <w:t>.</w:t>
      </w:r>
      <w:r>
        <w:rPr>
          <w:sz w:val="24"/>
          <w:szCs w:val="24"/>
          <w:lang w:bidi="ar"/>
        </w:rPr>
        <w:t>2016;</w:t>
      </w:r>
      <w:r>
        <w:rPr>
          <w:rFonts w:eastAsia="AdvMINION-B"/>
          <w:sz w:val="24"/>
          <w:szCs w:val="24"/>
          <w:lang w:bidi="ar"/>
        </w:rPr>
        <w:t>14</w:t>
      </w:r>
      <w:r>
        <w:rPr>
          <w:sz w:val="24"/>
          <w:szCs w:val="24"/>
          <w:lang w:bidi="ar"/>
        </w:rPr>
        <w:t>:42.</w:t>
      </w:r>
    </w:p>
  </w:endnote>
  <w:endnote w:id="5">
    <w:p w14:paraId="0B4AC7AA">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Kaneko T, Wada H. Diagnostic criteria and laboratory tests for disseminated intravascular coagulation. </w:t>
      </w:r>
      <w:r>
        <w:rPr>
          <w:i/>
          <w:iCs/>
          <w:sz w:val="24"/>
          <w:szCs w:val="24"/>
        </w:rPr>
        <w:t>J Clin Exp Hematop</w:t>
      </w:r>
      <w:r>
        <w:rPr>
          <w:rFonts w:hint="eastAsia"/>
          <w:sz w:val="24"/>
          <w:szCs w:val="24"/>
        </w:rPr>
        <w:t xml:space="preserve">. </w:t>
      </w:r>
      <w:r>
        <w:rPr>
          <w:sz w:val="24"/>
          <w:szCs w:val="24"/>
        </w:rPr>
        <w:t>2011;51:67–76</w:t>
      </w:r>
      <w:r>
        <w:rPr>
          <w:rFonts w:hint="eastAsia"/>
          <w:sz w:val="24"/>
          <w:szCs w:val="24"/>
        </w:rPr>
        <w:t>.</w:t>
      </w:r>
    </w:p>
  </w:endnote>
  <w:endnote w:id="6">
    <w:p w14:paraId="0B4AC7AB">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Wu Y, Luo L, Niu T, Han Y, Feng Y, Ding Q, et al. Evaluation of the new Chinese disseminated intravascular coagulation scoring system in critically ill patients: a multicenter prospective study. </w:t>
      </w:r>
      <w:r>
        <w:rPr>
          <w:i/>
          <w:iCs/>
          <w:sz w:val="24"/>
          <w:szCs w:val="24"/>
        </w:rPr>
        <w:t>Sci Rep</w:t>
      </w:r>
      <w:r>
        <w:rPr>
          <w:rFonts w:hint="eastAsia"/>
          <w:sz w:val="24"/>
          <w:szCs w:val="24"/>
        </w:rPr>
        <w:t xml:space="preserve">. </w:t>
      </w:r>
      <w:r>
        <w:rPr>
          <w:sz w:val="24"/>
          <w:szCs w:val="24"/>
        </w:rPr>
        <w:t>2017;7:905</w:t>
      </w:r>
      <w:r>
        <w:rPr>
          <w:rFonts w:hint="eastAsia"/>
          <w:sz w:val="24"/>
          <w:szCs w:val="24"/>
        </w:rPr>
        <w:t>7.</w:t>
      </w:r>
    </w:p>
  </w:endnote>
  <w:endnote w:id="7">
    <w:p w14:paraId="0B4AC7AC">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Gando S, Iba T, Eguchi Y, Ohtomo Y, Okamoto K, Koseki K, et al. A multicenter, prospective validation of disseminated intravascular coagulation diagnostic criteria for critically ill patients: comparing current criteria. </w:t>
      </w:r>
      <w:r>
        <w:rPr>
          <w:i/>
          <w:iCs/>
          <w:sz w:val="24"/>
          <w:szCs w:val="24"/>
        </w:rPr>
        <w:t>Crit Care Med</w:t>
      </w:r>
      <w:r>
        <w:rPr>
          <w:rFonts w:hint="eastAsia"/>
          <w:sz w:val="24"/>
          <w:szCs w:val="24"/>
        </w:rPr>
        <w:t xml:space="preserve">. </w:t>
      </w:r>
      <w:r>
        <w:rPr>
          <w:sz w:val="24"/>
          <w:szCs w:val="24"/>
        </w:rPr>
        <w:t>2006;34:625–31.</w:t>
      </w:r>
    </w:p>
  </w:endnote>
  <w:endnote w:id="8">
    <w:p w14:paraId="0B4AC7AD">
      <w:pPr>
        <w:pStyle w:val="3"/>
        <w:spacing w:after="0" w:afterLines="0"/>
        <w:ind w:firstLine="0" w:firstLineChars="0"/>
        <w:jc w:val="both"/>
        <w:rPr>
          <w:sz w:val="24"/>
          <w:szCs w:val="24"/>
          <w:lang w:val="de-DE"/>
        </w:rPr>
      </w:pPr>
      <w:r>
        <w:rPr>
          <w:rStyle w:val="11"/>
          <w:sz w:val="24"/>
          <w:szCs w:val="24"/>
          <w:vertAlign w:val="baseline"/>
        </w:rPr>
        <w:endnoteRef/>
      </w:r>
      <w:r>
        <w:rPr>
          <w:sz w:val="24"/>
          <w:szCs w:val="24"/>
        </w:rPr>
        <w:t xml:space="preserve"> Lee JH, Song JW, Song KS. Diagnosis of overt disseminated intravascular coagulation: a comparative study using criteria from the International Society versus the Korean Society on Thrombosis and Hemostasis. </w:t>
      </w:r>
      <w:r>
        <w:rPr>
          <w:i/>
          <w:iCs/>
          <w:sz w:val="24"/>
          <w:szCs w:val="24"/>
          <w:lang w:val="de-DE"/>
        </w:rPr>
        <w:t>Yonsei Med J</w:t>
      </w:r>
      <w:r>
        <w:rPr>
          <w:rFonts w:hint="eastAsia"/>
          <w:sz w:val="24"/>
          <w:szCs w:val="24"/>
          <w:lang w:val="de-DE"/>
        </w:rPr>
        <w:t xml:space="preserve">. </w:t>
      </w:r>
      <w:r>
        <w:rPr>
          <w:sz w:val="24"/>
          <w:szCs w:val="24"/>
          <w:lang w:val="de-DE"/>
        </w:rPr>
        <w:t>2007;48:595–600</w:t>
      </w:r>
      <w:r>
        <w:rPr>
          <w:rFonts w:hint="eastAsia"/>
          <w:sz w:val="24"/>
          <w:szCs w:val="24"/>
          <w:lang w:val="de-DE"/>
        </w:rPr>
        <w:t>.</w:t>
      </w:r>
    </w:p>
  </w:endnote>
  <w:endnote w:id="9">
    <w:p w14:paraId="0B4AC7AE">
      <w:pPr>
        <w:pStyle w:val="3"/>
        <w:spacing w:after="0" w:afterLines="0"/>
        <w:ind w:firstLine="0" w:firstLineChars="0"/>
        <w:jc w:val="both"/>
        <w:rPr>
          <w:sz w:val="24"/>
          <w:szCs w:val="24"/>
          <w:vertAlign w:val="baseline"/>
        </w:rPr>
      </w:pPr>
      <w:r>
        <w:rPr>
          <w:rStyle w:val="11"/>
          <w:sz w:val="24"/>
          <w:szCs w:val="24"/>
          <w:vertAlign w:val="baseline"/>
        </w:rPr>
        <w:endnoteRef/>
      </w:r>
      <w:r>
        <w:rPr>
          <w:sz w:val="24"/>
          <w:szCs w:val="24"/>
          <w:vertAlign w:val="baseline"/>
          <w:lang w:val="de-DE"/>
        </w:rPr>
        <w:t xml:space="preserve"> Wada H, Wakita Y, Nakase T, et al. </w:t>
      </w:r>
      <w:r>
        <w:rPr>
          <w:sz w:val="24"/>
          <w:szCs w:val="24"/>
          <w:vertAlign w:val="baseline"/>
        </w:rPr>
        <w:t>Outcome of disseminated intravascular coagulation in relation to the score when treatment was begun. Mie DIC Study Group. </w:t>
      </w:r>
      <w:r>
        <w:rPr>
          <w:i/>
          <w:iCs/>
          <w:sz w:val="24"/>
          <w:szCs w:val="24"/>
          <w:vertAlign w:val="baseline"/>
        </w:rPr>
        <w:t>Thromb Haemost</w:t>
      </w:r>
      <w:r>
        <w:rPr>
          <w:rFonts w:hint="eastAsia"/>
          <w:sz w:val="24"/>
          <w:szCs w:val="24"/>
          <w:vertAlign w:val="baseline"/>
        </w:rPr>
        <w:t xml:space="preserve">. </w:t>
      </w:r>
      <w:r>
        <w:rPr>
          <w:sz w:val="24"/>
          <w:szCs w:val="24"/>
          <w:vertAlign w:val="baseline"/>
        </w:rPr>
        <w:t>1995;74(3):848-852.</w:t>
      </w:r>
    </w:p>
  </w:endnote>
  <w:endnote w:id="10">
    <w:p w14:paraId="232DDE87">
      <w:pPr>
        <w:pStyle w:val="3"/>
        <w:snapToGrid w:val="0"/>
        <w:spacing w:after="0" w:afterLines="0"/>
        <w:ind w:firstLine="0" w:firstLineChars="0"/>
        <w:rPr>
          <w:rFonts w:hint="eastAsia"/>
          <w:sz w:val="24"/>
          <w:szCs w:val="24"/>
          <w:vertAlign w:val="baseline"/>
        </w:rPr>
      </w:pPr>
      <w:r>
        <w:rPr>
          <w:rStyle w:val="11"/>
          <w:sz w:val="24"/>
          <w:szCs w:val="24"/>
          <w:vertAlign w:val="baseline"/>
        </w:rPr>
        <w:endnoteRef/>
      </w:r>
      <w:r>
        <w:rPr>
          <w:sz w:val="24"/>
          <w:szCs w:val="24"/>
          <w:vertAlign w:val="baseline"/>
        </w:rPr>
        <w:t xml:space="preserve"> </w:t>
      </w:r>
      <w:r>
        <w:rPr>
          <w:rFonts w:hint="eastAsia"/>
          <w:sz w:val="24"/>
          <w:szCs w:val="24"/>
          <w:vertAlign w:val="baseline"/>
        </w:rPr>
        <w:t xml:space="preserve">El-Nawawy AA, Elshinawy MI, Khater DM, et al. Outcome of Early Hemostatic Intervention in Children With Sepsis and Nonovert Disseminated Intravascular Coagulation Admitted to PICU: A Randomized Controlled Trial. </w:t>
      </w:r>
      <w:r>
        <w:rPr>
          <w:rFonts w:hint="eastAsia"/>
          <w:i/>
          <w:iCs/>
          <w:sz w:val="24"/>
          <w:szCs w:val="24"/>
          <w:vertAlign w:val="baseline"/>
        </w:rPr>
        <w:t>Pediatr Crit Care Med</w:t>
      </w:r>
      <w:r>
        <w:rPr>
          <w:rFonts w:hint="eastAsia"/>
          <w:sz w:val="24"/>
          <w:szCs w:val="24"/>
          <w:vertAlign w:val="baseline"/>
        </w:rPr>
        <w:t>. 2021;</w:t>
      </w:r>
    </w:p>
    <w:p w14:paraId="3CD982FD">
      <w:pPr>
        <w:pStyle w:val="3"/>
        <w:snapToGrid w:val="0"/>
        <w:spacing w:after="0" w:afterLines="0"/>
        <w:ind w:firstLine="0" w:firstLineChars="0"/>
        <w:rPr>
          <w:sz w:val="24"/>
          <w:szCs w:val="24"/>
          <w:vertAlign w:val="baseline"/>
        </w:rPr>
      </w:pPr>
      <w:r>
        <w:rPr>
          <w:rFonts w:hint="eastAsia"/>
          <w:sz w:val="24"/>
          <w:szCs w:val="24"/>
          <w:vertAlign w:val="baseline"/>
        </w:rPr>
        <w:t xml:space="preserve">22(3):e168-e177. </w:t>
      </w:r>
    </w:p>
  </w:endnote>
  <w:endnote w:id="11">
    <w:p w14:paraId="0B4AC7AF">
      <w:pPr>
        <w:pStyle w:val="3"/>
        <w:spacing w:after="0" w:afterLines="0"/>
        <w:ind w:firstLine="0" w:firstLineChars="0"/>
        <w:jc w:val="both"/>
        <w:rPr>
          <w:sz w:val="24"/>
          <w:szCs w:val="24"/>
        </w:rPr>
      </w:pPr>
      <w:r>
        <w:rPr>
          <w:rStyle w:val="11"/>
          <w:sz w:val="24"/>
          <w:szCs w:val="24"/>
          <w:vertAlign w:val="baseline"/>
        </w:rPr>
        <w:endnoteRef/>
      </w:r>
      <w:r>
        <w:rPr>
          <w:sz w:val="24"/>
          <w:szCs w:val="24"/>
          <w:vertAlign w:val="baseline"/>
        </w:rPr>
        <w:t xml:space="preserve"> Koyama K, Madoiwa S, Nunomiya S, et al. Combination of thrombin-antithrombin </w:t>
      </w:r>
      <w:r>
        <w:rPr>
          <w:sz w:val="24"/>
          <w:szCs w:val="24"/>
        </w:rPr>
        <w:t>complex, plasminogen activator inhibitor-1, and protein C activity for early identification of severe coagulopathy in initial phase of sepsis: a prospective observational study. </w:t>
      </w:r>
      <w:r>
        <w:rPr>
          <w:i/>
          <w:iCs/>
          <w:sz w:val="24"/>
          <w:szCs w:val="24"/>
        </w:rPr>
        <w:t>Crit Care</w:t>
      </w:r>
      <w:r>
        <w:rPr>
          <w:rFonts w:hint="eastAsia"/>
          <w:sz w:val="24"/>
          <w:szCs w:val="24"/>
        </w:rPr>
        <w:t xml:space="preserve">. </w:t>
      </w:r>
      <w:r>
        <w:rPr>
          <w:sz w:val="24"/>
          <w:szCs w:val="24"/>
        </w:rPr>
        <w:t>2014; 18(1):R13</w:t>
      </w:r>
      <w:r>
        <w:rPr>
          <w:rFonts w:hint="eastAsia"/>
          <w:sz w:val="24"/>
          <w:szCs w:val="24"/>
        </w:rPr>
        <w:t>.</w:t>
      </w:r>
    </w:p>
  </w:endnote>
  <w:endnote w:id="12">
    <w:p w14:paraId="0B4AC7B0">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Hesselvik JF, Blombäck M, Brodin B, Maller R. Coagulation, fibrinolysis, and kallikrein systems in sepsis: relation to outcome. </w:t>
      </w:r>
      <w:r>
        <w:rPr>
          <w:i/>
          <w:iCs/>
          <w:sz w:val="24"/>
          <w:szCs w:val="24"/>
        </w:rPr>
        <w:t>Crit Care Med</w:t>
      </w:r>
      <w:r>
        <w:rPr>
          <w:rFonts w:hint="eastAsia"/>
          <w:sz w:val="24"/>
          <w:szCs w:val="24"/>
        </w:rPr>
        <w:t xml:space="preserve">. </w:t>
      </w:r>
      <w:r>
        <w:rPr>
          <w:sz w:val="24"/>
          <w:szCs w:val="24"/>
        </w:rPr>
        <w:t>1989;17(8):724-733.</w:t>
      </w:r>
    </w:p>
  </w:endnote>
  <w:endnote w:id="13">
    <w:p w14:paraId="0B4AC7B1">
      <w:pPr>
        <w:spacing w:after="0" w:afterLines="0"/>
        <w:ind w:firstLine="0" w:firstLineChars="0"/>
        <w:rPr>
          <w:sz w:val="24"/>
          <w:szCs w:val="24"/>
        </w:rPr>
      </w:pPr>
      <w:r>
        <w:rPr>
          <w:rStyle w:val="11"/>
          <w:sz w:val="24"/>
          <w:szCs w:val="24"/>
          <w:vertAlign w:val="baseline"/>
        </w:rPr>
        <w:endnoteRef/>
      </w:r>
      <w:r>
        <w:rPr>
          <w:sz w:val="24"/>
          <w:szCs w:val="24"/>
        </w:rPr>
        <w:t xml:space="preserve"> Voss R, Matthias FR, Borkowski G, Reitz D. Activation and inhibition of fibrinolysis in septic patients in an internal intensive care unit. </w:t>
      </w:r>
      <w:r>
        <w:rPr>
          <w:i/>
          <w:iCs/>
          <w:sz w:val="24"/>
          <w:szCs w:val="24"/>
        </w:rPr>
        <w:t>Br J Haematol</w:t>
      </w:r>
      <w:r>
        <w:rPr>
          <w:rFonts w:hint="eastAsia"/>
          <w:sz w:val="24"/>
          <w:szCs w:val="24"/>
        </w:rPr>
        <w:t xml:space="preserve">. </w:t>
      </w:r>
      <w:r>
        <w:rPr>
          <w:sz w:val="24"/>
          <w:szCs w:val="24"/>
        </w:rPr>
        <w:t>1990;75(1):99-105.</w:t>
      </w:r>
    </w:p>
  </w:endnote>
  <w:endnote w:id="14">
    <w:p w14:paraId="0B4AC7B2">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Jackson Chornenki NL, Dwivedi DJ, Kwong AC, et al. Identification of hemostatic markers that define the pre-DIC state: A multi-center observational study. </w:t>
      </w:r>
      <w:r>
        <w:rPr>
          <w:i/>
          <w:iCs/>
          <w:sz w:val="24"/>
          <w:szCs w:val="24"/>
        </w:rPr>
        <w:t>J Thromb Haemost</w:t>
      </w:r>
      <w:r>
        <w:rPr>
          <w:rFonts w:hint="eastAsia"/>
          <w:sz w:val="24"/>
          <w:szCs w:val="24"/>
        </w:rPr>
        <w:t xml:space="preserve">. </w:t>
      </w:r>
      <w:r>
        <w:rPr>
          <w:sz w:val="24"/>
          <w:szCs w:val="24"/>
        </w:rPr>
        <w:t>2020;18(10):2524-2531.</w:t>
      </w:r>
    </w:p>
  </w:endnote>
  <w:endnote w:id="15">
    <w:p w14:paraId="0B4AC7B3">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w:t>
      </w:r>
      <w:r>
        <w:rPr>
          <w:sz w:val="24"/>
          <w:szCs w:val="24"/>
          <w:lang w:val="en-CA"/>
        </w:rPr>
        <w:t xml:space="preserve">Mei H, Jiang Y, Luo L, et al. </w:t>
      </w:r>
      <w:r>
        <w:rPr>
          <w:sz w:val="24"/>
          <w:szCs w:val="24"/>
        </w:rPr>
        <w:t>Evaluation the combined diagnostic value of TAT, PIC, tPAIC, and sTM in disseminated intravascular coagulation: A multi-center prospective observational study. </w:t>
      </w:r>
      <w:r>
        <w:rPr>
          <w:i/>
          <w:iCs/>
          <w:sz w:val="24"/>
          <w:szCs w:val="24"/>
        </w:rPr>
        <w:t>Thromb Res</w:t>
      </w:r>
      <w:r>
        <w:rPr>
          <w:rFonts w:hint="eastAsia"/>
          <w:sz w:val="24"/>
          <w:szCs w:val="24"/>
        </w:rPr>
        <w:t xml:space="preserve">. </w:t>
      </w:r>
      <w:r>
        <w:rPr>
          <w:sz w:val="24"/>
          <w:szCs w:val="24"/>
        </w:rPr>
        <w:t>2019;173:20-26.</w:t>
      </w:r>
    </w:p>
  </w:endnote>
  <w:endnote w:id="16">
    <w:p w14:paraId="0B4AC7B4">
      <w:pPr>
        <w:pStyle w:val="3"/>
        <w:spacing w:after="0" w:afterLines="0"/>
        <w:ind w:firstLine="0" w:firstLineChars="0"/>
        <w:jc w:val="both"/>
        <w:rPr>
          <w:sz w:val="24"/>
          <w:szCs w:val="24"/>
          <w:lang w:val="de-DE"/>
        </w:rPr>
      </w:pPr>
      <w:r>
        <w:rPr>
          <w:rStyle w:val="11"/>
          <w:sz w:val="24"/>
          <w:szCs w:val="24"/>
          <w:vertAlign w:val="baseline"/>
        </w:rPr>
        <w:endnoteRef/>
      </w:r>
      <w:r>
        <w:rPr>
          <w:sz w:val="24"/>
          <w:szCs w:val="24"/>
        </w:rPr>
        <w:t xml:space="preserve"> Wong D, Yip S. Machine learning classifies cancer. </w:t>
      </w:r>
      <w:r>
        <w:rPr>
          <w:i/>
          <w:iCs/>
          <w:sz w:val="24"/>
          <w:szCs w:val="24"/>
          <w:lang w:val="de-DE"/>
        </w:rPr>
        <w:t>Nature</w:t>
      </w:r>
      <w:r>
        <w:rPr>
          <w:sz w:val="24"/>
          <w:szCs w:val="24"/>
          <w:lang w:val="de-DE"/>
        </w:rPr>
        <w:t>. 2018;555(7697):446-447.</w:t>
      </w:r>
    </w:p>
  </w:endnote>
  <w:endnote w:id="17">
    <w:p w14:paraId="0B4AC7B5">
      <w:pPr>
        <w:pStyle w:val="3"/>
        <w:spacing w:after="0" w:afterLines="0"/>
        <w:ind w:firstLine="0" w:firstLineChars="0"/>
        <w:jc w:val="both"/>
        <w:rPr>
          <w:sz w:val="24"/>
          <w:szCs w:val="24"/>
        </w:rPr>
      </w:pPr>
      <w:r>
        <w:rPr>
          <w:rStyle w:val="11"/>
          <w:sz w:val="24"/>
          <w:szCs w:val="24"/>
          <w:vertAlign w:val="baseline"/>
        </w:rPr>
        <w:endnoteRef/>
      </w:r>
      <w:r>
        <w:rPr>
          <w:sz w:val="24"/>
          <w:szCs w:val="24"/>
          <w:lang w:val="de-DE"/>
        </w:rPr>
        <w:t xml:space="preserve"> Zhang W, Chen X, Wong KC. </w:t>
      </w:r>
      <w:r>
        <w:rPr>
          <w:sz w:val="24"/>
          <w:szCs w:val="24"/>
        </w:rPr>
        <w:t>Noninvasive early diagnosis of intestinal diseases based on artificial intelligence in genomics and microbiome. </w:t>
      </w:r>
      <w:r>
        <w:rPr>
          <w:i/>
          <w:iCs/>
          <w:sz w:val="24"/>
          <w:szCs w:val="24"/>
        </w:rPr>
        <w:t>J Gastroenterol Hepatol</w:t>
      </w:r>
      <w:r>
        <w:rPr>
          <w:sz w:val="24"/>
          <w:szCs w:val="24"/>
        </w:rPr>
        <w:t>. 2021;36(4):823-831.</w:t>
      </w:r>
    </w:p>
  </w:endnote>
  <w:endnote w:id="18">
    <w:p w14:paraId="0B4AC7B6">
      <w:pPr>
        <w:spacing w:after="0" w:afterLines="0"/>
        <w:ind w:firstLine="0" w:firstLineChars="0"/>
        <w:rPr>
          <w:sz w:val="24"/>
          <w:szCs w:val="24"/>
        </w:rPr>
      </w:pPr>
      <w:r>
        <w:rPr>
          <w:rStyle w:val="11"/>
          <w:sz w:val="24"/>
          <w:szCs w:val="24"/>
          <w:vertAlign w:val="baseline"/>
        </w:rPr>
        <w:endnoteRef/>
      </w:r>
      <w:r>
        <w:rPr>
          <w:sz w:val="24"/>
          <w:szCs w:val="24"/>
        </w:rPr>
        <w:t xml:space="preserve"> </w:t>
      </w:r>
      <w:r>
        <w:rPr>
          <w:sz w:val="24"/>
          <w:szCs w:val="24"/>
          <w:lang w:bidi="ar"/>
        </w:rPr>
        <w:t xml:space="preserve">Tibshirani, R. Regression shrinkage and selection via the lasso. </w:t>
      </w:r>
      <w:r>
        <w:rPr>
          <w:i/>
          <w:iCs/>
          <w:sz w:val="24"/>
          <w:szCs w:val="24"/>
          <w:lang w:bidi="ar"/>
        </w:rPr>
        <w:t>Journal of the Royal Statistical Society</w:t>
      </w:r>
      <w:r>
        <w:rPr>
          <w:sz w:val="24"/>
          <w:szCs w:val="24"/>
          <w:lang w:bidi="ar"/>
        </w:rPr>
        <w:t>. 1996;58(1),267–288</w:t>
      </w:r>
    </w:p>
  </w:endnote>
  <w:endnote w:id="19">
    <w:p w14:paraId="0B4AC7B7">
      <w:pPr>
        <w:spacing w:after="0" w:afterLines="0"/>
        <w:ind w:firstLine="0" w:firstLineChars="0"/>
        <w:rPr>
          <w:sz w:val="24"/>
          <w:szCs w:val="24"/>
        </w:rPr>
      </w:pPr>
      <w:r>
        <w:rPr>
          <w:rStyle w:val="11"/>
          <w:sz w:val="24"/>
          <w:szCs w:val="24"/>
          <w:vertAlign w:val="baseline"/>
        </w:rPr>
        <w:endnoteRef/>
      </w:r>
      <w:r>
        <w:rPr>
          <w:sz w:val="24"/>
          <w:szCs w:val="24"/>
        </w:rPr>
        <w:t xml:space="preserve"> </w:t>
      </w:r>
      <w:r>
        <w:rPr>
          <w:sz w:val="24"/>
          <w:szCs w:val="24"/>
          <w:lang w:bidi="ar"/>
        </w:rPr>
        <w:t xml:space="preserve">Zou H, Hastie T, Tibshirani R. On the “degrees of freedom” of the lasso. </w:t>
      </w:r>
      <w:r>
        <w:rPr>
          <w:i/>
          <w:iCs/>
          <w:sz w:val="24"/>
          <w:szCs w:val="24"/>
          <w:lang w:bidi="ar"/>
        </w:rPr>
        <w:t>The Annals of Statistics</w:t>
      </w:r>
      <w:r>
        <w:rPr>
          <w:sz w:val="24"/>
          <w:szCs w:val="24"/>
          <w:lang w:bidi="ar"/>
        </w:rPr>
        <w:t>. 2007;35(5), 2173-2192</w:t>
      </w:r>
      <w:r>
        <w:rPr>
          <w:rFonts w:hint="eastAsia"/>
          <w:sz w:val="24"/>
          <w:szCs w:val="24"/>
          <w:lang w:bidi="ar"/>
        </w:rPr>
        <w:t>.</w:t>
      </w:r>
    </w:p>
  </w:endnote>
  <w:endnote w:id="20">
    <w:p w14:paraId="0B4AC7B8">
      <w:pPr>
        <w:pStyle w:val="3"/>
        <w:spacing w:after="0" w:afterLines="0"/>
        <w:ind w:firstLine="0" w:firstLineChars="0"/>
        <w:jc w:val="both"/>
        <w:rPr>
          <w:sz w:val="24"/>
          <w:szCs w:val="24"/>
          <w:lang w:val="de-DE"/>
        </w:rPr>
      </w:pPr>
      <w:r>
        <w:rPr>
          <w:rStyle w:val="11"/>
          <w:sz w:val="24"/>
          <w:szCs w:val="24"/>
          <w:vertAlign w:val="baseline"/>
        </w:rPr>
        <w:endnoteRef/>
      </w:r>
      <w:r>
        <w:rPr>
          <w:sz w:val="24"/>
          <w:szCs w:val="24"/>
          <w:lang w:val="de-DE"/>
        </w:rPr>
        <w:t xml:space="preserve"> Wada H, Minamikawa K, Wakita Y, et al. </w:t>
      </w:r>
      <w:r>
        <w:rPr>
          <w:sz w:val="24"/>
          <w:szCs w:val="24"/>
        </w:rPr>
        <w:t xml:space="preserve">Hemostatic study before onset of disseminated intravascular coagulation. </w:t>
      </w:r>
      <w:r>
        <w:rPr>
          <w:i/>
          <w:iCs/>
          <w:sz w:val="24"/>
          <w:szCs w:val="24"/>
          <w:lang w:val="de-DE"/>
        </w:rPr>
        <w:t>Am J Hematol</w:t>
      </w:r>
      <w:r>
        <w:rPr>
          <w:rFonts w:hint="eastAsia"/>
          <w:sz w:val="24"/>
          <w:szCs w:val="24"/>
          <w:lang w:val="de-DE"/>
        </w:rPr>
        <w:t xml:space="preserve">. </w:t>
      </w:r>
      <w:r>
        <w:rPr>
          <w:sz w:val="24"/>
          <w:szCs w:val="24"/>
          <w:lang w:val="de-DE"/>
        </w:rPr>
        <w:t>1993;43(3):190-194.</w:t>
      </w:r>
    </w:p>
  </w:endnote>
  <w:endnote w:id="21">
    <w:p w14:paraId="0B4AC7B9">
      <w:pPr>
        <w:pStyle w:val="3"/>
        <w:spacing w:after="0" w:afterLines="0"/>
        <w:ind w:firstLine="0" w:firstLineChars="0"/>
        <w:jc w:val="both"/>
        <w:rPr>
          <w:sz w:val="24"/>
          <w:szCs w:val="24"/>
          <w:lang w:val="pt-BR"/>
        </w:rPr>
      </w:pPr>
      <w:r>
        <w:rPr>
          <w:rStyle w:val="11"/>
          <w:sz w:val="24"/>
          <w:szCs w:val="24"/>
          <w:vertAlign w:val="baseline"/>
        </w:rPr>
        <w:endnoteRef/>
      </w:r>
      <w:r>
        <w:rPr>
          <w:sz w:val="24"/>
          <w:szCs w:val="24"/>
          <w:lang w:val="de-DE"/>
        </w:rPr>
        <w:t xml:space="preserve"> Wada H, Hatada T, Okamoto K, et al. </w:t>
      </w:r>
      <w:r>
        <w:rPr>
          <w:sz w:val="24"/>
          <w:szCs w:val="24"/>
        </w:rPr>
        <w:t>Modified non-overt DIC diagnostic criteria predict the early phase of</w:t>
      </w:r>
      <w:r>
        <w:rPr>
          <w:rFonts w:hint="eastAsia"/>
          <w:sz w:val="24"/>
          <w:szCs w:val="24"/>
        </w:rPr>
        <w:t xml:space="preserve"> </w:t>
      </w:r>
      <w:r>
        <w:rPr>
          <w:sz w:val="24"/>
          <w:szCs w:val="24"/>
        </w:rPr>
        <w:t>overt-DIC. </w:t>
      </w:r>
      <w:r>
        <w:rPr>
          <w:i/>
          <w:iCs/>
          <w:sz w:val="24"/>
          <w:szCs w:val="24"/>
          <w:lang w:val="pt-BR"/>
        </w:rPr>
        <w:t>Am J Hematol</w:t>
      </w:r>
      <w:r>
        <w:rPr>
          <w:rFonts w:hint="eastAsia"/>
          <w:sz w:val="24"/>
          <w:szCs w:val="24"/>
          <w:lang w:val="pt-BR"/>
        </w:rPr>
        <w:t xml:space="preserve">. </w:t>
      </w:r>
      <w:r>
        <w:rPr>
          <w:sz w:val="24"/>
          <w:szCs w:val="24"/>
          <w:lang w:val="pt-BR"/>
        </w:rPr>
        <w:t>2010;85(9):691-694.</w:t>
      </w:r>
    </w:p>
  </w:endnote>
  <w:endnote w:id="22">
    <w:p w14:paraId="0B4AC7BA">
      <w:pPr>
        <w:pStyle w:val="3"/>
        <w:spacing w:after="0" w:afterLines="0"/>
        <w:ind w:firstLine="0" w:firstLineChars="0"/>
        <w:jc w:val="both"/>
        <w:rPr>
          <w:sz w:val="24"/>
          <w:szCs w:val="24"/>
        </w:rPr>
      </w:pPr>
      <w:r>
        <w:rPr>
          <w:rStyle w:val="11"/>
          <w:sz w:val="24"/>
          <w:szCs w:val="24"/>
          <w:vertAlign w:val="baseline"/>
        </w:rPr>
        <w:endnoteRef/>
      </w:r>
      <w:r>
        <w:rPr>
          <w:sz w:val="24"/>
          <w:szCs w:val="24"/>
          <w:lang w:val="pt-BR"/>
        </w:rPr>
        <w:t xml:space="preserve"> Aota T, Wada H, Yamashita Y, et al. </w:t>
      </w:r>
      <w:r>
        <w:rPr>
          <w:sz w:val="24"/>
          <w:szCs w:val="24"/>
        </w:rPr>
        <w:t>An Evaluation of the Modified Diagnostic Criteria for DIC</w:t>
      </w:r>
      <w:r>
        <w:rPr>
          <w:rFonts w:hint="eastAsia"/>
          <w:sz w:val="24"/>
          <w:szCs w:val="24"/>
        </w:rPr>
        <w:t xml:space="preserve"> </w:t>
      </w:r>
      <w:r>
        <w:rPr>
          <w:sz w:val="24"/>
          <w:szCs w:val="24"/>
        </w:rPr>
        <w:t xml:space="preserve">Established by the Japanese Society of Thrombosis and Hemostasis. </w:t>
      </w:r>
      <w:r>
        <w:rPr>
          <w:i/>
          <w:iCs/>
          <w:sz w:val="24"/>
          <w:szCs w:val="24"/>
        </w:rPr>
        <w:t>Clin Appl Thromb Hemost</w:t>
      </w:r>
      <w:r>
        <w:rPr>
          <w:rFonts w:hint="eastAsia"/>
          <w:sz w:val="24"/>
          <w:szCs w:val="24"/>
        </w:rPr>
        <w:t xml:space="preserve">. </w:t>
      </w:r>
      <w:r>
        <w:rPr>
          <w:sz w:val="24"/>
          <w:szCs w:val="24"/>
        </w:rPr>
        <w:t>2017;23(6):579-584.</w:t>
      </w:r>
    </w:p>
  </w:endnote>
  <w:endnote w:id="23">
    <w:p w14:paraId="0B4AC7BB">
      <w:pPr>
        <w:pStyle w:val="3"/>
        <w:spacing w:after="0" w:afterLines="0"/>
        <w:ind w:firstLine="0" w:firstLineChars="0"/>
        <w:jc w:val="both"/>
        <w:rPr>
          <w:sz w:val="24"/>
          <w:szCs w:val="24"/>
        </w:rPr>
      </w:pPr>
      <w:r>
        <w:rPr>
          <w:rStyle w:val="11"/>
          <w:sz w:val="24"/>
          <w:szCs w:val="24"/>
          <w:vertAlign w:val="baseline"/>
        </w:rPr>
        <w:endnoteRef/>
      </w:r>
      <w:r>
        <w:rPr>
          <w:sz w:val="24"/>
          <w:szCs w:val="24"/>
        </w:rPr>
        <w:t xml:space="preserve"> </w:t>
      </w:r>
      <w:r>
        <w:rPr>
          <w:sz w:val="24"/>
          <w:szCs w:val="24"/>
          <w:lang w:val="en-CA"/>
        </w:rPr>
        <w:t xml:space="preserve">Okamoto K, Wada H, Hatada T, et al. </w:t>
      </w:r>
      <w:r>
        <w:rPr>
          <w:sz w:val="24"/>
          <w:szCs w:val="24"/>
        </w:rPr>
        <w:t>Frequency and hemostatic abnormalities in pre-DIC</w:t>
      </w:r>
      <w:r>
        <w:rPr>
          <w:rFonts w:hint="eastAsia"/>
          <w:sz w:val="24"/>
          <w:szCs w:val="24"/>
        </w:rPr>
        <w:t xml:space="preserve"> </w:t>
      </w:r>
      <w:r>
        <w:rPr>
          <w:sz w:val="24"/>
          <w:szCs w:val="24"/>
        </w:rPr>
        <w:t xml:space="preserve">patients. </w:t>
      </w:r>
      <w:r>
        <w:rPr>
          <w:i/>
          <w:iCs/>
          <w:sz w:val="24"/>
          <w:szCs w:val="24"/>
        </w:rPr>
        <w:t>Thromb Res</w:t>
      </w:r>
      <w:r>
        <w:rPr>
          <w:rFonts w:hint="eastAsia"/>
          <w:sz w:val="24"/>
          <w:szCs w:val="24"/>
        </w:rPr>
        <w:t xml:space="preserve">. </w:t>
      </w:r>
      <w:r>
        <w:rPr>
          <w:sz w:val="24"/>
          <w:szCs w:val="24"/>
        </w:rPr>
        <w:t>2010;126(1):74-78</w:t>
      </w:r>
    </w:p>
  </w:endnote>
  <w:endnote w:id="24">
    <w:p w14:paraId="2A8778BB">
      <w:pPr>
        <w:pStyle w:val="3"/>
        <w:snapToGrid w:val="0"/>
        <w:ind w:firstLine="0" w:firstLineChars="0"/>
        <w:rPr>
          <w:rFonts w:hint="eastAsia"/>
          <w:sz w:val="24"/>
          <w:szCs w:val="24"/>
          <w:vertAlign w:val="baseline"/>
        </w:rPr>
      </w:pPr>
      <w:r>
        <w:rPr>
          <w:rStyle w:val="11"/>
          <w:sz w:val="24"/>
          <w:szCs w:val="24"/>
          <w:vertAlign w:val="baseline"/>
        </w:rPr>
        <w:endnoteRef/>
      </w:r>
      <w:r>
        <w:rPr>
          <w:sz w:val="24"/>
          <w:szCs w:val="24"/>
          <w:vertAlign w:val="baseline"/>
        </w:rPr>
        <w:t xml:space="preserve"> </w:t>
      </w:r>
      <w:r>
        <w:rPr>
          <w:rFonts w:hint="eastAsia"/>
          <w:sz w:val="24"/>
          <w:szCs w:val="24"/>
          <w:vertAlign w:val="baseline"/>
        </w:rPr>
        <w:t xml:space="preserve">Matsuo T, Kario K, Matsuo M. Thrombin.antithrombin III complex. </w:t>
      </w:r>
      <w:r>
        <w:rPr>
          <w:rFonts w:hint="eastAsia"/>
          <w:i/>
          <w:iCs/>
          <w:sz w:val="24"/>
          <w:szCs w:val="24"/>
          <w:vertAlign w:val="baseline"/>
        </w:rPr>
        <w:t>Rinsho Byori</w:t>
      </w:r>
      <w:r>
        <w:rPr>
          <w:rFonts w:hint="eastAsia"/>
          <w:sz w:val="24"/>
          <w:szCs w:val="24"/>
          <w:vertAlign w:val="baseline"/>
        </w:rPr>
        <w:t>. 1991 Jul;39(7):701-706</w:t>
      </w:r>
      <w:r>
        <w:rPr>
          <w:rFonts w:hint="eastAsia"/>
          <w:sz w:val="24"/>
          <w:szCs w:val="24"/>
          <w:vertAlign w:val="baseline"/>
          <w:lang w:val="en-US" w:eastAsia="zh-CN"/>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dvMINION-I">
    <w:altName w:val="Segoe Print"/>
    <w:panose1 w:val="020B0604020202020204"/>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dvMINION-B">
    <w:altName w:val="Segoe Print"/>
    <w:panose1 w:val="020B0604020202020204"/>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A0">
    <w:pPr>
      <w:pStyle w:val="5"/>
      <w:spacing w:after="240"/>
      <w:ind w:firstLine="360"/>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4AC7C8">
                          <w:pPr>
                            <w:pStyle w:val="5"/>
                            <w:spacing w:after="240"/>
                            <w:ind w:firstLine="360"/>
                          </w:pPr>
                          <w:r>
                            <w:fldChar w:fldCharType="begin"/>
                          </w:r>
                          <w:r>
                            <w:instrText xml:space="preserve"> PAGE  \* MERGEFORMAT </w:instrText>
                          </w:r>
                          <w:r>
                            <w:fldChar w:fldCharType="separate"/>
                          </w:r>
                          <w:r>
                            <w:t>18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0B4AC7C8">
                    <w:pPr>
                      <w:pStyle w:val="5"/>
                      <w:spacing w:after="240"/>
                      <w:ind w:firstLine="360"/>
                    </w:pPr>
                    <w:r>
                      <w:fldChar w:fldCharType="begin"/>
                    </w:r>
                    <w:r>
                      <w:instrText xml:space="preserve"> PAGE  \* MERGEFORMAT </w:instrText>
                    </w:r>
                    <w:r>
                      <w:fldChar w:fldCharType="separate"/>
                    </w:r>
                    <w:r>
                      <w:t>18</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9F">
    <w:pPr>
      <w:pStyle w:val="5"/>
      <w:spacing w:after="240"/>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A2">
    <w:pPr>
      <w:pStyle w:val="5"/>
      <w:spacing w:after="240"/>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ind w:firstLine="400"/>
      </w:pPr>
    </w:p>
  </w:footnote>
  <w:footnote w:type="continuationSeparator" w:id="1">
    <w:p>
      <w:pPr>
        <w:spacing w:before="0" w:after="0" w:line="240" w:lineRule="auto"/>
        <w:ind w:firstLine="400"/>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9E">
    <w:pPr>
      <w:pStyle w:val="6"/>
      <w:pBdr>
        <w:bottom w:val="single" w:color="auto" w:sz="4" w:space="1"/>
      </w:pBdr>
      <w:spacing w:after="240"/>
      <w:ind w:firstLine="0" w:firstLineChars="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9D">
    <w:pPr>
      <w:pStyle w:val="6"/>
      <w:spacing w:after="240"/>
      <w:ind w:firstLine="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4AC7A1">
    <w:pPr>
      <w:pStyle w:val="6"/>
      <w:spacing w:after="240"/>
      <w:ind w:firstLine="36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C3A0A"/>
    <w:multiLevelType w:val="singleLevel"/>
    <w:tmpl w:val="1FDC3A0A"/>
    <w:lvl w:ilvl="0" w:tentative="0">
      <w:start w:val="1"/>
      <w:numFmt w:val="decimal"/>
      <w:lvlText w:val="%1."/>
      <w:lvlJc w:val="left"/>
      <w:pPr>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trackRevisions w:val="1"/>
  <w:documentProtection w:enforcement="0"/>
  <w:defaultTabStop w:val="420"/>
  <w:drawingGridVerticalSpacing w:val="159"/>
  <w:displayHorizontalDrawingGridEvery w:val="1"/>
  <w:displayVerticalDrawingGridEvery w:val="1"/>
  <w:noPunctuationKerning w:val="1"/>
  <w:characterSpacingControl w:val="compressPunctuation"/>
  <w:footnotePr>
    <w:footnote w:id="0"/>
    <w:footnote w:id="1"/>
  </w:footnotePr>
  <w:endnotePr>
    <w:numFmt w:val="decimal"/>
    <w:endnote w:id="50"/>
    <w:endnote w:id="5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MTNlNDY1MmI4NmY3ODdlNTNiNmNmYjNjMGQyMGYifQ=="/>
  </w:docVars>
  <w:rsids>
    <w:rsidRoot w:val="1C77099E"/>
    <w:rsid w:val="0000289C"/>
    <w:rsid w:val="00005DEE"/>
    <w:rsid w:val="00011B7B"/>
    <w:rsid w:val="00012203"/>
    <w:rsid w:val="000142B4"/>
    <w:rsid w:val="000203E3"/>
    <w:rsid w:val="00023C9A"/>
    <w:rsid w:val="000275D0"/>
    <w:rsid w:val="00034EE9"/>
    <w:rsid w:val="00040B7C"/>
    <w:rsid w:val="00044F64"/>
    <w:rsid w:val="000479A8"/>
    <w:rsid w:val="000535E8"/>
    <w:rsid w:val="00054BB2"/>
    <w:rsid w:val="00055D9B"/>
    <w:rsid w:val="00065E05"/>
    <w:rsid w:val="000806BB"/>
    <w:rsid w:val="00092509"/>
    <w:rsid w:val="00095EE2"/>
    <w:rsid w:val="000A48F9"/>
    <w:rsid w:val="000B28C8"/>
    <w:rsid w:val="000B2CF0"/>
    <w:rsid w:val="000C3997"/>
    <w:rsid w:val="000D01A6"/>
    <w:rsid w:val="000D681B"/>
    <w:rsid w:val="000E5473"/>
    <w:rsid w:val="001073D3"/>
    <w:rsid w:val="00113226"/>
    <w:rsid w:val="00116E66"/>
    <w:rsid w:val="00120306"/>
    <w:rsid w:val="0012276C"/>
    <w:rsid w:val="00125861"/>
    <w:rsid w:val="00133387"/>
    <w:rsid w:val="0013420C"/>
    <w:rsid w:val="00135128"/>
    <w:rsid w:val="00144DD6"/>
    <w:rsid w:val="0014674E"/>
    <w:rsid w:val="00151567"/>
    <w:rsid w:val="001516EA"/>
    <w:rsid w:val="00154FB1"/>
    <w:rsid w:val="00161145"/>
    <w:rsid w:val="0016580B"/>
    <w:rsid w:val="00180192"/>
    <w:rsid w:val="0018274C"/>
    <w:rsid w:val="00182BA7"/>
    <w:rsid w:val="00191245"/>
    <w:rsid w:val="00192359"/>
    <w:rsid w:val="00193A54"/>
    <w:rsid w:val="001A3904"/>
    <w:rsid w:val="001B0E82"/>
    <w:rsid w:val="001B5E62"/>
    <w:rsid w:val="001C3079"/>
    <w:rsid w:val="001C4A9D"/>
    <w:rsid w:val="001C571B"/>
    <w:rsid w:val="001C6C8A"/>
    <w:rsid w:val="001C6C97"/>
    <w:rsid w:val="001D0201"/>
    <w:rsid w:val="001E0B6C"/>
    <w:rsid w:val="001E106A"/>
    <w:rsid w:val="001E25D8"/>
    <w:rsid w:val="001E387A"/>
    <w:rsid w:val="001F7524"/>
    <w:rsid w:val="001F7F7E"/>
    <w:rsid w:val="0021153F"/>
    <w:rsid w:val="00213040"/>
    <w:rsid w:val="002235CA"/>
    <w:rsid w:val="00227958"/>
    <w:rsid w:val="00232D53"/>
    <w:rsid w:val="0023660C"/>
    <w:rsid w:val="00247675"/>
    <w:rsid w:val="0025206D"/>
    <w:rsid w:val="0025605A"/>
    <w:rsid w:val="002641AD"/>
    <w:rsid w:val="0027633F"/>
    <w:rsid w:val="002775F2"/>
    <w:rsid w:val="00283ED1"/>
    <w:rsid w:val="002864C6"/>
    <w:rsid w:val="00290ABB"/>
    <w:rsid w:val="002A3CCC"/>
    <w:rsid w:val="002B032F"/>
    <w:rsid w:val="002B1F4F"/>
    <w:rsid w:val="002B247F"/>
    <w:rsid w:val="002B4151"/>
    <w:rsid w:val="002B513D"/>
    <w:rsid w:val="002C2E4F"/>
    <w:rsid w:val="002C3BC1"/>
    <w:rsid w:val="002D0962"/>
    <w:rsid w:val="002D269B"/>
    <w:rsid w:val="002D2ECA"/>
    <w:rsid w:val="002E0619"/>
    <w:rsid w:val="002E3884"/>
    <w:rsid w:val="002E3DD5"/>
    <w:rsid w:val="002E787C"/>
    <w:rsid w:val="002F4CEE"/>
    <w:rsid w:val="00311C0F"/>
    <w:rsid w:val="0031380D"/>
    <w:rsid w:val="00314924"/>
    <w:rsid w:val="0032147E"/>
    <w:rsid w:val="00323505"/>
    <w:rsid w:val="00331146"/>
    <w:rsid w:val="00333850"/>
    <w:rsid w:val="00346769"/>
    <w:rsid w:val="003617A0"/>
    <w:rsid w:val="00364019"/>
    <w:rsid w:val="00364E73"/>
    <w:rsid w:val="0036668B"/>
    <w:rsid w:val="00370CBD"/>
    <w:rsid w:val="003718E2"/>
    <w:rsid w:val="00377F7B"/>
    <w:rsid w:val="00384A10"/>
    <w:rsid w:val="003933D2"/>
    <w:rsid w:val="00396D90"/>
    <w:rsid w:val="003A0D00"/>
    <w:rsid w:val="003A62DD"/>
    <w:rsid w:val="003B1D24"/>
    <w:rsid w:val="003B3FAD"/>
    <w:rsid w:val="003B7323"/>
    <w:rsid w:val="003C05F0"/>
    <w:rsid w:val="003C18C0"/>
    <w:rsid w:val="003C5124"/>
    <w:rsid w:val="003C6FE7"/>
    <w:rsid w:val="003D6656"/>
    <w:rsid w:val="003F0FAE"/>
    <w:rsid w:val="003F1F50"/>
    <w:rsid w:val="003F33AB"/>
    <w:rsid w:val="003F33B6"/>
    <w:rsid w:val="003F5741"/>
    <w:rsid w:val="0040117C"/>
    <w:rsid w:val="00406C5A"/>
    <w:rsid w:val="00407B4B"/>
    <w:rsid w:val="00410852"/>
    <w:rsid w:val="0041732C"/>
    <w:rsid w:val="0042145F"/>
    <w:rsid w:val="00445595"/>
    <w:rsid w:val="00445975"/>
    <w:rsid w:val="0046052D"/>
    <w:rsid w:val="00461BCE"/>
    <w:rsid w:val="00461F3C"/>
    <w:rsid w:val="00471B47"/>
    <w:rsid w:val="00473672"/>
    <w:rsid w:val="0048052C"/>
    <w:rsid w:val="00484295"/>
    <w:rsid w:val="00485BE7"/>
    <w:rsid w:val="004A233B"/>
    <w:rsid w:val="004A306B"/>
    <w:rsid w:val="004C2CA0"/>
    <w:rsid w:val="004D430A"/>
    <w:rsid w:val="004E2E38"/>
    <w:rsid w:val="004E3867"/>
    <w:rsid w:val="004E5FFD"/>
    <w:rsid w:val="004E616D"/>
    <w:rsid w:val="004E742D"/>
    <w:rsid w:val="004F4010"/>
    <w:rsid w:val="004F690D"/>
    <w:rsid w:val="0050738A"/>
    <w:rsid w:val="0050758B"/>
    <w:rsid w:val="005104C7"/>
    <w:rsid w:val="00512388"/>
    <w:rsid w:val="00515FCA"/>
    <w:rsid w:val="00517DB7"/>
    <w:rsid w:val="00532296"/>
    <w:rsid w:val="00534F0F"/>
    <w:rsid w:val="0053688D"/>
    <w:rsid w:val="00556B12"/>
    <w:rsid w:val="005714C6"/>
    <w:rsid w:val="0058078A"/>
    <w:rsid w:val="005917C4"/>
    <w:rsid w:val="005932E0"/>
    <w:rsid w:val="0059600D"/>
    <w:rsid w:val="005A5FD4"/>
    <w:rsid w:val="005C2382"/>
    <w:rsid w:val="005C4F28"/>
    <w:rsid w:val="005C61CC"/>
    <w:rsid w:val="005D49ED"/>
    <w:rsid w:val="005D5ED9"/>
    <w:rsid w:val="005E5D94"/>
    <w:rsid w:val="005E622D"/>
    <w:rsid w:val="005E7AA3"/>
    <w:rsid w:val="005F481F"/>
    <w:rsid w:val="005F5367"/>
    <w:rsid w:val="005F7885"/>
    <w:rsid w:val="006005B8"/>
    <w:rsid w:val="006009FF"/>
    <w:rsid w:val="00602D3F"/>
    <w:rsid w:val="00610366"/>
    <w:rsid w:val="0061084F"/>
    <w:rsid w:val="00612345"/>
    <w:rsid w:val="00613CF6"/>
    <w:rsid w:val="006176AD"/>
    <w:rsid w:val="0062002C"/>
    <w:rsid w:val="00620622"/>
    <w:rsid w:val="0063050F"/>
    <w:rsid w:val="00632657"/>
    <w:rsid w:val="00632DD8"/>
    <w:rsid w:val="00644A1B"/>
    <w:rsid w:val="00645991"/>
    <w:rsid w:val="006468E8"/>
    <w:rsid w:val="006534DA"/>
    <w:rsid w:val="0065423D"/>
    <w:rsid w:val="006560E8"/>
    <w:rsid w:val="0067370F"/>
    <w:rsid w:val="00682747"/>
    <w:rsid w:val="00683370"/>
    <w:rsid w:val="00692AC4"/>
    <w:rsid w:val="006B2E7F"/>
    <w:rsid w:val="006C18F5"/>
    <w:rsid w:val="006C1A57"/>
    <w:rsid w:val="006C2346"/>
    <w:rsid w:val="006C293C"/>
    <w:rsid w:val="006C6D0C"/>
    <w:rsid w:val="006C7E97"/>
    <w:rsid w:val="006D06E3"/>
    <w:rsid w:val="006D1F4F"/>
    <w:rsid w:val="006D2068"/>
    <w:rsid w:val="006E1DC2"/>
    <w:rsid w:val="006E4F1F"/>
    <w:rsid w:val="006E6CC3"/>
    <w:rsid w:val="006F0363"/>
    <w:rsid w:val="006F1193"/>
    <w:rsid w:val="006F192D"/>
    <w:rsid w:val="007007DA"/>
    <w:rsid w:val="00701F11"/>
    <w:rsid w:val="00702588"/>
    <w:rsid w:val="00703D91"/>
    <w:rsid w:val="00705078"/>
    <w:rsid w:val="007055B2"/>
    <w:rsid w:val="00710942"/>
    <w:rsid w:val="00712A28"/>
    <w:rsid w:val="00713F98"/>
    <w:rsid w:val="00720FF7"/>
    <w:rsid w:val="0072359B"/>
    <w:rsid w:val="00724BF2"/>
    <w:rsid w:val="00726300"/>
    <w:rsid w:val="00732AD2"/>
    <w:rsid w:val="00736F62"/>
    <w:rsid w:val="007416B8"/>
    <w:rsid w:val="00743C38"/>
    <w:rsid w:val="00752AEB"/>
    <w:rsid w:val="00755F02"/>
    <w:rsid w:val="00757C48"/>
    <w:rsid w:val="00771B68"/>
    <w:rsid w:val="0077263C"/>
    <w:rsid w:val="007756C4"/>
    <w:rsid w:val="007820F1"/>
    <w:rsid w:val="007826CA"/>
    <w:rsid w:val="00782FB5"/>
    <w:rsid w:val="007A193D"/>
    <w:rsid w:val="007A547E"/>
    <w:rsid w:val="007A718D"/>
    <w:rsid w:val="007B15DF"/>
    <w:rsid w:val="007B3E10"/>
    <w:rsid w:val="007C6DE7"/>
    <w:rsid w:val="007C7755"/>
    <w:rsid w:val="007D08C7"/>
    <w:rsid w:val="007D29E1"/>
    <w:rsid w:val="007D63BB"/>
    <w:rsid w:val="007E1193"/>
    <w:rsid w:val="007E7A68"/>
    <w:rsid w:val="007F0A1D"/>
    <w:rsid w:val="007F2B10"/>
    <w:rsid w:val="007F73F6"/>
    <w:rsid w:val="007F7A2B"/>
    <w:rsid w:val="00811402"/>
    <w:rsid w:val="00811B54"/>
    <w:rsid w:val="00814804"/>
    <w:rsid w:val="00816543"/>
    <w:rsid w:val="00817539"/>
    <w:rsid w:val="00822729"/>
    <w:rsid w:val="008238C2"/>
    <w:rsid w:val="00824069"/>
    <w:rsid w:val="008249B1"/>
    <w:rsid w:val="0082639A"/>
    <w:rsid w:val="00827917"/>
    <w:rsid w:val="00831CFD"/>
    <w:rsid w:val="008322F4"/>
    <w:rsid w:val="00834602"/>
    <w:rsid w:val="0083537F"/>
    <w:rsid w:val="0083724A"/>
    <w:rsid w:val="0084371A"/>
    <w:rsid w:val="00844285"/>
    <w:rsid w:val="0085701F"/>
    <w:rsid w:val="00860A11"/>
    <w:rsid w:val="008657A0"/>
    <w:rsid w:val="00865819"/>
    <w:rsid w:val="00870318"/>
    <w:rsid w:val="008715C9"/>
    <w:rsid w:val="00871B65"/>
    <w:rsid w:val="008738E2"/>
    <w:rsid w:val="00882ECF"/>
    <w:rsid w:val="008878D1"/>
    <w:rsid w:val="008929B2"/>
    <w:rsid w:val="008A1740"/>
    <w:rsid w:val="008A7D71"/>
    <w:rsid w:val="008B1B5B"/>
    <w:rsid w:val="008B7C80"/>
    <w:rsid w:val="008D138C"/>
    <w:rsid w:val="008D51CB"/>
    <w:rsid w:val="008D5411"/>
    <w:rsid w:val="008D569D"/>
    <w:rsid w:val="008E3E83"/>
    <w:rsid w:val="008E4793"/>
    <w:rsid w:val="008E7AB1"/>
    <w:rsid w:val="008F1294"/>
    <w:rsid w:val="008F4343"/>
    <w:rsid w:val="008F6E9C"/>
    <w:rsid w:val="009041F6"/>
    <w:rsid w:val="0091257F"/>
    <w:rsid w:val="00913204"/>
    <w:rsid w:val="00913AD2"/>
    <w:rsid w:val="009151FD"/>
    <w:rsid w:val="009157F2"/>
    <w:rsid w:val="00917D27"/>
    <w:rsid w:val="009222F2"/>
    <w:rsid w:val="00930024"/>
    <w:rsid w:val="00936516"/>
    <w:rsid w:val="00940516"/>
    <w:rsid w:val="00942610"/>
    <w:rsid w:val="00945087"/>
    <w:rsid w:val="009567AB"/>
    <w:rsid w:val="009669AA"/>
    <w:rsid w:val="009726C5"/>
    <w:rsid w:val="009742D3"/>
    <w:rsid w:val="00977309"/>
    <w:rsid w:val="00977B14"/>
    <w:rsid w:val="0098388D"/>
    <w:rsid w:val="00985C57"/>
    <w:rsid w:val="00986BEC"/>
    <w:rsid w:val="0098711C"/>
    <w:rsid w:val="00992359"/>
    <w:rsid w:val="00992843"/>
    <w:rsid w:val="00997D0C"/>
    <w:rsid w:val="009A13B3"/>
    <w:rsid w:val="009A62B3"/>
    <w:rsid w:val="009A71E5"/>
    <w:rsid w:val="009B051A"/>
    <w:rsid w:val="009B2C30"/>
    <w:rsid w:val="009B65A4"/>
    <w:rsid w:val="009C58E9"/>
    <w:rsid w:val="009C6B7E"/>
    <w:rsid w:val="009C77F1"/>
    <w:rsid w:val="009D48AA"/>
    <w:rsid w:val="009E148C"/>
    <w:rsid w:val="009E5347"/>
    <w:rsid w:val="009E7828"/>
    <w:rsid w:val="009F15EE"/>
    <w:rsid w:val="009F680C"/>
    <w:rsid w:val="00A00A24"/>
    <w:rsid w:val="00A00A53"/>
    <w:rsid w:val="00A062D1"/>
    <w:rsid w:val="00A108BD"/>
    <w:rsid w:val="00A10BF9"/>
    <w:rsid w:val="00A15CF4"/>
    <w:rsid w:val="00A26F39"/>
    <w:rsid w:val="00A323E7"/>
    <w:rsid w:val="00A33F4B"/>
    <w:rsid w:val="00A353B4"/>
    <w:rsid w:val="00A354FF"/>
    <w:rsid w:val="00A44CEC"/>
    <w:rsid w:val="00A60F90"/>
    <w:rsid w:val="00A64F07"/>
    <w:rsid w:val="00A66597"/>
    <w:rsid w:val="00A70444"/>
    <w:rsid w:val="00A708B7"/>
    <w:rsid w:val="00A860E3"/>
    <w:rsid w:val="00A92584"/>
    <w:rsid w:val="00A96BC0"/>
    <w:rsid w:val="00A97848"/>
    <w:rsid w:val="00AA051F"/>
    <w:rsid w:val="00AA6E87"/>
    <w:rsid w:val="00AB35C0"/>
    <w:rsid w:val="00AB470B"/>
    <w:rsid w:val="00AB4E0C"/>
    <w:rsid w:val="00AB590A"/>
    <w:rsid w:val="00AB734E"/>
    <w:rsid w:val="00AB7A64"/>
    <w:rsid w:val="00AC0FBB"/>
    <w:rsid w:val="00AD0648"/>
    <w:rsid w:val="00AD2EF9"/>
    <w:rsid w:val="00AE2655"/>
    <w:rsid w:val="00AE3180"/>
    <w:rsid w:val="00AE52D9"/>
    <w:rsid w:val="00B03967"/>
    <w:rsid w:val="00B04384"/>
    <w:rsid w:val="00B0692E"/>
    <w:rsid w:val="00B33195"/>
    <w:rsid w:val="00B41436"/>
    <w:rsid w:val="00B50C5E"/>
    <w:rsid w:val="00B53A95"/>
    <w:rsid w:val="00B619BD"/>
    <w:rsid w:val="00B82528"/>
    <w:rsid w:val="00B92831"/>
    <w:rsid w:val="00BA4FCD"/>
    <w:rsid w:val="00BB2FBE"/>
    <w:rsid w:val="00BB42F7"/>
    <w:rsid w:val="00BB4777"/>
    <w:rsid w:val="00BB5CA9"/>
    <w:rsid w:val="00BB74A1"/>
    <w:rsid w:val="00BD3012"/>
    <w:rsid w:val="00BD5221"/>
    <w:rsid w:val="00BE2D37"/>
    <w:rsid w:val="00BE371C"/>
    <w:rsid w:val="00BE5960"/>
    <w:rsid w:val="00BF1960"/>
    <w:rsid w:val="00BF7C1C"/>
    <w:rsid w:val="00C014D4"/>
    <w:rsid w:val="00C10422"/>
    <w:rsid w:val="00C123EA"/>
    <w:rsid w:val="00C14F3E"/>
    <w:rsid w:val="00C24029"/>
    <w:rsid w:val="00C27470"/>
    <w:rsid w:val="00C324E0"/>
    <w:rsid w:val="00C339E9"/>
    <w:rsid w:val="00C34927"/>
    <w:rsid w:val="00C36BE9"/>
    <w:rsid w:val="00C3753D"/>
    <w:rsid w:val="00C621A8"/>
    <w:rsid w:val="00C62352"/>
    <w:rsid w:val="00C64327"/>
    <w:rsid w:val="00C6511F"/>
    <w:rsid w:val="00C819D4"/>
    <w:rsid w:val="00C82B61"/>
    <w:rsid w:val="00C912F2"/>
    <w:rsid w:val="00C91F7D"/>
    <w:rsid w:val="00C96D26"/>
    <w:rsid w:val="00CB3B44"/>
    <w:rsid w:val="00CB57A5"/>
    <w:rsid w:val="00CC6DA3"/>
    <w:rsid w:val="00CE465D"/>
    <w:rsid w:val="00CF1008"/>
    <w:rsid w:val="00D01278"/>
    <w:rsid w:val="00D048A0"/>
    <w:rsid w:val="00D273EE"/>
    <w:rsid w:val="00D30062"/>
    <w:rsid w:val="00D337DA"/>
    <w:rsid w:val="00D35851"/>
    <w:rsid w:val="00D506E9"/>
    <w:rsid w:val="00D53FE6"/>
    <w:rsid w:val="00D643BA"/>
    <w:rsid w:val="00D65A93"/>
    <w:rsid w:val="00D6602F"/>
    <w:rsid w:val="00D663E8"/>
    <w:rsid w:val="00D6726C"/>
    <w:rsid w:val="00D71914"/>
    <w:rsid w:val="00D7530F"/>
    <w:rsid w:val="00D8109F"/>
    <w:rsid w:val="00D81C76"/>
    <w:rsid w:val="00D90761"/>
    <w:rsid w:val="00DB16C8"/>
    <w:rsid w:val="00DB29A8"/>
    <w:rsid w:val="00DB2FE1"/>
    <w:rsid w:val="00DB69C9"/>
    <w:rsid w:val="00DC6424"/>
    <w:rsid w:val="00DE0CAD"/>
    <w:rsid w:val="00DE2C7F"/>
    <w:rsid w:val="00DE3337"/>
    <w:rsid w:val="00DE4F4F"/>
    <w:rsid w:val="00DE61C3"/>
    <w:rsid w:val="00DF1269"/>
    <w:rsid w:val="00DF4D85"/>
    <w:rsid w:val="00DF74C1"/>
    <w:rsid w:val="00E00B9C"/>
    <w:rsid w:val="00E01DE3"/>
    <w:rsid w:val="00E04F84"/>
    <w:rsid w:val="00E12A6E"/>
    <w:rsid w:val="00E15CA3"/>
    <w:rsid w:val="00E26799"/>
    <w:rsid w:val="00E3678C"/>
    <w:rsid w:val="00E40EE8"/>
    <w:rsid w:val="00E43630"/>
    <w:rsid w:val="00E43AAA"/>
    <w:rsid w:val="00E43D50"/>
    <w:rsid w:val="00E4452C"/>
    <w:rsid w:val="00E4497C"/>
    <w:rsid w:val="00E52BE8"/>
    <w:rsid w:val="00E635C6"/>
    <w:rsid w:val="00E639EF"/>
    <w:rsid w:val="00E716A1"/>
    <w:rsid w:val="00E7196A"/>
    <w:rsid w:val="00E73736"/>
    <w:rsid w:val="00E77517"/>
    <w:rsid w:val="00E82A19"/>
    <w:rsid w:val="00E92081"/>
    <w:rsid w:val="00E92C1A"/>
    <w:rsid w:val="00EA01FC"/>
    <w:rsid w:val="00EA18ED"/>
    <w:rsid w:val="00EA40E8"/>
    <w:rsid w:val="00EB287E"/>
    <w:rsid w:val="00EB6E1E"/>
    <w:rsid w:val="00EC40D5"/>
    <w:rsid w:val="00EC49B5"/>
    <w:rsid w:val="00ED50B2"/>
    <w:rsid w:val="00EE27D2"/>
    <w:rsid w:val="00EE2E40"/>
    <w:rsid w:val="00EE6A0C"/>
    <w:rsid w:val="00EF041C"/>
    <w:rsid w:val="00EF68B3"/>
    <w:rsid w:val="00EF7950"/>
    <w:rsid w:val="00F05477"/>
    <w:rsid w:val="00F1003E"/>
    <w:rsid w:val="00F11798"/>
    <w:rsid w:val="00F12060"/>
    <w:rsid w:val="00F12B08"/>
    <w:rsid w:val="00F17EAA"/>
    <w:rsid w:val="00F22F9D"/>
    <w:rsid w:val="00F3360B"/>
    <w:rsid w:val="00F44F67"/>
    <w:rsid w:val="00F50720"/>
    <w:rsid w:val="00F51553"/>
    <w:rsid w:val="00F56D85"/>
    <w:rsid w:val="00F602D7"/>
    <w:rsid w:val="00F60468"/>
    <w:rsid w:val="00F60483"/>
    <w:rsid w:val="00F60873"/>
    <w:rsid w:val="00F6535C"/>
    <w:rsid w:val="00F6658F"/>
    <w:rsid w:val="00F74989"/>
    <w:rsid w:val="00F77AE2"/>
    <w:rsid w:val="00F82CE1"/>
    <w:rsid w:val="00F83E13"/>
    <w:rsid w:val="00F84EF9"/>
    <w:rsid w:val="00F85A76"/>
    <w:rsid w:val="00F85FE5"/>
    <w:rsid w:val="00F91AA2"/>
    <w:rsid w:val="00F935C8"/>
    <w:rsid w:val="00F968AC"/>
    <w:rsid w:val="00FA00FE"/>
    <w:rsid w:val="00FA1F15"/>
    <w:rsid w:val="00FB37D9"/>
    <w:rsid w:val="00FB4547"/>
    <w:rsid w:val="00FC062D"/>
    <w:rsid w:val="00FD0D85"/>
    <w:rsid w:val="00FD149E"/>
    <w:rsid w:val="00FD4112"/>
    <w:rsid w:val="00FD5D93"/>
    <w:rsid w:val="00FE1260"/>
    <w:rsid w:val="00FE5A91"/>
    <w:rsid w:val="00FE5BD1"/>
    <w:rsid w:val="00FF56BA"/>
    <w:rsid w:val="00FF59D1"/>
    <w:rsid w:val="0100390C"/>
    <w:rsid w:val="010158D6"/>
    <w:rsid w:val="01017684"/>
    <w:rsid w:val="0102159D"/>
    <w:rsid w:val="0103164E"/>
    <w:rsid w:val="01050F22"/>
    <w:rsid w:val="010B22B0"/>
    <w:rsid w:val="010D5FC6"/>
    <w:rsid w:val="010F7FF3"/>
    <w:rsid w:val="01141165"/>
    <w:rsid w:val="011B0745"/>
    <w:rsid w:val="011B29F2"/>
    <w:rsid w:val="011E0236"/>
    <w:rsid w:val="01207B0A"/>
    <w:rsid w:val="01213882"/>
    <w:rsid w:val="01282E62"/>
    <w:rsid w:val="01311D17"/>
    <w:rsid w:val="01325A8F"/>
    <w:rsid w:val="013435B5"/>
    <w:rsid w:val="013B4944"/>
    <w:rsid w:val="01483505"/>
    <w:rsid w:val="01487061"/>
    <w:rsid w:val="014A4B87"/>
    <w:rsid w:val="014F03EF"/>
    <w:rsid w:val="014F219D"/>
    <w:rsid w:val="015E4AD6"/>
    <w:rsid w:val="01635C49"/>
    <w:rsid w:val="016519C1"/>
    <w:rsid w:val="01671BDD"/>
    <w:rsid w:val="016A5229"/>
    <w:rsid w:val="016B70CC"/>
    <w:rsid w:val="016F283F"/>
    <w:rsid w:val="017240DE"/>
    <w:rsid w:val="01787946"/>
    <w:rsid w:val="0179546C"/>
    <w:rsid w:val="017B2F92"/>
    <w:rsid w:val="01804A4C"/>
    <w:rsid w:val="01826A17"/>
    <w:rsid w:val="018362EB"/>
    <w:rsid w:val="01877B89"/>
    <w:rsid w:val="018D0F17"/>
    <w:rsid w:val="018F4C90"/>
    <w:rsid w:val="01913FB9"/>
    <w:rsid w:val="0192652E"/>
    <w:rsid w:val="019329D2"/>
    <w:rsid w:val="01A3073B"/>
    <w:rsid w:val="01A52705"/>
    <w:rsid w:val="01A7647D"/>
    <w:rsid w:val="01B841E6"/>
    <w:rsid w:val="01BD7A4F"/>
    <w:rsid w:val="01BE7323"/>
    <w:rsid w:val="01C012ED"/>
    <w:rsid w:val="01C04E49"/>
    <w:rsid w:val="01C81F50"/>
    <w:rsid w:val="01C901A1"/>
    <w:rsid w:val="01CA216C"/>
    <w:rsid w:val="01CA5CC8"/>
    <w:rsid w:val="01CB2D63"/>
    <w:rsid w:val="01D37272"/>
    <w:rsid w:val="01D55085"/>
    <w:rsid w:val="01D84888"/>
    <w:rsid w:val="01DB1C83"/>
    <w:rsid w:val="01DD1E9F"/>
    <w:rsid w:val="01DD3C4D"/>
    <w:rsid w:val="01DE1773"/>
    <w:rsid w:val="01E17223"/>
    <w:rsid w:val="01E50D53"/>
    <w:rsid w:val="01E90844"/>
    <w:rsid w:val="01EC2E82"/>
    <w:rsid w:val="01EC3E90"/>
    <w:rsid w:val="01F3521E"/>
    <w:rsid w:val="01F66ABD"/>
    <w:rsid w:val="01FB0577"/>
    <w:rsid w:val="01FC2DC5"/>
    <w:rsid w:val="01FE6179"/>
    <w:rsid w:val="02070CCA"/>
    <w:rsid w:val="020967F0"/>
    <w:rsid w:val="020B5B51"/>
    <w:rsid w:val="02181129"/>
    <w:rsid w:val="021C5C4F"/>
    <w:rsid w:val="02251150"/>
    <w:rsid w:val="022E6257"/>
    <w:rsid w:val="02315D47"/>
    <w:rsid w:val="023870D5"/>
    <w:rsid w:val="02441F1E"/>
    <w:rsid w:val="024535A0"/>
    <w:rsid w:val="02471A55"/>
    <w:rsid w:val="02511F45"/>
    <w:rsid w:val="02532161"/>
    <w:rsid w:val="02535CBD"/>
    <w:rsid w:val="025832D3"/>
    <w:rsid w:val="02587777"/>
    <w:rsid w:val="025D08EA"/>
    <w:rsid w:val="025F4662"/>
    <w:rsid w:val="02604264"/>
    <w:rsid w:val="02624152"/>
    <w:rsid w:val="026E0D49"/>
    <w:rsid w:val="026E2AF7"/>
    <w:rsid w:val="0270061D"/>
    <w:rsid w:val="02720839"/>
    <w:rsid w:val="02725307"/>
    <w:rsid w:val="0273635F"/>
    <w:rsid w:val="02750329"/>
    <w:rsid w:val="027F4D04"/>
    <w:rsid w:val="02832A46"/>
    <w:rsid w:val="02873BB9"/>
    <w:rsid w:val="02895B83"/>
    <w:rsid w:val="028C11CF"/>
    <w:rsid w:val="02924A37"/>
    <w:rsid w:val="02936A01"/>
    <w:rsid w:val="02954528"/>
    <w:rsid w:val="029A1B3E"/>
    <w:rsid w:val="029F0F02"/>
    <w:rsid w:val="02A36C44"/>
    <w:rsid w:val="02A62291"/>
    <w:rsid w:val="02AE7397"/>
    <w:rsid w:val="02B524D4"/>
    <w:rsid w:val="02BF390E"/>
    <w:rsid w:val="02C1356F"/>
    <w:rsid w:val="02C34EEE"/>
    <w:rsid w:val="02C46BBB"/>
    <w:rsid w:val="02C637E1"/>
    <w:rsid w:val="02C941D1"/>
    <w:rsid w:val="02CE17E8"/>
    <w:rsid w:val="02D05560"/>
    <w:rsid w:val="02D52AF4"/>
    <w:rsid w:val="02D74B40"/>
    <w:rsid w:val="02DC5CB3"/>
    <w:rsid w:val="02E66FBD"/>
    <w:rsid w:val="02E84657"/>
    <w:rsid w:val="02EF3E7D"/>
    <w:rsid w:val="02F2197A"/>
    <w:rsid w:val="02F53218"/>
    <w:rsid w:val="02FF7BF3"/>
    <w:rsid w:val="03015719"/>
    <w:rsid w:val="03067533"/>
    <w:rsid w:val="031048F7"/>
    <w:rsid w:val="031713E0"/>
    <w:rsid w:val="0317318F"/>
    <w:rsid w:val="03196F07"/>
    <w:rsid w:val="031C07A5"/>
    <w:rsid w:val="031C2553"/>
    <w:rsid w:val="032338E1"/>
    <w:rsid w:val="032558AB"/>
    <w:rsid w:val="03321D76"/>
    <w:rsid w:val="03327FC8"/>
    <w:rsid w:val="03381231"/>
    <w:rsid w:val="033C49A3"/>
    <w:rsid w:val="033E696D"/>
    <w:rsid w:val="03433F84"/>
    <w:rsid w:val="03457CFC"/>
    <w:rsid w:val="034877EC"/>
    <w:rsid w:val="035148F2"/>
    <w:rsid w:val="03546191"/>
    <w:rsid w:val="035937A7"/>
    <w:rsid w:val="03597303"/>
    <w:rsid w:val="035A2E3C"/>
    <w:rsid w:val="035B4BF8"/>
    <w:rsid w:val="035E700F"/>
    <w:rsid w:val="036A59B4"/>
    <w:rsid w:val="036D2DAF"/>
    <w:rsid w:val="03724869"/>
    <w:rsid w:val="037E320E"/>
    <w:rsid w:val="0381685A"/>
    <w:rsid w:val="038D3451"/>
    <w:rsid w:val="038D51FF"/>
    <w:rsid w:val="03936CB9"/>
    <w:rsid w:val="039447DF"/>
    <w:rsid w:val="03960557"/>
    <w:rsid w:val="03993BA4"/>
    <w:rsid w:val="03AD764F"/>
    <w:rsid w:val="03B31109"/>
    <w:rsid w:val="03B60BF9"/>
    <w:rsid w:val="03BC7892"/>
    <w:rsid w:val="03C2759E"/>
    <w:rsid w:val="03C70711"/>
    <w:rsid w:val="03C74BB5"/>
    <w:rsid w:val="03CA0201"/>
    <w:rsid w:val="03CA1FAF"/>
    <w:rsid w:val="03D177E1"/>
    <w:rsid w:val="03D270B5"/>
    <w:rsid w:val="03D575A8"/>
    <w:rsid w:val="03DD7F34"/>
    <w:rsid w:val="03E47515"/>
    <w:rsid w:val="03E868D9"/>
    <w:rsid w:val="03F31506"/>
    <w:rsid w:val="03F60FF6"/>
    <w:rsid w:val="04082AD7"/>
    <w:rsid w:val="040A4AA1"/>
    <w:rsid w:val="04117BDE"/>
    <w:rsid w:val="04133956"/>
    <w:rsid w:val="041476CE"/>
    <w:rsid w:val="041B6CAE"/>
    <w:rsid w:val="041C1EB4"/>
    <w:rsid w:val="04206073"/>
    <w:rsid w:val="04247911"/>
    <w:rsid w:val="042518DB"/>
    <w:rsid w:val="042913CB"/>
    <w:rsid w:val="04293179"/>
    <w:rsid w:val="042D106A"/>
    <w:rsid w:val="04341A78"/>
    <w:rsid w:val="04365896"/>
    <w:rsid w:val="043833BC"/>
    <w:rsid w:val="04395ECC"/>
    <w:rsid w:val="043D4E77"/>
    <w:rsid w:val="043F0BEF"/>
    <w:rsid w:val="044004C3"/>
    <w:rsid w:val="04441D61"/>
    <w:rsid w:val="044B1342"/>
    <w:rsid w:val="044E0E32"/>
    <w:rsid w:val="0451447E"/>
    <w:rsid w:val="04545D1C"/>
    <w:rsid w:val="0458764A"/>
    <w:rsid w:val="045A1585"/>
    <w:rsid w:val="045B52FD"/>
    <w:rsid w:val="045D2E23"/>
    <w:rsid w:val="045F6B9B"/>
    <w:rsid w:val="04620439"/>
    <w:rsid w:val="046C750A"/>
    <w:rsid w:val="04754611"/>
    <w:rsid w:val="047649DE"/>
    <w:rsid w:val="04770389"/>
    <w:rsid w:val="047F2D99"/>
    <w:rsid w:val="048B3E34"/>
    <w:rsid w:val="049251C3"/>
    <w:rsid w:val="049802FF"/>
    <w:rsid w:val="04983E5B"/>
    <w:rsid w:val="049C7DEF"/>
    <w:rsid w:val="04A22F2C"/>
    <w:rsid w:val="04A40A52"/>
    <w:rsid w:val="04A57849"/>
    <w:rsid w:val="04AC5B58"/>
    <w:rsid w:val="04B14F1D"/>
    <w:rsid w:val="04B50EB1"/>
    <w:rsid w:val="04BA64C7"/>
    <w:rsid w:val="04BC3FEE"/>
    <w:rsid w:val="04C17856"/>
    <w:rsid w:val="04C609C8"/>
    <w:rsid w:val="04C646BC"/>
    <w:rsid w:val="04C904B8"/>
    <w:rsid w:val="04D035F5"/>
    <w:rsid w:val="04D23811"/>
    <w:rsid w:val="04D56E5D"/>
    <w:rsid w:val="04D74983"/>
    <w:rsid w:val="04D806FC"/>
    <w:rsid w:val="04D8694E"/>
    <w:rsid w:val="04DD5D12"/>
    <w:rsid w:val="04E13A54"/>
    <w:rsid w:val="04E35692"/>
    <w:rsid w:val="04E47868"/>
    <w:rsid w:val="04EB6681"/>
    <w:rsid w:val="04F217BD"/>
    <w:rsid w:val="04F33787"/>
    <w:rsid w:val="04F75026"/>
    <w:rsid w:val="04FC6AE0"/>
    <w:rsid w:val="04FD0162"/>
    <w:rsid w:val="0506170D"/>
    <w:rsid w:val="05087233"/>
    <w:rsid w:val="050D4849"/>
    <w:rsid w:val="050E236F"/>
    <w:rsid w:val="050F18E2"/>
    <w:rsid w:val="05107E95"/>
    <w:rsid w:val="05121E5F"/>
    <w:rsid w:val="051536FE"/>
    <w:rsid w:val="05157BA2"/>
    <w:rsid w:val="05177476"/>
    <w:rsid w:val="0519526F"/>
    <w:rsid w:val="051A6F66"/>
    <w:rsid w:val="051C4A8C"/>
    <w:rsid w:val="051E6A56"/>
    <w:rsid w:val="052039A3"/>
    <w:rsid w:val="05263AAC"/>
    <w:rsid w:val="052878D5"/>
    <w:rsid w:val="05290F57"/>
    <w:rsid w:val="05292ADB"/>
    <w:rsid w:val="05340028"/>
    <w:rsid w:val="053A13B6"/>
    <w:rsid w:val="053C6EDC"/>
    <w:rsid w:val="053E2C54"/>
    <w:rsid w:val="053E4A03"/>
    <w:rsid w:val="05486BAC"/>
    <w:rsid w:val="054933A7"/>
    <w:rsid w:val="054D1CB7"/>
    <w:rsid w:val="055648AE"/>
    <w:rsid w:val="05595CE0"/>
    <w:rsid w:val="05597A8E"/>
    <w:rsid w:val="055A55B4"/>
    <w:rsid w:val="055B47FF"/>
    <w:rsid w:val="056004DF"/>
    <w:rsid w:val="056621AB"/>
    <w:rsid w:val="05685F23"/>
    <w:rsid w:val="056D353A"/>
    <w:rsid w:val="05720B50"/>
    <w:rsid w:val="057228FE"/>
    <w:rsid w:val="058014BF"/>
    <w:rsid w:val="05816FE5"/>
    <w:rsid w:val="059A3C03"/>
    <w:rsid w:val="059B00A7"/>
    <w:rsid w:val="05A70A57"/>
    <w:rsid w:val="05AD1B88"/>
    <w:rsid w:val="05AD3936"/>
    <w:rsid w:val="05B41BCB"/>
    <w:rsid w:val="05C07B0D"/>
    <w:rsid w:val="05C70041"/>
    <w:rsid w:val="05CD3FD8"/>
    <w:rsid w:val="05CF7D50"/>
    <w:rsid w:val="05D11D1B"/>
    <w:rsid w:val="05D13AC9"/>
    <w:rsid w:val="05D2339D"/>
    <w:rsid w:val="05D55C6E"/>
    <w:rsid w:val="05D84E57"/>
    <w:rsid w:val="05D9472B"/>
    <w:rsid w:val="05DD06BF"/>
    <w:rsid w:val="05DF62C8"/>
    <w:rsid w:val="05E05ABA"/>
    <w:rsid w:val="05E360D9"/>
    <w:rsid w:val="05E732EC"/>
    <w:rsid w:val="05F477B7"/>
    <w:rsid w:val="05F67D64"/>
    <w:rsid w:val="05FD2B10"/>
    <w:rsid w:val="06055520"/>
    <w:rsid w:val="06085010"/>
    <w:rsid w:val="06091535"/>
    <w:rsid w:val="060E0879"/>
    <w:rsid w:val="060F2843"/>
    <w:rsid w:val="06110369"/>
    <w:rsid w:val="061340E1"/>
    <w:rsid w:val="061B11E8"/>
    <w:rsid w:val="062067FE"/>
    <w:rsid w:val="062956B3"/>
    <w:rsid w:val="06304C93"/>
    <w:rsid w:val="063127B9"/>
    <w:rsid w:val="063522A9"/>
    <w:rsid w:val="06367DD0"/>
    <w:rsid w:val="0639166E"/>
    <w:rsid w:val="063F41D5"/>
    <w:rsid w:val="063F6C84"/>
    <w:rsid w:val="0644429B"/>
    <w:rsid w:val="064614D7"/>
    <w:rsid w:val="06473D8B"/>
    <w:rsid w:val="064C314F"/>
    <w:rsid w:val="064F2C3F"/>
    <w:rsid w:val="0653286D"/>
    <w:rsid w:val="06565D28"/>
    <w:rsid w:val="06581AF4"/>
    <w:rsid w:val="065A3ABE"/>
    <w:rsid w:val="0667442D"/>
    <w:rsid w:val="066E7569"/>
    <w:rsid w:val="06764670"/>
    <w:rsid w:val="067B1C86"/>
    <w:rsid w:val="06847701"/>
    <w:rsid w:val="0688355A"/>
    <w:rsid w:val="068943A3"/>
    <w:rsid w:val="068D3C6C"/>
    <w:rsid w:val="068E19BA"/>
    <w:rsid w:val="069468A4"/>
    <w:rsid w:val="06954AF6"/>
    <w:rsid w:val="069A369F"/>
    <w:rsid w:val="069B5E85"/>
    <w:rsid w:val="069C40D7"/>
    <w:rsid w:val="069D1BFD"/>
    <w:rsid w:val="06A04E47"/>
    <w:rsid w:val="06A92350"/>
    <w:rsid w:val="06AB60C8"/>
    <w:rsid w:val="06AE3E0A"/>
    <w:rsid w:val="06B70F10"/>
    <w:rsid w:val="06B84C89"/>
    <w:rsid w:val="06BA455D"/>
    <w:rsid w:val="06BA630B"/>
    <w:rsid w:val="06C14F8E"/>
    <w:rsid w:val="06C4362D"/>
    <w:rsid w:val="06C62F02"/>
    <w:rsid w:val="06CE625A"/>
    <w:rsid w:val="06D33870"/>
    <w:rsid w:val="06DE46EF"/>
    <w:rsid w:val="06DF0467"/>
    <w:rsid w:val="06E31D05"/>
    <w:rsid w:val="06E67100"/>
    <w:rsid w:val="06E96BF0"/>
    <w:rsid w:val="06F37A6F"/>
    <w:rsid w:val="06F51A39"/>
    <w:rsid w:val="06F7755F"/>
    <w:rsid w:val="06FC2DC7"/>
    <w:rsid w:val="06FC6923"/>
    <w:rsid w:val="06FF4665"/>
    <w:rsid w:val="07025650"/>
    <w:rsid w:val="07043A2A"/>
    <w:rsid w:val="070457D8"/>
    <w:rsid w:val="070B125C"/>
    <w:rsid w:val="070B6B66"/>
    <w:rsid w:val="07106873"/>
    <w:rsid w:val="07124399"/>
    <w:rsid w:val="071C08E4"/>
    <w:rsid w:val="071C0D73"/>
    <w:rsid w:val="071C6FC5"/>
    <w:rsid w:val="072916E2"/>
    <w:rsid w:val="072D2F81"/>
    <w:rsid w:val="0733430F"/>
    <w:rsid w:val="073A38EF"/>
    <w:rsid w:val="073A744C"/>
    <w:rsid w:val="073C7668"/>
    <w:rsid w:val="073F0F06"/>
    <w:rsid w:val="07434552"/>
    <w:rsid w:val="07436660"/>
    <w:rsid w:val="074422F0"/>
    <w:rsid w:val="07462294"/>
    <w:rsid w:val="0748600C"/>
    <w:rsid w:val="074B3407"/>
    <w:rsid w:val="074D3623"/>
    <w:rsid w:val="07520C39"/>
    <w:rsid w:val="07550729"/>
    <w:rsid w:val="076B5857"/>
    <w:rsid w:val="076F17EB"/>
    <w:rsid w:val="07723089"/>
    <w:rsid w:val="077566D6"/>
    <w:rsid w:val="077B0190"/>
    <w:rsid w:val="077F1302"/>
    <w:rsid w:val="07852DBD"/>
    <w:rsid w:val="078B7CA7"/>
    <w:rsid w:val="079528D4"/>
    <w:rsid w:val="079A71A9"/>
    <w:rsid w:val="079E5C2C"/>
    <w:rsid w:val="07A5520D"/>
    <w:rsid w:val="07A64AE1"/>
    <w:rsid w:val="07A82607"/>
    <w:rsid w:val="07A86AAB"/>
    <w:rsid w:val="07AD5E6F"/>
    <w:rsid w:val="07AF6AAF"/>
    <w:rsid w:val="07B05960"/>
    <w:rsid w:val="07B92A66"/>
    <w:rsid w:val="07C136C9"/>
    <w:rsid w:val="07C9793D"/>
    <w:rsid w:val="07D020FA"/>
    <w:rsid w:val="07D050E5"/>
    <w:rsid w:val="07D63618"/>
    <w:rsid w:val="07D94EB6"/>
    <w:rsid w:val="07DE071F"/>
    <w:rsid w:val="07E5385B"/>
    <w:rsid w:val="07E850FA"/>
    <w:rsid w:val="07EA70C4"/>
    <w:rsid w:val="07ED0962"/>
    <w:rsid w:val="07ED44BE"/>
    <w:rsid w:val="07F13FAE"/>
    <w:rsid w:val="07F52985"/>
    <w:rsid w:val="07F7358F"/>
    <w:rsid w:val="07F7533D"/>
    <w:rsid w:val="07FC2953"/>
    <w:rsid w:val="07FE491D"/>
    <w:rsid w:val="07FE5178"/>
    <w:rsid w:val="080812F8"/>
    <w:rsid w:val="0808579C"/>
    <w:rsid w:val="080A5070"/>
    <w:rsid w:val="080D2DB2"/>
    <w:rsid w:val="080E095B"/>
    <w:rsid w:val="080F2686"/>
    <w:rsid w:val="08144141"/>
    <w:rsid w:val="08193505"/>
    <w:rsid w:val="08206641"/>
    <w:rsid w:val="082A3964"/>
    <w:rsid w:val="082F0F7A"/>
    <w:rsid w:val="08397703"/>
    <w:rsid w:val="083D3697"/>
    <w:rsid w:val="08404F36"/>
    <w:rsid w:val="08471E20"/>
    <w:rsid w:val="0849203C"/>
    <w:rsid w:val="084F6F27"/>
    <w:rsid w:val="085417B6"/>
    <w:rsid w:val="08575FBE"/>
    <w:rsid w:val="085B03F1"/>
    <w:rsid w:val="085D1644"/>
    <w:rsid w:val="086E3851"/>
    <w:rsid w:val="087150EF"/>
    <w:rsid w:val="087251E8"/>
    <w:rsid w:val="0874698D"/>
    <w:rsid w:val="08776489"/>
    <w:rsid w:val="087D7F38"/>
    <w:rsid w:val="08844E22"/>
    <w:rsid w:val="08856DEC"/>
    <w:rsid w:val="088C017B"/>
    <w:rsid w:val="088E7A4F"/>
    <w:rsid w:val="08931509"/>
    <w:rsid w:val="089E3A0A"/>
    <w:rsid w:val="089F7EAE"/>
    <w:rsid w:val="08A07782"/>
    <w:rsid w:val="08A70B11"/>
    <w:rsid w:val="08A76D63"/>
    <w:rsid w:val="08AC4379"/>
    <w:rsid w:val="08AE6343"/>
    <w:rsid w:val="08B03E69"/>
    <w:rsid w:val="08B17BE1"/>
    <w:rsid w:val="08B22F96"/>
    <w:rsid w:val="08B43EF5"/>
    <w:rsid w:val="08B576D2"/>
    <w:rsid w:val="08B60D54"/>
    <w:rsid w:val="08B767EB"/>
    <w:rsid w:val="08BD6586"/>
    <w:rsid w:val="08C6368D"/>
    <w:rsid w:val="08C6543B"/>
    <w:rsid w:val="08CC0577"/>
    <w:rsid w:val="08CE2541"/>
    <w:rsid w:val="08D00067"/>
    <w:rsid w:val="08D12032"/>
    <w:rsid w:val="08D35DAA"/>
    <w:rsid w:val="08D613F6"/>
    <w:rsid w:val="08DA0EE6"/>
    <w:rsid w:val="08E21B49"/>
    <w:rsid w:val="08E41D65"/>
    <w:rsid w:val="08E753B1"/>
    <w:rsid w:val="08F0070A"/>
    <w:rsid w:val="08F33D56"/>
    <w:rsid w:val="08FD6983"/>
    <w:rsid w:val="08FF094D"/>
    <w:rsid w:val="09012917"/>
    <w:rsid w:val="0901547A"/>
    <w:rsid w:val="09047592"/>
    <w:rsid w:val="09063A89"/>
    <w:rsid w:val="090B10A0"/>
    <w:rsid w:val="090B5543"/>
    <w:rsid w:val="090C4E18"/>
    <w:rsid w:val="091361A6"/>
    <w:rsid w:val="091C14FF"/>
    <w:rsid w:val="0923007D"/>
    <w:rsid w:val="0926237D"/>
    <w:rsid w:val="09287EA3"/>
    <w:rsid w:val="092C7268"/>
    <w:rsid w:val="092D54BA"/>
    <w:rsid w:val="093525C0"/>
    <w:rsid w:val="09385C0D"/>
    <w:rsid w:val="09410F65"/>
    <w:rsid w:val="09436A8B"/>
    <w:rsid w:val="094620D8"/>
    <w:rsid w:val="09491BC8"/>
    <w:rsid w:val="094B5E76"/>
    <w:rsid w:val="094C3466"/>
    <w:rsid w:val="09532A47"/>
    <w:rsid w:val="09540C99"/>
    <w:rsid w:val="095A3DD5"/>
    <w:rsid w:val="0960544E"/>
    <w:rsid w:val="09622C8A"/>
    <w:rsid w:val="0963712E"/>
    <w:rsid w:val="09644C54"/>
    <w:rsid w:val="09646A02"/>
    <w:rsid w:val="0967021B"/>
    <w:rsid w:val="096B5FE2"/>
    <w:rsid w:val="096E162E"/>
    <w:rsid w:val="097053A7"/>
    <w:rsid w:val="09763C77"/>
    <w:rsid w:val="097C3D4B"/>
    <w:rsid w:val="09813405"/>
    <w:rsid w:val="098B6886"/>
    <w:rsid w:val="098E3A7F"/>
    <w:rsid w:val="09945539"/>
    <w:rsid w:val="09970B85"/>
    <w:rsid w:val="099D2DC6"/>
    <w:rsid w:val="099E1F14"/>
    <w:rsid w:val="099E3CC2"/>
    <w:rsid w:val="099F7A3A"/>
    <w:rsid w:val="09A45050"/>
    <w:rsid w:val="09AA0FD6"/>
    <w:rsid w:val="09AA6B0A"/>
    <w:rsid w:val="09AD4E6C"/>
    <w:rsid w:val="09AF2373"/>
    <w:rsid w:val="09B23C11"/>
    <w:rsid w:val="09C13E54"/>
    <w:rsid w:val="09C35E1E"/>
    <w:rsid w:val="09C37BCC"/>
    <w:rsid w:val="09C53944"/>
    <w:rsid w:val="09C83435"/>
    <w:rsid w:val="09CD27F9"/>
    <w:rsid w:val="09CD45A7"/>
    <w:rsid w:val="09D678FF"/>
    <w:rsid w:val="09D75426"/>
    <w:rsid w:val="09D77460"/>
    <w:rsid w:val="09E17252"/>
    <w:rsid w:val="09E377B9"/>
    <w:rsid w:val="09E55D95"/>
    <w:rsid w:val="09EA6F07"/>
    <w:rsid w:val="09ED50B2"/>
    <w:rsid w:val="09EF451D"/>
    <w:rsid w:val="09EF6C13"/>
    <w:rsid w:val="09F71624"/>
    <w:rsid w:val="0A014251"/>
    <w:rsid w:val="0A0D52EB"/>
    <w:rsid w:val="0A171CC6"/>
    <w:rsid w:val="0A173A74"/>
    <w:rsid w:val="0A193C90"/>
    <w:rsid w:val="0A1E7D15"/>
    <w:rsid w:val="0A2168AE"/>
    <w:rsid w:val="0A23066B"/>
    <w:rsid w:val="0A2368BD"/>
    <w:rsid w:val="0A294FD4"/>
    <w:rsid w:val="0A2A7C4B"/>
    <w:rsid w:val="0A312D88"/>
    <w:rsid w:val="0A342878"/>
    <w:rsid w:val="0A3665F0"/>
    <w:rsid w:val="0A390C74"/>
    <w:rsid w:val="0A3D72FF"/>
    <w:rsid w:val="0A3D797F"/>
    <w:rsid w:val="0A40121D"/>
    <w:rsid w:val="0A456833"/>
    <w:rsid w:val="0A4725AB"/>
    <w:rsid w:val="0A474359"/>
    <w:rsid w:val="0A4940F4"/>
    <w:rsid w:val="0A51342A"/>
    <w:rsid w:val="0A544CC8"/>
    <w:rsid w:val="0A621193"/>
    <w:rsid w:val="0A7113D6"/>
    <w:rsid w:val="0A805ABD"/>
    <w:rsid w:val="0A854E82"/>
    <w:rsid w:val="0A886720"/>
    <w:rsid w:val="0A8C6210"/>
    <w:rsid w:val="0A8C7FBE"/>
    <w:rsid w:val="0A984BB5"/>
    <w:rsid w:val="0A9926DB"/>
    <w:rsid w:val="0A9F23E7"/>
    <w:rsid w:val="0AA417AC"/>
    <w:rsid w:val="0AAC240E"/>
    <w:rsid w:val="0AB063A2"/>
    <w:rsid w:val="0AB1211B"/>
    <w:rsid w:val="0ABA0FCF"/>
    <w:rsid w:val="0ABB6AF5"/>
    <w:rsid w:val="0ABF0394"/>
    <w:rsid w:val="0AC0410C"/>
    <w:rsid w:val="0AC37758"/>
    <w:rsid w:val="0AC57974"/>
    <w:rsid w:val="0ACA3885"/>
    <w:rsid w:val="0ACF0E24"/>
    <w:rsid w:val="0AD007F3"/>
    <w:rsid w:val="0AD656DD"/>
    <w:rsid w:val="0AD96F7B"/>
    <w:rsid w:val="0ADB7197"/>
    <w:rsid w:val="0ADD2F10"/>
    <w:rsid w:val="0ADF0A36"/>
    <w:rsid w:val="0AE0030A"/>
    <w:rsid w:val="0AE41BA8"/>
    <w:rsid w:val="0AEA2F37"/>
    <w:rsid w:val="0AEC3153"/>
    <w:rsid w:val="0AEE6ECB"/>
    <w:rsid w:val="0AF142C5"/>
    <w:rsid w:val="0AF3003D"/>
    <w:rsid w:val="0AF448C5"/>
    <w:rsid w:val="0AF618DB"/>
    <w:rsid w:val="0AF838A6"/>
    <w:rsid w:val="0B04224A"/>
    <w:rsid w:val="0B097861"/>
    <w:rsid w:val="0B116715"/>
    <w:rsid w:val="0B136931"/>
    <w:rsid w:val="0B16508E"/>
    <w:rsid w:val="0B1A381C"/>
    <w:rsid w:val="0B1D50BA"/>
    <w:rsid w:val="0B204BAA"/>
    <w:rsid w:val="0B210D11"/>
    <w:rsid w:val="0B212DFC"/>
    <w:rsid w:val="0B246449"/>
    <w:rsid w:val="0B293A5F"/>
    <w:rsid w:val="0B310B66"/>
    <w:rsid w:val="0B330D82"/>
    <w:rsid w:val="0B3A2110"/>
    <w:rsid w:val="0B3C19E4"/>
    <w:rsid w:val="0B3D750A"/>
    <w:rsid w:val="0B472137"/>
    <w:rsid w:val="0B492353"/>
    <w:rsid w:val="0B494101"/>
    <w:rsid w:val="0B50521E"/>
    <w:rsid w:val="0B505490"/>
    <w:rsid w:val="0B534F80"/>
    <w:rsid w:val="0B5A630E"/>
    <w:rsid w:val="0B5C5BE2"/>
    <w:rsid w:val="0B6D6042"/>
    <w:rsid w:val="0B7064AD"/>
    <w:rsid w:val="0B7849E6"/>
    <w:rsid w:val="0B7D3DAB"/>
    <w:rsid w:val="0B835865"/>
    <w:rsid w:val="0B8415DD"/>
    <w:rsid w:val="0B93537C"/>
    <w:rsid w:val="0B995089"/>
    <w:rsid w:val="0B9F1F73"/>
    <w:rsid w:val="0BA92DF2"/>
    <w:rsid w:val="0BAB4DBC"/>
    <w:rsid w:val="0BAE0408"/>
    <w:rsid w:val="0BAE21B6"/>
    <w:rsid w:val="0BAF665A"/>
    <w:rsid w:val="0BB35A1E"/>
    <w:rsid w:val="0BB51797"/>
    <w:rsid w:val="0BB73761"/>
    <w:rsid w:val="0BBD062E"/>
    <w:rsid w:val="0BBF2615"/>
    <w:rsid w:val="0BC1013B"/>
    <w:rsid w:val="0BC35C62"/>
    <w:rsid w:val="0BC369D0"/>
    <w:rsid w:val="0BCE4606"/>
    <w:rsid w:val="0BD16E51"/>
    <w:rsid w:val="0BD76ACC"/>
    <w:rsid w:val="0BDE2A9B"/>
    <w:rsid w:val="0BEF4CA9"/>
    <w:rsid w:val="0BF92C1D"/>
    <w:rsid w:val="0BF95B27"/>
    <w:rsid w:val="0C012C2E"/>
    <w:rsid w:val="0C0149DC"/>
    <w:rsid w:val="0C083FBC"/>
    <w:rsid w:val="0C0B585A"/>
    <w:rsid w:val="0C0F70F9"/>
    <w:rsid w:val="0C1B3CF0"/>
    <w:rsid w:val="0C1C35C4"/>
    <w:rsid w:val="0C22507E"/>
    <w:rsid w:val="0C234952"/>
    <w:rsid w:val="0C252478"/>
    <w:rsid w:val="0C254802"/>
    <w:rsid w:val="0C2A5CE1"/>
    <w:rsid w:val="0C2C7CAB"/>
    <w:rsid w:val="0C2D757F"/>
    <w:rsid w:val="0C30706F"/>
    <w:rsid w:val="0C321B11"/>
    <w:rsid w:val="0C3703FE"/>
    <w:rsid w:val="0C3721AC"/>
    <w:rsid w:val="0C37664F"/>
    <w:rsid w:val="0C3C5A14"/>
    <w:rsid w:val="0C4323FA"/>
    <w:rsid w:val="0C434FF4"/>
    <w:rsid w:val="0C450D6C"/>
    <w:rsid w:val="0C4A6383"/>
    <w:rsid w:val="0C4C174B"/>
    <w:rsid w:val="0C5965C6"/>
    <w:rsid w:val="0C61547A"/>
    <w:rsid w:val="0C632FA1"/>
    <w:rsid w:val="0C684A5B"/>
    <w:rsid w:val="0C6A07D3"/>
    <w:rsid w:val="0C71390F"/>
    <w:rsid w:val="0C72576D"/>
    <w:rsid w:val="0C7358DA"/>
    <w:rsid w:val="0C774C9E"/>
    <w:rsid w:val="0C7A30DA"/>
    <w:rsid w:val="0C8E389C"/>
    <w:rsid w:val="0C945850"/>
    <w:rsid w:val="0C965124"/>
    <w:rsid w:val="0C9B273A"/>
    <w:rsid w:val="0CA33BE4"/>
    <w:rsid w:val="0CAD6E25"/>
    <w:rsid w:val="0CAE6912"/>
    <w:rsid w:val="0CAF268A"/>
    <w:rsid w:val="0CC06645"/>
    <w:rsid w:val="0CC114E6"/>
    <w:rsid w:val="0CC7352F"/>
    <w:rsid w:val="0CC954FA"/>
    <w:rsid w:val="0CCA3020"/>
    <w:rsid w:val="0CCE0D62"/>
    <w:rsid w:val="0CD36378"/>
    <w:rsid w:val="0CD8398F"/>
    <w:rsid w:val="0CDD5F03"/>
    <w:rsid w:val="0CDD71F7"/>
    <w:rsid w:val="0CE71E24"/>
    <w:rsid w:val="0CEE5747"/>
    <w:rsid w:val="0CF85DDF"/>
    <w:rsid w:val="0CF87B8D"/>
    <w:rsid w:val="0CFB142B"/>
    <w:rsid w:val="0D076022"/>
    <w:rsid w:val="0D094F20"/>
    <w:rsid w:val="0D0E115E"/>
    <w:rsid w:val="0D197B03"/>
    <w:rsid w:val="0D1A3FA7"/>
    <w:rsid w:val="0D1D1C55"/>
    <w:rsid w:val="0D1D75F3"/>
    <w:rsid w:val="0D2B7F62"/>
    <w:rsid w:val="0D3418E1"/>
    <w:rsid w:val="0D3A117D"/>
    <w:rsid w:val="0D3F2B16"/>
    <w:rsid w:val="0D3F3A0E"/>
    <w:rsid w:val="0D4728C2"/>
    <w:rsid w:val="0D553231"/>
    <w:rsid w:val="0D5610BC"/>
    <w:rsid w:val="0D562B05"/>
    <w:rsid w:val="0D5648B3"/>
    <w:rsid w:val="0D576FA9"/>
    <w:rsid w:val="0D5F19BA"/>
    <w:rsid w:val="0D611BD6"/>
    <w:rsid w:val="0D6276FC"/>
    <w:rsid w:val="0D646FD0"/>
    <w:rsid w:val="0D6945E7"/>
    <w:rsid w:val="0D703BC7"/>
    <w:rsid w:val="0D7511DD"/>
    <w:rsid w:val="0D7567FF"/>
    <w:rsid w:val="0D776D49"/>
    <w:rsid w:val="0D7F205C"/>
    <w:rsid w:val="0D802482"/>
    <w:rsid w:val="0D817B82"/>
    <w:rsid w:val="0D821B4C"/>
    <w:rsid w:val="0D830FE2"/>
    <w:rsid w:val="0D8366EA"/>
    <w:rsid w:val="0D865199"/>
    <w:rsid w:val="0D8E229F"/>
    <w:rsid w:val="0D900286"/>
    <w:rsid w:val="0D957AD2"/>
    <w:rsid w:val="0D9941F9"/>
    <w:rsid w:val="0D9F44AC"/>
    <w:rsid w:val="0DA25D4B"/>
    <w:rsid w:val="0DA90E87"/>
    <w:rsid w:val="0DAC6774"/>
    <w:rsid w:val="0DAE46EF"/>
    <w:rsid w:val="0DB461AA"/>
    <w:rsid w:val="0DB53CD0"/>
    <w:rsid w:val="0DBC0BBA"/>
    <w:rsid w:val="0DBF06AB"/>
    <w:rsid w:val="0DC3019B"/>
    <w:rsid w:val="0DC83A03"/>
    <w:rsid w:val="0DC91529"/>
    <w:rsid w:val="0DCD726B"/>
    <w:rsid w:val="0DD1346B"/>
    <w:rsid w:val="0DDA1988"/>
    <w:rsid w:val="0DDE4FD5"/>
    <w:rsid w:val="0DDF0D4D"/>
    <w:rsid w:val="0DE3083D"/>
    <w:rsid w:val="0DE45C36"/>
    <w:rsid w:val="0DEB14A0"/>
    <w:rsid w:val="0DED16BC"/>
    <w:rsid w:val="0DEF69F4"/>
    <w:rsid w:val="0DEF71E2"/>
    <w:rsid w:val="0DF06AB6"/>
    <w:rsid w:val="0DF20A80"/>
    <w:rsid w:val="0E0407B3"/>
    <w:rsid w:val="0E0662D9"/>
    <w:rsid w:val="0E066951"/>
    <w:rsid w:val="0E0802A4"/>
    <w:rsid w:val="0E0F5672"/>
    <w:rsid w:val="0E1053AA"/>
    <w:rsid w:val="0E1327A4"/>
    <w:rsid w:val="0E1409F6"/>
    <w:rsid w:val="0E15476E"/>
    <w:rsid w:val="0E17302F"/>
    <w:rsid w:val="0E176739"/>
    <w:rsid w:val="0E211365"/>
    <w:rsid w:val="0E24158B"/>
    <w:rsid w:val="0E26697C"/>
    <w:rsid w:val="0E2A646C"/>
    <w:rsid w:val="0E303356"/>
    <w:rsid w:val="0E3C1CFB"/>
    <w:rsid w:val="0E3F3599"/>
    <w:rsid w:val="0E4017EB"/>
    <w:rsid w:val="0E417312"/>
    <w:rsid w:val="0E43308A"/>
    <w:rsid w:val="0E484B44"/>
    <w:rsid w:val="0E4917B5"/>
    <w:rsid w:val="0E4A08BC"/>
    <w:rsid w:val="0E4E22F4"/>
    <w:rsid w:val="0E515D90"/>
    <w:rsid w:val="0E52151F"/>
    <w:rsid w:val="0E611762"/>
    <w:rsid w:val="0E681446"/>
    <w:rsid w:val="0E6B1369"/>
    <w:rsid w:val="0E6B438E"/>
    <w:rsid w:val="0E721BC1"/>
    <w:rsid w:val="0E7B2823"/>
    <w:rsid w:val="0E7B642C"/>
    <w:rsid w:val="0E884F40"/>
    <w:rsid w:val="0E8A2A67"/>
    <w:rsid w:val="0E8A515C"/>
    <w:rsid w:val="0E963B01"/>
    <w:rsid w:val="0E981627"/>
    <w:rsid w:val="0E9B1118"/>
    <w:rsid w:val="0E9C4FD3"/>
    <w:rsid w:val="0EA115D7"/>
    <w:rsid w:val="0EA33B28"/>
    <w:rsid w:val="0EA93835"/>
    <w:rsid w:val="0EA967E6"/>
    <w:rsid w:val="0EAA135B"/>
    <w:rsid w:val="0EAF3BDB"/>
    <w:rsid w:val="0EAF4BC3"/>
    <w:rsid w:val="0EB36461"/>
    <w:rsid w:val="0EB421D9"/>
    <w:rsid w:val="0EB43F87"/>
    <w:rsid w:val="0EB6385C"/>
    <w:rsid w:val="0EB66260"/>
    <w:rsid w:val="0EB67D00"/>
    <w:rsid w:val="0EB75826"/>
    <w:rsid w:val="0EB9334C"/>
    <w:rsid w:val="0EB977F0"/>
    <w:rsid w:val="0EC230C4"/>
    <w:rsid w:val="0EC71F0D"/>
    <w:rsid w:val="0ECD6DF7"/>
    <w:rsid w:val="0ECF2B6F"/>
    <w:rsid w:val="0ED168E7"/>
    <w:rsid w:val="0ED83AA9"/>
    <w:rsid w:val="0ED939EE"/>
    <w:rsid w:val="0EDA78E1"/>
    <w:rsid w:val="0EE24651"/>
    <w:rsid w:val="0EE91E83"/>
    <w:rsid w:val="0EEA79A9"/>
    <w:rsid w:val="0EEB74B8"/>
    <w:rsid w:val="0EEC3AB1"/>
    <w:rsid w:val="0EEF6D6E"/>
    <w:rsid w:val="0EF32D02"/>
    <w:rsid w:val="0EF44384"/>
    <w:rsid w:val="0EF6634E"/>
    <w:rsid w:val="0EF97BEC"/>
    <w:rsid w:val="0EFA28D1"/>
    <w:rsid w:val="0EFB5712"/>
    <w:rsid w:val="0EFF16A6"/>
    <w:rsid w:val="0F024913"/>
    <w:rsid w:val="0F046CBD"/>
    <w:rsid w:val="0F052A35"/>
    <w:rsid w:val="0F0740B7"/>
    <w:rsid w:val="0F0A1DF9"/>
    <w:rsid w:val="0F0C3DC3"/>
    <w:rsid w:val="0F0F5662"/>
    <w:rsid w:val="0F135152"/>
    <w:rsid w:val="0F144A26"/>
    <w:rsid w:val="0F1467D4"/>
    <w:rsid w:val="0F1C6664"/>
    <w:rsid w:val="0F2D365B"/>
    <w:rsid w:val="0F2F360E"/>
    <w:rsid w:val="0F307AB2"/>
    <w:rsid w:val="0F39623B"/>
    <w:rsid w:val="0F3D21CF"/>
    <w:rsid w:val="0F3F1AA3"/>
    <w:rsid w:val="0F3F7763"/>
    <w:rsid w:val="0F4470B9"/>
    <w:rsid w:val="0F4672D5"/>
    <w:rsid w:val="0F4731AF"/>
    <w:rsid w:val="0F4C5F6E"/>
    <w:rsid w:val="0F4E618A"/>
    <w:rsid w:val="0F515C7A"/>
    <w:rsid w:val="0F542271"/>
    <w:rsid w:val="0F5F2145"/>
    <w:rsid w:val="0F621C35"/>
    <w:rsid w:val="0F6459AD"/>
    <w:rsid w:val="0F694D72"/>
    <w:rsid w:val="0F713C26"/>
    <w:rsid w:val="0F7554C5"/>
    <w:rsid w:val="0F7756E1"/>
    <w:rsid w:val="0F781459"/>
    <w:rsid w:val="0F786D63"/>
    <w:rsid w:val="0F7D4034"/>
    <w:rsid w:val="0F804919"/>
    <w:rsid w:val="0F825E34"/>
    <w:rsid w:val="0F84395A"/>
    <w:rsid w:val="0F8B058F"/>
    <w:rsid w:val="0F8C0A60"/>
    <w:rsid w:val="0F8E2A2A"/>
    <w:rsid w:val="0F9022FF"/>
    <w:rsid w:val="0F916077"/>
    <w:rsid w:val="0F977B31"/>
    <w:rsid w:val="0F9D0EBF"/>
    <w:rsid w:val="0FA4224E"/>
    <w:rsid w:val="0FAE6C29"/>
    <w:rsid w:val="0FB26719"/>
    <w:rsid w:val="0FB51D65"/>
    <w:rsid w:val="0FBF0E36"/>
    <w:rsid w:val="0FC65D20"/>
    <w:rsid w:val="0FCD552D"/>
    <w:rsid w:val="0FCE1079"/>
    <w:rsid w:val="0FD541B5"/>
    <w:rsid w:val="0FDC3796"/>
    <w:rsid w:val="0FE33A04"/>
    <w:rsid w:val="0FEB12B4"/>
    <w:rsid w:val="0FEC4BFA"/>
    <w:rsid w:val="0FF46D31"/>
    <w:rsid w:val="0FF7237E"/>
    <w:rsid w:val="0FFC7994"/>
    <w:rsid w:val="0FFE195E"/>
    <w:rsid w:val="0FFE370C"/>
    <w:rsid w:val="0FFF1232"/>
    <w:rsid w:val="10002ABF"/>
    <w:rsid w:val="10014FAA"/>
    <w:rsid w:val="10022AD1"/>
    <w:rsid w:val="10090303"/>
    <w:rsid w:val="100D1BA1"/>
    <w:rsid w:val="101114C9"/>
    <w:rsid w:val="10141182"/>
    <w:rsid w:val="1017657C"/>
    <w:rsid w:val="10260EB5"/>
    <w:rsid w:val="102B21FA"/>
    <w:rsid w:val="103510F8"/>
    <w:rsid w:val="103C2486"/>
    <w:rsid w:val="103F3D25"/>
    <w:rsid w:val="1041184B"/>
    <w:rsid w:val="1041196E"/>
    <w:rsid w:val="104579BD"/>
    <w:rsid w:val="104B26C9"/>
    <w:rsid w:val="104D6442"/>
    <w:rsid w:val="104E5D16"/>
    <w:rsid w:val="10525806"/>
    <w:rsid w:val="10554120"/>
    <w:rsid w:val="1057106E"/>
    <w:rsid w:val="105A46BB"/>
    <w:rsid w:val="105C6685"/>
    <w:rsid w:val="105E23FD"/>
    <w:rsid w:val="10635C65"/>
    <w:rsid w:val="106B68C8"/>
    <w:rsid w:val="106D2640"/>
    <w:rsid w:val="107240FA"/>
    <w:rsid w:val="1074577C"/>
    <w:rsid w:val="107C2883"/>
    <w:rsid w:val="107E65FB"/>
    <w:rsid w:val="10811D72"/>
    <w:rsid w:val="108C51BC"/>
    <w:rsid w:val="10944070"/>
    <w:rsid w:val="10945158"/>
    <w:rsid w:val="10947BCD"/>
    <w:rsid w:val="109B71AD"/>
    <w:rsid w:val="10A06571"/>
    <w:rsid w:val="10A74D0F"/>
    <w:rsid w:val="10AC13BA"/>
    <w:rsid w:val="10AF4A06"/>
    <w:rsid w:val="10B1077E"/>
    <w:rsid w:val="10B169D0"/>
    <w:rsid w:val="10B262A5"/>
    <w:rsid w:val="10B4201D"/>
    <w:rsid w:val="10B63FE7"/>
    <w:rsid w:val="10B755B0"/>
    <w:rsid w:val="10BD35C7"/>
    <w:rsid w:val="10BE10ED"/>
    <w:rsid w:val="10BE4C49"/>
    <w:rsid w:val="10C02CE5"/>
    <w:rsid w:val="10C61D50"/>
    <w:rsid w:val="10C761F4"/>
    <w:rsid w:val="10D206F5"/>
    <w:rsid w:val="10D73F5D"/>
    <w:rsid w:val="10D95F27"/>
    <w:rsid w:val="10DB1F2E"/>
    <w:rsid w:val="10DB3A4D"/>
    <w:rsid w:val="10E24DDC"/>
    <w:rsid w:val="10EA0134"/>
    <w:rsid w:val="10F13271"/>
    <w:rsid w:val="10F66AD9"/>
    <w:rsid w:val="10FD39C4"/>
    <w:rsid w:val="10FD7E68"/>
    <w:rsid w:val="11072A94"/>
    <w:rsid w:val="11074842"/>
    <w:rsid w:val="1109296B"/>
    <w:rsid w:val="110C1E59"/>
    <w:rsid w:val="110D6172"/>
    <w:rsid w:val="110E3C0C"/>
    <w:rsid w:val="1111121D"/>
    <w:rsid w:val="111B6540"/>
    <w:rsid w:val="111D4066"/>
    <w:rsid w:val="111E1B8C"/>
    <w:rsid w:val="112278CE"/>
    <w:rsid w:val="112371A2"/>
    <w:rsid w:val="11254CC9"/>
    <w:rsid w:val="112C24FB"/>
    <w:rsid w:val="113413B0"/>
    <w:rsid w:val="11380EA0"/>
    <w:rsid w:val="113849FC"/>
    <w:rsid w:val="11423FF7"/>
    <w:rsid w:val="1142587A"/>
    <w:rsid w:val="11494E5B"/>
    <w:rsid w:val="114C04A7"/>
    <w:rsid w:val="114C66F9"/>
    <w:rsid w:val="114D7C0E"/>
    <w:rsid w:val="11515ABE"/>
    <w:rsid w:val="115B2DE0"/>
    <w:rsid w:val="115B4B8E"/>
    <w:rsid w:val="115D26B4"/>
    <w:rsid w:val="11671785"/>
    <w:rsid w:val="116B3023"/>
    <w:rsid w:val="116E48C1"/>
    <w:rsid w:val="11716160"/>
    <w:rsid w:val="1173012A"/>
    <w:rsid w:val="117619EB"/>
    <w:rsid w:val="117874EE"/>
    <w:rsid w:val="117D2D56"/>
    <w:rsid w:val="11826AFE"/>
    <w:rsid w:val="118A5945"/>
    <w:rsid w:val="118B5473"/>
    <w:rsid w:val="118D7121"/>
    <w:rsid w:val="118E0AC0"/>
    <w:rsid w:val="11916802"/>
    <w:rsid w:val="1193257A"/>
    <w:rsid w:val="11965BC6"/>
    <w:rsid w:val="119F2CCD"/>
    <w:rsid w:val="119F4A7B"/>
    <w:rsid w:val="11A93B4C"/>
    <w:rsid w:val="11AC53EA"/>
    <w:rsid w:val="11AC7198"/>
    <w:rsid w:val="11B524F0"/>
    <w:rsid w:val="11BA3663"/>
    <w:rsid w:val="11BA7B07"/>
    <w:rsid w:val="11C40985"/>
    <w:rsid w:val="11C646FD"/>
    <w:rsid w:val="11C75D80"/>
    <w:rsid w:val="11CB3AC2"/>
    <w:rsid w:val="11CD034E"/>
    <w:rsid w:val="11D02E86"/>
    <w:rsid w:val="11D24E50"/>
    <w:rsid w:val="11D706B9"/>
    <w:rsid w:val="11D81D3B"/>
    <w:rsid w:val="11DA1F57"/>
    <w:rsid w:val="11E06E41"/>
    <w:rsid w:val="11E608FC"/>
    <w:rsid w:val="11F36B75"/>
    <w:rsid w:val="11F56D91"/>
    <w:rsid w:val="11F62DC2"/>
    <w:rsid w:val="11FF376C"/>
    <w:rsid w:val="11FF551A"/>
    <w:rsid w:val="12011292"/>
    <w:rsid w:val="1202500A"/>
    <w:rsid w:val="12045226"/>
    <w:rsid w:val="12062D4C"/>
    <w:rsid w:val="12086AC4"/>
    <w:rsid w:val="120B0362"/>
    <w:rsid w:val="12323B41"/>
    <w:rsid w:val="123C49C0"/>
    <w:rsid w:val="123F625E"/>
    <w:rsid w:val="12435D4E"/>
    <w:rsid w:val="12437AFC"/>
    <w:rsid w:val="12490E8B"/>
    <w:rsid w:val="124949E7"/>
    <w:rsid w:val="124A2743"/>
    <w:rsid w:val="124B075F"/>
    <w:rsid w:val="124E024F"/>
    <w:rsid w:val="125515DD"/>
    <w:rsid w:val="125535EC"/>
    <w:rsid w:val="1255782F"/>
    <w:rsid w:val="12582E7C"/>
    <w:rsid w:val="12584AF5"/>
    <w:rsid w:val="125B6DD1"/>
    <w:rsid w:val="125C6E10"/>
    <w:rsid w:val="125D0492"/>
    <w:rsid w:val="12633CFA"/>
    <w:rsid w:val="12647A72"/>
    <w:rsid w:val="126A32DB"/>
    <w:rsid w:val="12704669"/>
    <w:rsid w:val="127E0B34"/>
    <w:rsid w:val="1283439D"/>
    <w:rsid w:val="129812A0"/>
    <w:rsid w:val="129E4D32"/>
    <w:rsid w:val="12A12A75"/>
    <w:rsid w:val="12A367ED"/>
    <w:rsid w:val="12A83E03"/>
    <w:rsid w:val="12A8795F"/>
    <w:rsid w:val="12AA7B7B"/>
    <w:rsid w:val="12B25CB7"/>
    <w:rsid w:val="12B46304"/>
    <w:rsid w:val="12BD71F7"/>
    <w:rsid w:val="12BE3627"/>
    <w:rsid w:val="12BE7183"/>
    <w:rsid w:val="12C10A21"/>
    <w:rsid w:val="12C80001"/>
    <w:rsid w:val="12C81DAF"/>
    <w:rsid w:val="12C86253"/>
    <w:rsid w:val="12CA1FCB"/>
    <w:rsid w:val="12CA5B28"/>
    <w:rsid w:val="12CD5618"/>
    <w:rsid w:val="12CD73C6"/>
    <w:rsid w:val="12D1335A"/>
    <w:rsid w:val="12D76496"/>
    <w:rsid w:val="12DE15D3"/>
    <w:rsid w:val="12E3308D"/>
    <w:rsid w:val="12E52961"/>
    <w:rsid w:val="12EA441C"/>
    <w:rsid w:val="12F40DF6"/>
    <w:rsid w:val="12F62DC0"/>
    <w:rsid w:val="12F928B1"/>
    <w:rsid w:val="12FB3F33"/>
    <w:rsid w:val="130152C1"/>
    <w:rsid w:val="130C4392"/>
    <w:rsid w:val="130D22FA"/>
    <w:rsid w:val="130F5C30"/>
    <w:rsid w:val="13117BFA"/>
    <w:rsid w:val="1312127D"/>
    <w:rsid w:val="13182D37"/>
    <w:rsid w:val="13191D25"/>
    <w:rsid w:val="131B2827"/>
    <w:rsid w:val="131E5E73"/>
    <w:rsid w:val="132004B7"/>
    <w:rsid w:val="13207E3D"/>
    <w:rsid w:val="132E255A"/>
    <w:rsid w:val="133631BD"/>
    <w:rsid w:val="13385187"/>
    <w:rsid w:val="13392CAD"/>
    <w:rsid w:val="133B6A25"/>
    <w:rsid w:val="133E02C4"/>
    <w:rsid w:val="133E6515"/>
    <w:rsid w:val="13426006"/>
    <w:rsid w:val="13427DB4"/>
    <w:rsid w:val="13433B2C"/>
    <w:rsid w:val="134E20A5"/>
    <w:rsid w:val="134F427F"/>
    <w:rsid w:val="13522BC6"/>
    <w:rsid w:val="13525B1D"/>
    <w:rsid w:val="135875D7"/>
    <w:rsid w:val="135D699C"/>
    <w:rsid w:val="135E2714"/>
    <w:rsid w:val="136046DE"/>
    <w:rsid w:val="136A10B9"/>
    <w:rsid w:val="136E2957"/>
    <w:rsid w:val="13702B73"/>
    <w:rsid w:val="13710699"/>
    <w:rsid w:val="13737F6D"/>
    <w:rsid w:val="13741F37"/>
    <w:rsid w:val="13756A6E"/>
    <w:rsid w:val="137837D5"/>
    <w:rsid w:val="137E1255"/>
    <w:rsid w:val="137F2DB6"/>
    <w:rsid w:val="138228A6"/>
    <w:rsid w:val="13824654"/>
    <w:rsid w:val="13857CA0"/>
    <w:rsid w:val="13877EBC"/>
    <w:rsid w:val="138A3509"/>
    <w:rsid w:val="138C7281"/>
    <w:rsid w:val="138E124B"/>
    <w:rsid w:val="138E4DA7"/>
    <w:rsid w:val="13900717"/>
    <w:rsid w:val="13904FC3"/>
    <w:rsid w:val="1393060F"/>
    <w:rsid w:val="13936861"/>
    <w:rsid w:val="139D148E"/>
    <w:rsid w:val="13A520F1"/>
    <w:rsid w:val="13A75E69"/>
    <w:rsid w:val="13A91BE1"/>
    <w:rsid w:val="13AA5959"/>
    <w:rsid w:val="13AA7707"/>
    <w:rsid w:val="13AC16D1"/>
    <w:rsid w:val="13B30CB1"/>
    <w:rsid w:val="13B567D8"/>
    <w:rsid w:val="13B660AC"/>
    <w:rsid w:val="13C0517C"/>
    <w:rsid w:val="13C06F2A"/>
    <w:rsid w:val="13C22CA3"/>
    <w:rsid w:val="13C24A51"/>
    <w:rsid w:val="13C407C9"/>
    <w:rsid w:val="13CE1647"/>
    <w:rsid w:val="13D11138"/>
    <w:rsid w:val="13D42198"/>
    <w:rsid w:val="13D529D6"/>
    <w:rsid w:val="13E26EA1"/>
    <w:rsid w:val="13E64BE3"/>
    <w:rsid w:val="13EE7E50"/>
    <w:rsid w:val="13F866C4"/>
    <w:rsid w:val="13FA243C"/>
    <w:rsid w:val="13FF3EF7"/>
    <w:rsid w:val="14055F2A"/>
    <w:rsid w:val="140B289C"/>
    <w:rsid w:val="140E5EE8"/>
    <w:rsid w:val="14107EB2"/>
    <w:rsid w:val="14110955"/>
    <w:rsid w:val="141259D8"/>
    <w:rsid w:val="14131750"/>
    <w:rsid w:val="14172FEE"/>
    <w:rsid w:val="14180B15"/>
    <w:rsid w:val="14184FB8"/>
    <w:rsid w:val="14186D67"/>
    <w:rsid w:val="141B23B3"/>
    <w:rsid w:val="141C6857"/>
    <w:rsid w:val="141F1EA3"/>
    <w:rsid w:val="14204272"/>
    <w:rsid w:val="14213E6D"/>
    <w:rsid w:val="14215C1B"/>
    <w:rsid w:val="14261483"/>
    <w:rsid w:val="142C45C0"/>
    <w:rsid w:val="142E65C5"/>
    <w:rsid w:val="14307D5E"/>
    <w:rsid w:val="143A0A8B"/>
    <w:rsid w:val="143C379A"/>
    <w:rsid w:val="144638D4"/>
    <w:rsid w:val="14467430"/>
    <w:rsid w:val="145002AE"/>
    <w:rsid w:val="14515DD5"/>
    <w:rsid w:val="14545F69"/>
    <w:rsid w:val="145F6743"/>
    <w:rsid w:val="14634486"/>
    <w:rsid w:val="146401FE"/>
    <w:rsid w:val="146E6986"/>
    <w:rsid w:val="147026FF"/>
    <w:rsid w:val="14726477"/>
    <w:rsid w:val="14771CDF"/>
    <w:rsid w:val="14795A57"/>
    <w:rsid w:val="147A6BB3"/>
    <w:rsid w:val="147D6BCA"/>
    <w:rsid w:val="147F0B94"/>
    <w:rsid w:val="148B578A"/>
    <w:rsid w:val="148D1503"/>
    <w:rsid w:val="148E0DD7"/>
    <w:rsid w:val="1494463F"/>
    <w:rsid w:val="149527D6"/>
    <w:rsid w:val="14991C55"/>
    <w:rsid w:val="149A777C"/>
    <w:rsid w:val="149E726C"/>
    <w:rsid w:val="14A3156B"/>
    <w:rsid w:val="14A625C4"/>
    <w:rsid w:val="14A979BF"/>
    <w:rsid w:val="14AD74AF"/>
    <w:rsid w:val="14B00D4D"/>
    <w:rsid w:val="14B52807"/>
    <w:rsid w:val="14B545B5"/>
    <w:rsid w:val="14BC3B96"/>
    <w:rsid w:val="14C2372B"/>
    <w:rsid w:val="14C34F24"/>
    <w:rsid w:val="14C52A4A"/>
    <w:rsid w:val="14C667C2"/>
    <w:rsid w:val="14CA62B3"/>
    <w:rsid w:val="14CB3DD9"/>
    <w:rsid w:val="14CD5DA3"/>
    <w:rsid w:val="14D42E81"/>
    <w:rsid w:val="14D902A4"/>
    <w:rsid w:val="14E153AA"/>
    <w:rsid w:val="14E804E7"/>
    <w:rsid w:val="14EC447B"/>
    <w:rsid w:val="14F41582"/>
    <w:rsid w:val="14F72E20"/>
    <w:rsid w:val="14FE41AE"/>
    <w:rsid w:val="150A66AF"/>
    <w:rsid w:val="150B2427"/>
    <w:rsid w:val="150D2643"/>
    <w:rsid w:val="151632A6"/>
    <w:rsid w:val="15211C4B"/>
    <w:rsid w:val="1528122B"/>
    <w:rsid w:val="15316332"/>
    <w:rsid w:val="15344B89"/>
    <w:rsid w:val="154107F7"/>
    <w:rsid w:val="15415E49"/>
    <w:rsid w:val="15437E13"/>
    <w:rsid w:val="154716B1"/>
    <w:rsid w:val="155344FA"/>
    <w:rsid w:val="1557566D"/>
    <w:rsid w:val="155F3D80"/>
    <w:rsid w:val="15610299"/>
    <w:rsid w:val="1565422D"/>
    <w:rsid w:val="15724254"/>
    <w:rsid w:val="157306F8"/>
    <w:rsid w:val="157F7058"/>
    <w:rsid w:val="15823615"/>
    <w:rsid w:val="158346B4"/>
    <w:rsid w:val="158A5A42"/>
    <w:rsid w:val="158A77F0"/>
    <w:rsid w:val="159468C1"/>
    <w:rsid w:val="15981F0D"/>
    <w:rsid w:val="159B7C4F"/>
    <w:rsid w:val="15A20FDE"/>
    <w:rsid w:val="15A703A2"/>
    <w:rsid w:val="15AB60E4"/>
    <w:rsid w:val="15AC59B8"/>
    <w:rsid w:val="15B14D7D"/>
    <w:rsid w:val="15BB3E4D"/>
    <w:rsid w:val="15BE749A"/>
    <w:rsid w:val="15C03212"/>
    <w:rsid w:val="15C27804"/>
    <w:rsid w:val="15C56A7A"/>
    <w:rsid w:val="15CE1DD3"/>
    <w:rsid w:val="15D26F24"/>
    <w:rsid w:val="15D849FF"/>
    <w:rsid w:val="15DA2525"/>
    <w:rsid w:val="15DD3DC4"/>
    <w:rsid w:val="15DD5B72"/>
    <w:rsid w:val="15E72E94"/>
    <w:rsid w:val="15F5735F"/>
    <w:rsid w:val="15F64E85"/>
    <w:rsid w:val="15FA4976"/>
    <w:rsid w:val="15FF3D3A"/>
    <w:rsid w:val="16013F56"/>
    <w:rsid w:val="1609105D"/>
    <w:rsid w:val="16092E0B"/>
    <w:rsid w:val="160E6673"/>
    <w:rsid w:val="16117F11"/>
    <w:rsid w:val="161A5018"/>
    <w:rsid w:val="161D6647"/>
    <w:rsid w:val="162437A1"/>
    <w:rsid w:val="162921DF"/>
    <w:rsid w:val="1629525B"/>
    <w:rsid w:val="162A4334"/>
    <w:rsid w:val="16302145"/>
    <w:rsid w:val="16366F6D"/>
    <w:rsid w:val="163A1216"/>
    <w:rsid w:val="163A700E"/>
    <w:rsid w:val="163C6D3C"/>
    <w:rsid w:val="16443E43"/>
    <w:rsid w:val="16493207"/>
    <w:rsid w:val="164E6A70"/>
    <w:rsid w:val="16520496"/>
    <w:rsid w:val="16565924"/>
    <w:rsid w:val="165C73DE"/>
    <w:rsid w:val="165D6CB3"/>
    <w:rsid w:val="16612C47"/>
    <w:rsid w:val="166718DF"/>
    <w:rsid w:val="16774218"/>
    <w:rsid w:val="167C538B"/>
    <w:rsid w:val="16897AA8"/>
    <w:rsid w:val="168B1A72"/>
    <w:rsid w:val="168D490F"/>
    <w:rsid w:val="168E1562"/>
    <w:rsid w:val="169052DA"/>
    <w:rsid w:val="169326D4"/>
    <w:rsid w:val="1696521E"/>
    <w:rsid w:val="169721C5"/>
    <w:rsid w:val="169A6994"/>
    <w:rsid w:val="169D12DA"/>
    <w:rsid w:val="16B56AEF"/>
    <w:rsid w:val="16B72867"/>
    <w:rsid w:val="16B97005"/>
    <w:rsid w:val="16BC60CF"/>
    <w:rsid w:val="16BC7E7D"/>
    <w:rsid w:val="16BF796D"/>
    <w:rsid w:val="16C15493"/>
    <w:rsid w:val="16C62AAA"/>
    <w:rsid w:val="16C86822"/>
    <w:rsid w:val="16CA259A"/>
    <w:rsid w:val="16CA6849"/>
    <w:rsid w:val="16D056D6"/>
    <w:rsid w:val="16D276A1"/>
    <w:rsid w:val="16DE1BA1"/>
    <w:rsid w:val="16E6314C"/>
    <w:rsid w:val="16E66CA8"/>
    <w:rsid w:val="16E93262"/>
    <w:rsid w:val="16EB42BE"/>
    <w:rsid w:val="16F21AF1"/>
    <w:rsid w:val="16FC26AB"/>
    <w:rsid w:val="16FC471D"/>
    <w:rsid w:val="1700420E"/>
    <w:rsid w:val="17045380"/>
    <w:rsid w:val="170610F8"/>
    <w:rsid w:val="170A0BE8"/>
    <w:rsid w:val="170B670F"/>
    <w:rsid w:val="170F26A3"/>
    <w:rsid w:val="17141A67"/>
    <w:rsid w:val="171C091C"/>
    <w:rsid w:val="17214184"/>
    <w:rsid w:val="17237EFC"/>
    <w:rsid w:val="172577D0"/>
    <w:rsid w:val="172A040E"/>
    <w:rsid w:val="172C5003"/>
    <w:rsid w:val="172D2B29"/>
    <w:rsid w:val="173043C7"/>
    <w:rsid w:val="17342109"/>
    <w:rsid w:val="1735378C"/>
    <w:rsid w:val="173739A8"/>
    <w:rsid w:val="17377504"/>
    <w:rsid w:val="173914CE"/>
    <w:rsid w:val="173E4D36"/>
    <w:rsid w:val="17400AAE"/>
    <w:rsid w:val="174340FA"/>
    <w:rsid w:val="17463BEB"/>
    <w:rsid w:val="17485BB5"/>
    <w:rsid w:val="174D4F79"/>
    <w:rsid w:val="17514A69"/>
    <w:rsid w:val="17532D50"/>
    <w:rsid w:val="17556281"/>
    <w:rsid w:val="17696E04"/>
    <w:rsid w:val="176F3141"/>
    <w:rsid w:val="1774180A"/>
    <w:rsid w:val="17780248"/>
    <w:rsid w:val="177E15D6"/>
    <w:rsid w:val="17836BED"/>
    <w:rsid w:val="17852965"/>
    <w:rsid w:val="178C784F"/>
    <w:rsid w:val="178D5376"/>
    <w:rsid w:val="178F0FE3"/>
    <w:rsid w:val="17936E30"/>
    <w:rsid w:val="179B5CE4"/>
    <w:rsid w:val="179D1A5D"/>
    <w:rsid w:val="17A4103D"/>
    <w:rsid w:val="17AA5F28"/>
    <w:rsid w:val="17AC7EF2"/>
    <w:rsid w:val="17B2302E"/>
    <w:rsid w:val="17B374D2"/>
    <w:rsid w:val="17B943BD"/>
    <w:rsid w:val="17B9616B"/>
    <w:rsid w:val="17BB6387"/>
    <w:rsid w:val="17BD3EAD"/>
    <w:rsid w:val="17C0399D"/>
    <w:rsid w:val="17C36FE9"/>
    <w:rsid w:val="17CA65CA"/>
    <w:rsid w:val="17CF1E32"/>
    <w:rsid w:val="17D15BAA"/>
    <w:rsid w:val="17D47448"/>
    <w:rsid w:val="17D80CE7"/>
    <w:rsid w:val="17D86F39"/>
    <w:rsid w:val="17DA4A5F"/>
    <w:rsid w:val="17DF2075"/>
    <w:rsid w:val="17E01949"/>
    <w:rsid w:val="17E12908"/>
    <w:rsid w:val="17E53404"/>
    <w:rsid w:val="17EA04AD"/>
    <w:rsid w:val="17EC02EE"/>
    <w:rsid w:val="17F81389"/>
    <w:rsid w:val="17F84EE5"/>
    <w:rsid w:val="17F92A0B"/>
    <w:rsid w:val="18056545"/>
    <w:rsid w:val="180A2E6A"/>
    <w:rsid w:val="180E295A"/>
    <w:rsid w:val="1812308C"/>
    <w:rsid w:val="18153CE9"/>
    <w:rsid w:val="1816180F"/>
    <w:rsid w:val="181635BD"/>
    <w:rsid w:val="18185587"/>
    <w:rsid w:val="18253800"/>
    <w:rsid w:val="182A0E16"/>
    <w:rsid w:val="182C1032"/>
    <w:rsid w:val="182C2DE0"/>
    <w:rsid w:val="18333BE2"/>
    <w:rsid w:val="18371EB1"/>
    <w:rsid w:val="183A374F"/>
    <w:rsid w:val="183D2675"/>
    <w:rsid w:val="183F0D66"/>
    <w:rsid w:val="18455D16"/>
    <w:rsid w:val="184B14B9"/>
    <w:rsid w:val="184C6FDF"/>
    <w:rsid w:val="184E2D57"/>
    <w:rsid w:val="18552337"/>
    <w:rsid w:val="18602A8A"/>
    <w:rsid w:val="18664544"/>
    <w:rsid w:val="18695DE3"/>
    <w:rsid w:val="186C6B83"/>
    <w:rsid w:val="186E33F9"/>
    <w:rsid w:val="18714C97"/>
    <w:rsid w:val="18716A45"/>
    <w:rsid w:val="187327BD"/>
    <w:rsid w:val="18784278"/>
    <w:rsid w:val="18866995"/>
    <w:rsid w:val="18876269"/>
    <w:rsid w:val="1890511D"/>
    <w:rsid w:val="189664AC"/>
    <w:rsid w:val="189D311D"/>
    <w:rsid w:val="18A02EA1"/>
    <w:rsid w:val="18A62B93"/>
    <w:rsid w:val="18A84B5D"/>
    <w:rsid w:val="18B03A11"/>
    <w:rsid w:val="18B232E6"/>
    <w:rsid w:val="18B352B0"/>
    <w:rsid w:val="18B52DD6"/>
    <w:rsid w:val="18C26F87"/>
    <w:rsid w:val="18C272A1"/>
    <w:rsid w:val="18C82B09"/>
    <w:rsid w:val="18CD45C3"/>
    <w:rsid w:val="18CD4A8F"/>
    <w:rsid w:val="18D25736"/>
    <w:rsid w:val="18D45952"/>
    <w:rsid w:val="18D55226"/>
    <w:rsid w:val="18DA6CE0"/>
    <w:rsid w:val="18E3103A"/>
    <w:rsid w:val="18E35B95"/>
    <w:rsid w:val="18E45469"/>
    <w:rsid w:val="18E71F41"/>
    <w:rsid w:val="18E84F59"/>
    <w:rsid w:val="18F002B2"/>
    <w:rsid w:val="18F71640"/>
    <w:rsid w:val="18F7519C"/>
    <w:rsid w:val="18F953B8"/>
    <w:rsid w:val="18FA6A3B"/>
    <w:rsid w:val="19031D93"/>
    <w:rsid w:val="190D49C0"/>
    <w:rsid w:val="190E24E6"/>
    <w:rsid w:val="19120228"/>
    <w:rsid w:val="19153875"/>
    <w:rsid w:val="191915B7"/>
    <w:rsid w:val="191C10A7"/>
    <w:rsid w:val="192166BD"/>
    <w:rsid w:val="192561AE"/>
    <w:rsid w:val="192B3098"/>
    <w:rsid w:val="192C105B"/>
    <w:rsid w:val="192F2B88"/>
    <w:rsid w:val="19357C9E"/>
    <w:rsid w:val="19391A60"/>
    <w:rsid w:val="193F4F65"/>
    <w:rsid w:val="1944394C"/>
    <w:rsid w:val="19467ED2"/>
    <w:rsid w:val="194B54E8"/>
    <w:rsid w:val="19516FA3"/>
    <w:rsid w:val="195645B9"/>
    <w:rsid w:val="195720DF"/>
    <w:rsid w:val="195A572B"/>
    <w:rsid w:val="195D42D9"/>
    <w:rsid w:val="195E346D"/>
    <w:rsid w:val="19622F5E"/>
    <w:rsid w:val="19662322"/>
    <w:rsid w:val="196A1E12"/>
    <w:rsid w:val="196C11FD"/>
    <w:rsid w:val="197762DD"/>
    <w:rsid w:val="197C38F4"/>
    <w:rsid w:val="197E766C"/>
    <w:rsid w:val="19801636"/>
    <w:rsid w:val="19836A30"/>
    <w:rsid w:val="19856C4C"/>
    <w:rsid w:val="198C07E7"/>
    <w:rsid w:val="198D3D53"/>
    <w:rsid w:val="198D5B01"/>
    <w:rsid w:val="198F3627"/>
    <w:rsid w:val="198F7ACB"/>
    <w:rsid w:val="19924EC5"/>
    <w:rsid w:val="199450E1"/>
    <w:rsid w:val="19962C07"/>
    <w:rsid w:val="199C7AF2"/>
    <w:rsid w:val="199E386A"/>
    <w:rsid w:val="19A05834"/>
    <w:rsid w:val="19A603A4"/>
    <w:rsid w:val="19A60971"/>
    <w:rsid w:val="19AA0461"/>
    <w:rsid w:val="19BB266E"/>
    <w:rsid w:val="19C21C4E"/>
    <w:rsid w:val="19C534ED"/>
    <w:rsid w:val="19C71013"/>
    <w:rsid w:val="19C84D8B"/>
    <w:rsid w:val="19CE05F3"/>
    <w:rsid w:val="19D674A8"/>
    <w:rsid w:val="19D84FCE"/>
    <w:rsid w:val="19E5593D"/>
    <w:rsid w:val="19E8010F"/>
    <w:rsid w:val="19EC0A79"/>
    <w:rsid w:val="19ED659F"/>
    <w:rsid w:val="19EE47F1"/>
    <w:rsid w:val="19F142E2"/>
    <w:rsid w:val="1A02029D"/>
    <w:rsid w:val="1A073B05"/>
    <w:rsid w:val="1A085187"/>
    <w:rsid w:val="1A0A5C1B"/>
    <w:rsid w:val="1A0C2EC9"/>
    <w:rsid w:val="1A0F6516"/>
    <w:rsid w:val="1A182717"/>
    <w:rsid w:val="1A1A7931"/>
    <w:rsid w:val="1A206975"/>
    <w:rsid w:val="1A253F8B"/>
    <w:rsid w:val="1A255D39"/>
    <w:rsid w:val="1A323A0D"/>
    <w:rsid w:val="1A330456"/>
    <w:rsid w:val="1A332204"/>
    <w:rsid w:val="1A381F10"/>
    <w:rsid w:val="1A3F504D"/>
    <w:rsid w:val="1A3F6DFB"/>
    <w:rsid w:val="1A400DC5"/>
    <w:rsid w:val="1A422244"/>
    <w:rsid w:val="1A472154"/>
    <w:rsid w:val="1A495ECC"/>
    <w:rsid w:val="1A512FD2"/>
    <w:rsid w:val="1A534654"/>
    <w:rsid w:val="1A554870"/>
    <w:rsid w:val="1A587EBD"/>
    <w:rsid w:val="1A5B79AD"/>
    <w:rsid w:val="1A613215"/>
    <w:rsid w:val="1A62206C"/>
    <w:rsid w:val="1A6525DA"/>
    <w:rsid w:val="1A654388"/>
    <w:rsid w:val="1A6B13B6"/>
    <w:rsid w:val="1A6C5716"/>
    <w:rsid w:val="1A6E76E0"/>
    <w:rsid w:val="1A7016AA"/>
    <w:rsid w:val="1A7647E7"/>
    <w:rsid w:val="1A7B1124"/>
    <w:rsid w:val="1A7D7923"/>
    <w:rsid w:val="1A815666"/>
    <w:rsid w:val="1A8567D8"/>
    <w:rsid w:val="1A8A3DEE"/>
    <w:rsid w:val="1A8C7B66"/>
    <w:rsid w:val="1A8E38DF"/>
    <w:rsid w:val="1A9544D2"/>
    <w:rsid w:val="1A9C249F"/>
    <w:rsid w:val="1AA72BF2"/>
    <w:rsid w:val="1AAD64AC"/>
    <w:rsid w:val="1AB84DFF"/>
    <w:rsid w:val="1ABC48F0"/>
    <w:rsid w:val="1ABD10E8"/>
    <w:rsid w:val="1ABD2416"/>
    <w:rsid w:val="1AC45552"/>
    <w:rsid w:val="1AC63078"/>
    <w:rsid w:val="1AC6751C"/>
    <w:rsid w:val="1ACE4623"/>
    <w:rsid w:val="1AD11A1D"/>
    <w:rsid w:val="1ADC289C"/>
    <w:rsid w:val="1ADD03C2"/>
    <w:rsid w:val="1ADD6614"/>
    <w:rsid w:val="1ADE4866"/>
    <w:rsid w:val="1AE300CE"/>
    <w:rsid w:val="1AE6196C"/>
    <w:rsid w:val="1AE81CB5"/>
    <w:rsid w:val="1AE856E5"/>
    <w:rsid w:val="1AED2CFB"/>
    <w:rsid w:val="1AF000F5"/>
    <w:rsid w:val="1AF23E6D"/>
    <w:rsid w:val="1AF776D6"/>
    <w:rsid w:val="1AF8515B"/>
    <w:rsid w:val="1AFF2A2E"/>
    <w:rsid w:val="1B041DF3"/>
    <w:rsid w:val="1B100797"/>
    <w:rsid w:val="1B1069E9"/>
    <w:rsid w:val="1B1A121B"/>
    <w:rsid w:val="1B1A4CED"/>
    <w:rsid w:val="1B2256DA"/>
    <w:rsid w:val="1B252495"/>
    <w:rsid w:val="1B304996"/>
    <w:rsid w:val="1B3B1B1A"/>
    <w:rsid w:val="1B414DF5"/>
    <w:rsid w:val="1B440441"/>
    <w:rsid w:val="1B444488"/>
    <w:rsid w:val="1B46240B"/>
    <w:rsid w:val="1B4A1EFB"/>
    <w:rsid w:val="1B4E306E"/>
    <w:rsid w:val="1B520DB0"/>
    <w:rsid w:val="1B522B5E"/>
    <w:rsid w:val="1B5543FC"/>
    <w:rsid w:val="1B6034CD"/>
    <w:rsid w:val="1B632FBD"/>
    <w:rsid w:val="1B697EA8"/>
    <w:rsid w:val="1B6C00C4"/>
    <w:rsid w:val="1B6D5BEA"/>
    <w:rsid w:val="1B6F54BE"/>
    <w:rsid w:val="1B701236"/>
    <w:rsid w:val="1B724FAE"/>
    <w:rsid w:val="1B754A9E"/>
    <w:rsid w:val="1B776A68"/>
    <w:rsid w:val="1B7927E1"/>
    <w:rsid w:val="1B79458F"/>
    <w:rsid w:val="1B7A20B5"/>
    <w:rsid w:val="1B851185"/>
    <w:rsid w:val="1B854CE1"/>
    <w:rsid w:val="1B8D1DE8"/>
    <w:rsid w:val="1B8F5B60"/>
    <w:rsid w:val="1B9227DD"/>
    <w:rsid w:val="1B95289F"/>
    <w:rsid w:val="1B96569E"/>
    <w:rsid w:val="1B9B4505"/>
    <w:rsid w:val="1B9C64CF"/>
    <w:rsid w:val="1BAB226E"/>
    <w:rsid w:val="1BB6133F"/>
    <w:rsid w:val="1BB67591"/>
    <w:rsid w:val="1BB9498B"/>
    <w:rsid w:val="1BBB6955"/>
    <w:rsid w:val="1BBC061B"/>
    <w:rsid w:val="1BC17CE4"/>
    <w:rsid w:val="1BC3580A"/>
    <w:rsid w:val="1BD9502D"/>
    <w:rsid w:val="1BDD2D6F"/>
    <w:rsid w:val="1BE063BC"/>
    <w:rsid w:val="1BE20386"/>
    <w:rsid w:val="1BE340FE"/>
    <w:rsid w:val="1BE35EAC"/>
    <w:rsid w:val="1BED7449"/>
    <w:rsid w:val="1BF81957"/>
    <w:rsid w:val="1BF8455C"/>
    <w:rsid w:val="1C006A5E"/>
    <w:rsid w:val="1C0227D6"/>
    <w:rsid w:val="1C0C0F5F"/>
    <w:rsid w:val="1C0D4535"/>
    <w:rsid w:val="1C0D4CD7"/>
    <w:rsid w:val="1C0F6CA1"/>
    <w:rsid w:val="1C177904"/>
    <w:rsid w:val="1C1918CE"/>
    <w:rsid w:val="1C1D13BE"/>
    <w:rsid w:val="1C1D316C"/>
    <w:rsid w:val="1C213768"/>
    <w:rsid w:val="1C2269D4"/>
    <w:rsid w:val="1C27223D"/>
    <w:rsid w:val="1C275D99"/>
    <w:rsid w:val="1C2F2E9F"/>
    <w:rsid w:val="1C3109C5"/>
    <w:rsid w:val="1C3246ED"/>
    <w:rsid w:val="1C346708"/>
    <w:rsid w:val="1C414F39"/>
    <w:rsid w:val="1C435672"/>
    <w:rsid w:val="1C452B63"/>
    <w:rsid w:val="1C4E1577"/>
    <w:rsid w:val="1C5172BA"/>
    <w:rsid w:val="1C56042C"/>
    <w:rsid w:val="1C5648D0"/>
    <w:rsid w:val="1C597F1C"/>
    <w:rsid w:val="1C5C1B50"/>
    <w:rsid w:val="1C5D5C5E"/>
    <w:rsid w:val="1C60574F"/>
    <w:rsid w:val="1C6074FD"/>
    <w:rsid w:val="1C646FED"/>
    <w:rsid w:val="1C67047C"/>
    <w:rsid w:val="1C676ADD"/>
    <w:rsid w:val="1C69015F"/>
    <w:rsid w:val="1C6A3ED7"/>
    <w:rsid w:val="1C6C5EA1"/>
    <w:rsid w:val="1C6E1C1A"/>
    <w:rsid w:val="1C7134B8"/>
    <w:rsid w:val="1C77099E"/>
    <w:rsid w:val="1C8B457A"/>
    <w:rsid w:val="1C8E7BC6"/>
    <w:rsid w:val="1C9176B6"/>
    <w:rsid w:val="1C922D83"/>
    <w:rsid w:val="1C956B84"/>
    <w:rsid w:val="1C962F1E"/>
    <w:rsid w:val="1C964CCC"/>
    <w:rsid w:val="1C986C96"/>
    <w:rsid w:val="1C9A47BD"/>
    <w:rsid w:val="1C9F1DD3"/>
    <w:rsid w:val="1CA05B4B"/>
    <w:rsid w:val="1CA23671"/>
    <w:rsid w:val="1CA3357F"/>
    <w:rsid w:val="1CA473E9"/>
    <w:rsid w:val="1CA94A00"/>
    <w:rsid w:val="1CAD6CD0"/>
    <w:rsid w:val="1CAE2016"/>
    <w:rsid w:val="1CB11B06"/>
    <w:rsid w:val="1CB17D58"/>
    <w:rsid w:val="1CB6536F"/>
    <w:rsid w:val="1CBB4733"/>
    <w:rsid w:val="1CCE1247"/>
    <w:rsid w:val="1CDC3027"/>
    <w:rsid w:val="1CDD0B4D"/>
    <w:rsid w:val="1CDD3710"/>
    <w:rsid w:val="1CE912A0"/>
    <w:rsid w:val="1CEE2D5A"/>
    <w:rsid w:val="1CEF7619"/>
    <w:rsid w:val="1CEF77DE"/>
    <w:rsid w:val="1CF55E97"/>
    <w:rsid w:val="1CF814E3"/>
    <w:rsid w:val="1CFC7225"/>
    <w:rsid w:val="1CFE11EF"/>
    <w:rsid w:val="1D012A8E"/>
    <w:rsid w:val="1D01483C"/>
    <w:rsid w:val="1D0205B4"/>
    <w:rsid w:val="1D0354D9"/>
    <w:rsid w:val="1D06266A"/>
    <w:rsid w:val="1D063C00"/>
    <w:rsid w:val="1D0B7468"/>
    <w:rsid w:val="1D0D31E0"/>
    <w:rsid w:val="1D1327C1"/>
    <w:rsid w:val="1D13456F"/>
    <w:rsid w:val="1D175E0D"/>
    <w:rsid w:val="1D1A3B4F"/>
    <w:rsid w:val="1D1C1676"/>
    <w:rsid w:val="1D1F4CC2"/>
    <w:rsid w:val="1D2422D8"/>
    <w:rsid w:val="1D2642A2"/>
    <w:rsid w:val="1D266050"/>
    <w:rsid w:val="1D33076D"/>
    <w:rsid w:val="1D3544E5"/>
    <w:rsid w:val="1D383A92"/>
    <w:rsid w:val="1D383FD6"/>
    <w:rsid w:val="1D3F7112"/>
    <w:rsid w:val="1D436C02"/>
    <w:rsid w:val="1D491D3F"/>
    <w:rsid w:val="1D497F91"/>
    <w:rsid w:val="1D4D182F"/>
    <w:rsid w:val="1D4F1A4B"/>
    <w:rsid w:val="1D540E0F"/>
    <w:rsid w:val="1D65301C"/>
    <w:rsid w:val="1D682B0D"/>
    <w:rsid w:val="1D6D3C7F"/>
    <w:rsid w:val="1D7243CD"/>
    <w:rsid w:val="1D743260"/>
    <w:rsid w:val="1D74500E"/>
    <w:rsid w:val="1D750D86"/>
    <w:rsid w:val="1D772D50"/>
    <w:rsid w:val="1D790876"/>
    <w:rsid w:val="1D94745E"/>
    <w:rsid w:val="1D976F4E"/>
    <w:rsid w:val="1D9B6A3E"/>
    <w:rsid w:val="1D9C6312"/>
    <w:rsid w:val="1DA07278"/>
    <w:rsid w:val="1DA358F3"/>
    <w:rsid w:val="1DA376A1"/>
    <w:rsid w:val="1DAF05D6"/>
    <w:rsid w:val="1DAF6046"/>
    <w:rsid w:val="1DB45D52"/>
    <w:rsid w:val="1DBC4C07"/>
    <w:rsid w:val="1DBE097F"/>
    <w:rsid w:val="1DC6338F"/>
    <w:rsid w:val="1DCB6BF8"/>
    <w:rsid w:val="1DCF66E8"/>
    <w:rsid w:val="1DD2442A"/>
    <w:rsid w:val="1DD261D8"/>
    <w:rsid w:val="1DDB32DF"/>
    <w:rsid w:val="1DDE4B7D"/>
    <w:rsid w:val="1DE06B47"/>
    <w:rsid w:val="1DEF6D8A"/>
    <w:rsid w:val="1DF20628"/>
    <w:rsid w:val="1DF223D6"/>
    <w:rsid w:val="1DF779ED"/>
    <w:rsid w:val="1DF93765"/>
    <w:rsid w:val="1E002D45"/>
    <w:rsid w:val="1E085F02"/>
    <w:rsid w:val="1E0D7210"/>
    <w:rsid w:val="1E0F11DA"/>
    <w:rsid w:val="1E152F17"/>
    <w:rsid w:val="1E1543DE"/>
    <w:rsid w:val="1E1B192D"/>
    <w:rsid w:val="1E1B7B9A"/>
    <w:rsid w:val="1E1D56A5"/>
    <w:rsid w:val="1E1E31CB"/>
    <w:rsid w:val="1E205195"/>
    <w:rsid w:val="1E256308"/>
    <w:rsid w:val="1E2C7696"/>
    <w:rsid w:val="1E3173A3"/>
    <w:rsid w:val="1E360515"/>
    <w:rsid w:val="1E3B1FCF"/>
    <w:rsid w:val="1E3E561C"/>
    <w:rsid w:val="1E4A0464"/>
    <w:rsid w:val="1E4E3AB1"/>
    <w:rsid w:val="1E5F6569"/>
    <w:rsid w:val="1E62755C"/>
    <w:rsid w:val="1E636E30"/>
    <w:rsid w:val="1E664332"/>
    <w:rsid w:val="1E695FED"/>
    <w:rsid w:val="1E71154D"/>
    <w:rsid w:val="1E71779F"/>
    <w:rsid w:val="1E733517"/>
    <w:rsid w:val="1E7554E1"/>
    <w:rsid w:val="1E780D78"/>
    <w:rsid w:val="1E7A1067"/>
    <w:rsid w:val="1E7A2AF8"/>
    <w:rsid w:val="1E854FF8"/>
    <w:rsid w:val="1E871490"/>
    <w:rsid w:val="1E8A6AB3"/>
    <w:rsid w:val="1E8C282B"/>
    <w:rsid w:val="1E8E65A3"/>
    <w:rsid w:val="1E91399D"/>
    <w:rsid w:val="1E9242EB"/>
    <w:rsid w:val="1E937238"/>
    <w:rsid w:val="1E967206"/>
    <w:rsid w:val="1E9D2342"/>
    <w:rsid w:val="1E9F255E"/>
    <w:rsid w:val="1EA41923"/>
    <w:rsid w:val="1EA9518B"/>
    <w:rsid w:val="1EAC6A29"/>
    <w:rsid w:val="1EAD6AC7"/>
    <w:rsid w:val="1EAE09F3"/>
    <w:rsid w:val="1EB12291"/>
    <w:rsid w:val="1EBA2EF4"/>
    <w:rsid w:val="1EC65D3D"/>
    <w:rsid w:val="1ED55F80"/>
    <w:rsid w:val="1EDE624F"/>
    <w:rsid w:val="1EDF295B"/>
    <w:rsid w:val="1EE14925"/>
    <w:rsid w:val="1EE2069D"/>
    <w:rsid w:val="1EE241F9"/>
    <w:rsid w:val="1EE52BF7"/>
    <w:rsid w:val="1EE6018D"/>
    <w:rsid w:val="1EE61C9C"/>
    <w:rsid w:val="1EE61F3B"/>
    <w:rsid w:val="1EE7180F"/>
    <w:rsid w:val="1EE91A2B"/>
    <w:rsid w:val="1EF328AA"/>
    <w:rsid w:val="1EF5217E"/>
    <w:rsid w:val="1EF54DB0"/>
    <w:rsid w:val="1EFD7285"/>
    <w:rsid w:val="1F071EB1"/>
    <w:rsid w:val="1F073C5F"/>
    <w:rsid w:val="1F0829B6"/>
    <w:rsid w:val="1F114ADE"/>
    <w:rsid w:val="1F134CFA"/>
    <w:rsid w:val="1F136AA8"/>
    <w:rsid w:val="1F1A7E37"/>
    <w:rsid w:val="1F1C3BAF"/>
    <w:rsid w:val="1F226CEB"/>
    <w:rsid w:val="1F2E5690"/>
    <w:rsid w:val="1F374545"/>
    <w:rsid w:val="1F43738D"/>
    <w:rsid w:val="1F4710D9"/>
    <w:rsid w:val="1F481CE3"/>
    <w:rsid w:val="1F4B7FF0"/>
    <w:rsid w:val="1F505606"/>
    <w:rsid w:val="1F574BE7"/>
    <w:rsid w:val="1F5C044F"/>
    <w:rsid w:val="1F5E41C7"/>
    <w:rsid w:val="1F617814"/>
    <w:rsid w:val="1F62533A"/>
    <w:rsid w:val="1F686DF4"/>
    <w:rsid w:val="1F6A2B6C"/>
    <w:rsid w:val="1F6B41EE"/>
    <w:rsid w:val="1F703516"/>
    <w:rsid w:val="1F750284"/>
    <w:rsid w:val="1F7532BF"/>
    <w:rsid w:val="1F777037"/>
    <w:rsid w:val="1F7C0BD3"/>
    <w:rsid w:val="1F8359DC"/>
    <w:rsid w:val="1F861028"/>
    <w:rsid w:val="1F896D6A"/>
    <w:rsid w:val="1F974FE3"/>
    <w:rsid w:val="1F9A4AD4"/>
    <w:rsid w:val="1F9E45C4"/>
    <w:rsid w:val="1F9F033C"/>
    <w:rsid w:val="1FA37E2C"/>
    <w:rsid w:val="1FA616CA"/>
    <w:rsid w:val="1FAD2A59"/>
    <w:rsid w:val="1FB45B95"/>
    <w:rsid w:val="1FB65DB1"/>
    <w:rsid w:val="1FB75686"/>
    <w:rsid w:val="1FBC0EEE"/>
    <w:rsid w:val="1FBE4C66"/>
    <w:rsid w:val="1FC16504"/>
    <w:rsid w:val="1FCF6E73"/>
    <w:rsid w:val="1FD2426D"/>
    <w:rsid w:val="1FD442EC"/>
    <w:rsid w:val="1FD955FC"/>
    <w:rsid w:val="1FDB15EE"/>
    <w:rsid w:val="1FDC333E"/>
    <w:rsid w:val="1FE12702"/>
    <w:rsid w:val="1FE67D19"/>
    <w:rsid w:val="1FE95082"/>
    <w:rsid w:val="1FEA7809"/>
    <w:rsid w:val="1FF00B97"/>
    <w:rsid w:val="1FF64400"/>
    <w:rsid w:val="1FFB1A16"/>
    <w:rsid w:val="1FFC753C"/>
    <w:rsid w:val="20052895"/>
    <w:rsid w:val="20054643"/>
    <w:rsid w:val="200A1C59"/>
    <w:rsid w:val="20112FE8"/>
    <w:rsid w:val="20124FB2"/>
    <w:rsid w:val="20126D60"/>
    <w:rsid w:val="201900EE"/>
    <w:rsid w:val="202076CF"/>
    <w:rsid w:val="20230F6D"/>
    <w:rsid w:val="20252AFD"/>
    <w:rsid w:val="202606FD"/>
    <w:rsid w:val="2027280B"/>
    <w:rsid w:val="20286583"/>
    <w:rsid w:val="202A5E57"/>
    <w:rsid w:val="202D1DEC"/>
    <w:rsid w:val="202F16C0"/>
    <w:rsid w:val="203211B0"/>
    <w:rsid w:val="20340A84"/>
    <w:rsid w:val="20362A4E"/>
    <w:rsid w:val="203647FC"/>
    <w:rsid w:val="203D202F"/>
    <w:rsid w:val="204333BD"/>
    <w:rsid w:val="20450EE3"/>
    <w:rsid w:val="204809D3"/>
    <w:rsid w:val="204D1B46"/>
    <w:rsid w:val="20541126"/>
    <w:rsid w:val="20564E9E"/>
    <w:rsid w:val="2059498F"/>
    <w:rsid w:val="205E2895"/>
    <w:rsid w:val="2063580D"/>
    <w:rsid w:val="20642787"/>
    <w:rsid w:val="206C6470"/>
    <w:rsid w:val="20761FAC"/>
    <w:rsid w:val="20784E15"/>
    <w:rsid w:val="20801F1B"/>
    <w:rsid w:val="20827A42"/>
    <w:rsid w:val="20895274"/>
    <w:rsid w:val="208A67A9"/>
    <w:rsid w:val="20914128"/>
    <w:rsid w:val="20987265"/>
    <w:rsid w:val="20994D8B"/>
    <w:rsid w:val="20A0436C"/>
    <w:rsid w:val="20A16929"/>
    <w:rsid w:val="20AC4ABE"/>
    <w:rsid w:val="20AE273E"/>
    <w:rsid w:val="20BE47F2"/>
    <w:rsid w:val="20C0056A"/>
    <w:rsid w:val="20C444FE"/>
    <w:rsid w:val="20C55B80"/>
    <w:rsid w:val="20CC6F0F"/>
    <w:rsid w:val="20CE0ED9"/>
    <w:rsid w:val="20CE2AF5"/>
    <w:rsid w:val="20D9162C"/>
    <w:rsid w:val="20E56222"/>
    <w:rsid w:val="20E60ACF"/>
    <w:rsid w:val="20E701EC"/>
    <w:rsid w:val="20F070A1"/>
    <w:rsid w:val="20F16975"/>
    <w:rsid w:val="20F546B7"/>
    <w:rsid w:val="20FA1CCE"/>
    <w:rsid w:val="20FC3C98"/>
    <w:rsid w:val="20FF72E4"/>
    <w:rsid w:val="21004E0A"/>
    <w:rsid w:val="21022930"/>
    <w:rsid w:val="210C1A01"/>
    <w:rsid w:val="210E5779"/>
    <w:rsid w:val="21110DC5"/>
    <w:rsid w:val="21134B3E"/>
    <w:rsid w:val="211B39F2"/>
    <w:rsid w:val="21246D4B"/>
    <w:rsid w:val="21260D15"/>
    <w:rsid w:val="2129610F"/>
    <w:rsid w:val="212A0BF1"/>
    <w:rsid w:val="212B2081"/>
    <w:rsid w:val="212E0A02"/>
    <w:rsid w:val="21354AB4"/>
    <w:rsid w:val="214116AB"/>
    <w:rsid w:val="21423675"/>
    <w:rsid w:val="215238B8"/>
    <w:rsid w:val="215533A8"/>
    <w:rsid w:val="215C4736"/>
    <w:rsid w:val="215D225D"/>
    <w:rsid w:val="215D400B"/>
    <w:rsid w:val="21627873"/>
    <w:rsid w:val="21674E89"/>
    <w:rsid w:val="21690C01"/>
    <w:rsid w:val="216B4B36"/>
    <w:rsid w:val="2177331E"/>
    <w:rsid w:val="217750CC"/>
    <w:rsid w:val="217952E8"/>
    <w:rsid w:val="217D1928"/>
    <w:rsid w:val="217D645B"/>
    <w:rsid w:val="217F21D3"/>
    <w:rsid w:val="21815F4B"/>
    <w:rsid w:val="21846C2A"/>
    <w:rsid w:val="218477E9"/>
    <w:rsid w:val="2186530F"/>
    <w:rsid w:val="218B501C"/>
    <w:rsid w:val="218C669E"/>
    <w:rsid w:val="21920158"/>
    <w:rsid w:val="219312BA"/>
    <w:rsid w:val="21933ED0"/>
    <w:rsid w:val="219C0FD7"/>
    <w:rsid w:val="219E4D4F"/>
    <w:rsid w:val="219F0AC7"/>
    <w:rsid w:val="21A25EC1"/>
    <w:rsid w:val="21A47E8B"/>
    <w:rsid w:val="21A659B2"/>
    <w:rsid w:val="21A734D8"/>
    <w:rsid w:val="21AA36F4"/>
    <w:rsid w:val="21AE4866"/>
    <w:rsid w:val="21B75E11"/>
    <w:rsid w:val="21BC51D5"/>
    <w:rsid w:val="21BF6A73"/>
    <w:rsid w:val="21C978F2"/>
    <w:rsid w:val="21D4251F"/>
    <w:rsid w:val="21D7200F"/>
    <w:rsid w:val="21D97B35"/>
    <w:rsid w:val="21DC5877"/>
    <w:rsid w:val="21DF2B6D"/>
    <w:rsid w:val="21E843CC"/>
    <w:rsid w:val="21EB1616"/>
    <w:rsid w:val="21ED538F"/>
    <w:rsid w:val="21F273B2"/>
    <w:rsid w:val="21F726B1"/>
    <w:rsid w:val="21F7445F"/>
    <w:rsid w:val="21FA7AAB"/>
    <w:rsid w:val="220A23E4"/>
    <w:rsid w:val="220D3C83"/>
    <w:rsid w:val="22105521"/>
    <w:rsid w:val="221548E5"/>
    <w:rsid w:val="2217065D"/>
    <w:rsid w:val="2217240B"/>
    <w:rsid w:val="221B63A0"/>
    <w:rsid w:val="221E19EC"/>
    <w:rsid w:val="222334A6"/>
    <w:rsid w:val="222B119F"/>
    <w:rsid w:val="222D60D3"/>
    <w:rsid w:val="22325497"/>
    <w:rsid w:val="223B434C"/>
    <w:rsid w:val="223E208E"/>
    <w:rsid w:val="223E7944"/>
    <w:rsid w:val="22433200"/>
    <w:rsid w:val="22462CF1"/>
    <w:rsid w:val="22484CBB"/>
    <w:rsid w:val="224D22D1"/>
    <w:rsid w:val="2250591D"/>
    <w:rsid w:val="22521696"/>
    <w:rsid w:val="225418B2"/>
    <w:rsid w:val="22543660"/>
    <w:rsid w:val="225B49EE"/>
    <w:rsid w:val="226513C9"/>
    <w:rsid w:val="22680EB9"/>
    <w:rsid w:val="226A2E83"/>
    <w:rsid w:val="226C09A9"/>
    <w:rsid w:val="226F3FF6"/>
    <w:rsid w:val="22804455"/>
    <w:rsid w:val="22813D29"/>
    <w:rsid w:val="22837AA1"/>
    <w:rsid w:val="22851A6B"/>
    <w:rsid w:val="229121BE"/>
    <w:rsid w:val="229363AD"/>
    <w:rsid w:val="22965A26"/>
    <w:rsid w:val="229816E8"/>
    <w:rsid w:val="229D0C0C"/>
    <w:rsid w:val="22A04AF7"/>
    <w:rsid w:val="22A068A5"/>
    <w:rsid w:val="22B1460E"/>
    <w:rsid w:val="22B32E1E"/>
    <w:rsid w:val="22BB723B"/>
    <w:rsid w:val="22C75BE0"/>
    <w:rsid w:val="22CC31F6"/>
    <w:rsid w:val="22CE3412"/>
    <w:rsid w:val="22D327D6"/>
    <w:rsid w:val="22D447A0"/>
    <w:rsid w:val="22D622C7"/>
    <w:rsid w:val="22D87DED"/>
    <w:rsid w:val="22D95913"/>
    <w:rsid w:val="22DA1DB7"/>
    <w:rsid w:val="22DD5403"/>
    <w:rsid w:val="22DF561F"/>
    <w:rsid w:val="22E20C6B"/>
    <w:rsid w:val="22E471B1"/>
    <w:rsid w:val="22E76282"/>
    <w:rsid w:val="22F4274D"/>
    <w:rsid w:val="22F8223D"/>
    <w:rsid w:val="22FB3ADB"/>
    <w:rsid w:val="23040BE2"/>
    <w:rsid w:val="230564EA"/>
    <w:rsid w:val="23056708"/>
    <w:rsid w:val="230706D2"/>
    <w:rsid w:val="230C5CE8"/>
    <w:rsid w:val="23103A2A"/>
    <w:rsid w:val="231057D9"/>
    <w:rsid w:val="231150AD"/>
    <w:rsid w:val="231177A3"/>
    <w:rsid w:val="23160915"/>
    <w:rsid w:val="232079E6"/>
    <w:rsid w:val="23227153"/>
    <w:rsid w:val="232748D0"/>
    <w:rsid w:val="232F19D7"/>
    <w:rsid w:val="23306766"/>
    <w:rsid w:val="233A4603"/>
    <w:rsid w:val="233D0598"/>
    <w:rsid w:val="23425BAE"/>
    <w:rsid w:val="2342795C"/>
    <w:rsid w:val="23427BCD"/>
    <w:rsid w:val="234C2589"/>
    <w:rsid w:val="234D756F"/>
    <w:rsid w:val="234E00AF"/>
    <w:rsid w:val="23502079"/>
    <w:rsid w:val="2351194D"/>
    <w:rsid w:val="23515DF1"/>
    <w:rsid w:val="23531B69"/>
    <w:rsid w:val="235651B5"/>
    <w:rsid w:val="23582CDC"/>
    <w:rsid w:val="235A4CA6"/>
    <w:rsid w:val="235A6E60"/>
    <w:rsid w:val="235D4796"/>
    <w:rsid w:val="235F050E"/>
    <w:rsid w:val="23614286"/>
    <w:rsid w:val="2369138D"/>
    <w:rsid w:val="236E69A3"/>
    <w:rsid w:val="23706277"/>
    <w:rsid w:val="2371205C"/>
    <w:rsid w:val="2375388E"/>
    <w:rsid w:val="2378337E"/>
    <w:rsid w:val="237B50B8"/>
    <w:rsid w:val="237F295E"/>
    <w:rsid w:val="238C0BD7"/>
    <w:rsid w:val="23905F23"/>
    <w:rsid w:val="23931F66"/>
    <w:rsid w:val="23983A20"/>
    <w:rsid w:val="239A32F4"/>
    <w:rsid w:val="239F6B5C"/>
    <w:rsid w:val="23A10B26"/>
    <w:rsid w:val="23A128D5"/>
    <w:rsid w:val="23A423C5"/>
    <w:rsid w:val="23A75A11"/>
    <w:rsid w:val="23B720F8"/>
    <w:rsid w:val="23BC326A"/>
    <w:rsid w:val="23BF71FF"/>
    <w:rsid w:val="23C07454"/>
    <w:rsid w:val="23C14D25"/>
    <w:rsid w:val="23C245F9"/>
    <w:rsid w:val="23C44815"/>
    <w:rsid w:val="23C465C3"/>
    <w:rsid w:val="23CB16FF"/>
    <w:rsid w:val="23CB5BA3"/>
    <w:rsid w:val="23CB7951"/>
    <w:rsid w:val="23CE11F0"/>
    <w:rsid w:val="23CE5D8D"/>
    <w:rsid w:val="23D700A4"/>
    <w:rsid w:val="23DD7DEB"/>
    <w:rsid w:val="23E34C9B"/>
    <w:rsid w:val="23E66539"/>
    <w:rsid w:val="23E7405F"/>
    <w:rsid w:val="23E97DD8"/>
    <w:rsid w:val="23EA026F"/>
    <w:rsid w:val="23EB3B50"/>
    <w:rsid w:val="23F0560A"/>
    <w:rsid w:val="23F24EDE"/>
    <w:rsid w:val="23F46EA8"/>
    <w:rsid w:val="23F724F4"/>
    <w:rsid w:val="24013373"/>
    <w:rsid w:val="24066BDB"/>
    <w:rsid w:val="240D46A2"/>
    <w:rsid w:val="240F3CE2"/>
    <w:rsid w:val="241035B6"/>
    <w:rsid w:val="2415200F"/>
    <w:rsid w:val="24174945"/>
    <w:rsid w:val="241906BD"/>
    <w:rsid w:val="241C01AD"/>
    <w:rsid w:val="242157C3"/>
    <w:rsid w:val="24247062"/>
    <w:rsid w:val="24284DA4"/>
    <w:rsid w:val="24303C58"/>
    <w:rsid w:val="2432352D"/>
    <w:rsid w:val="243674C1"/>
    <w:rsid w:val="24373239"/>
    <w:rsid w:val="243C084F"/>
    <w:rsid w:val="243C25FD"/>
    <w:rsid w:val="2446522A"/>
    <w:rsid w:val="244A2F6C"/>
    <w:rsid w:val="244D65B8"/>
    <w:rsid w:val="24507E57"/>
    <w:rsid w:val="245416F5"/>
    <w:rsid w:val="245711E5"/>
    <w:rsid w:val="24572F93"/>
    <w:rsid w:val="245B6F27"/>
    <w:rsid w:val="245E07C6"/>
    <w:rsid w:val="2460453E"/>
    <w:rsid w:val="24635DDC"/>
    <w:rsid w:val="24665A6C"/>
    <w:rsid w:val="246A53BC"/>
    <w:rsid w:val="246C2EE2"/>
    <w:rsid w:val="246F29D3"/>
    <w:rsid w:val="246F4781"/>
    <w:rsid w:val="24771887"/>
    <w:rsid w:val="247B1377"/>
    <w:rsid w:val="247B4ED4"/>
    <w:rsid w:val="2483022C"/>
    <w:rsid w:val="24877D1C"/>
    <w:rsid w:val="24885842"/>
    <w:rsid w:val="249064A5"/>
    <w:rsid w:val="24942439"/>
    <w:rsid w:val="249B5576"/>
    <w:rsid w:val="24A24B56"/>
    <w:rsid w:val="24A3442A"/>
    <w:rsid w:val="24AF74B0"/>
    <w:rsid w:val="24B14D99"/>
    <w:rsid w:val="24B44889"/>
    <w:rsid w:val="24B46637"/>
    <w:rsid w:val="24B959FC"/>
    <w:rsid w:val="24BD5AF2"/>
    <w:rsid w:val="24C11F9C"/>
    <w:rsid w:val="24C30629"/>
    <w:rsid w:val="24CC3981"/>
    <w:rsid w:val="24D40A88"/>
    <w:rsid w:val="24D50412"/>
    <w:rsid w:val="24DB3BC4"/>
    <w:rsid w:val="24DC16EA"/>
    <w:rsid w:val="24DD793C"/>
    <w:rsid w:val="24DE5462"/>
    <w:rsid w:val="24E567F1"/>
    <w:rsid w:val="24F20F0E"/>
    <w:rsid w:val="24F627AC"/>
    <w:rsid w:val="2500362B"/>
    <w:rsid w:val="250749B9"/>
    <w:rsid w:val="250A3363"/>
    <w:rsid w:val="25110665"/>
    <w:rsid w:val="251470D6"/>
    <w:rsid w:val="25162E4E"/>
    <w:rsid w:val="251701C5"/>
    <w:rsid w:val="251D242F"/>
    <w:rsid w:val="251E54C0"/>
    <w:rsid w:val="251E5B96"/>
    <w:rsid w:val="251F1AF4"/>
    <w:rsid w:val="25205A7B"/>
    <w:rsid w:val="25227A45"/>
    <w:rsid w:val="252427C9"/>
    <w:rsid w:val="25357778"/>
    <w:rsid w:val="25387269"/>
    <w:rsid w:val="25457290"/>
    <w:rsid w:val="25461985"/>
    <w:rsid w:val="25481BC4"/>
    <w:rsid w:val="254A2AF8"/>
    <w:rsid w:val="25506360"/>
    <w:rsid w:val="255319AC"/>
    <w:rsid w:val="255D282B"/>
    <w:rsid w:val="2560231B"/>
    <w:rsid w:val="256242E5"/>
    <w:rsid w:val="256E2C8A"/>
    <w:rsid w:val="257F27A2"/>
    <w:rsid w:val="257F6C45"/>
    <w:rsid w:val="25893620"/>
    <w:rsid w:val="25897AC4"/>
    <w:rsid w:val="258B383C"/>
    <w:rsid w:val="258C4EBE"/>
    <w:rsid w:val="258E6E89"/>
    <w:rsid w:val="2593449F"/>
    <w:rsid w:val="259A75DB"/>
    <w:rsid w:val="259C2031"/>
    <w:rsid w:val="25A641D2"/>
    <w:rsid w:val="25AA086D"/>
    <w:rsid w:val="25B34B41"/>
    <w:rsid w:val="25B61F3B"/>
    <w:rsid w:val="25B82157"/>
    <w:rsid w:val="25C24D84"/>
    <w:rsid w:val="25C97EC1"/>
    <w:rsid w:val="25CD5C03"/>
    <w:rsid w:val="25D32AED"/>
    <w:rsid w:val="25D6438C"/>
    <w:rsid w:val="25DF5936"/>
    <w:rsid w:val="25DF76E4"/>
    <w:rsid w:val="25E03518"/>
    <w:rsid w:val="25E1345C"/>
    <w:rsid w:val="25E46AA9"/>
    <w:rsid w:val="25ED0053"/>
    <w:rsid w:val="25F211C5"/>
    <w:rsid w:val="25F50CB6"/>
    <w:rsid w:val="260158AC"/>
    <w:rsid w:val="2601765A"/>
    <w:rsid w:val="26103D41"/>
    <w:rsid w:val="261455E0"/>
    <w:rsid w:val="261E645E"/>
    <w:rsid w:val="26265313"/>
    <w:rsid w:val="262B2929"/>
    <w:rsid w:val="26355556"/>
    <w:rsid w:val="263712CE"/>
    <w:rsid w:val="263E08AF"/>
    <w:rsid w:val="26413EFB"/>
    <w:rsid w:val="26415CA9"/>
    <w:rsid w:val="26451C3D"/>
    <w:rsid w:val="264659B5"/>
    <w:rsid w:val="26516A31"/>
    <w:rsid w:val="265579A6"/>
    <w:rsid w:val="265754CC"/>
    <w:rsid w:val="26597496"/>
    <w:rsid w:val="265D6715"/>
    <w:rsid w:val="2661459D"/>
    <w:rsid w:val="2663431E"/>
    <w:rsid w:val="267267AA"/>
    <w:rsid w:val="26760048"/>
    <w:rsid w:val="26773DC1"/>
    <w:rsid w:val="267B493A"/>
    <w:rsid w:val="26865DB2"/>
    <w:rsid w:val="268D5392"/>
    <w:rsid w:val="26914E82"/>
    <w:rsid w:val="2694227D"/>
    <w:rsid w:val="26964247"/>
    <w:rsid w:val="269A3AE6"/>
    <w:rsid w:val="269E759F"/>
    <w:rsid w:val="26A10E3D"/>
    <w:rsid w:val="26A5092E"/>
    <w:rsid w:val="26A8388C"/>
    <w:rsid w:val="26AA7CF2"/>
    <w:rsid w:val="26AF355A"/>
    <w:rsid w:val="26AF5308"/>
    <w:rsid w:val="26B50445"/>
    <w:rsid w:val="26B66697"/>
    <w:rsid w:val="26B730FC"/>
    <w:rsid w:val="26B93CEA"/>
    <w:rsid w:val="26BB3CAD"/>
    <w:rsid w:val="26BE19EF"/>
    <w:rsid w:val="26CB1A16"/>
    <w:rsid w:val="26CD1C32"/>
    <w:rsid w:val="26CD578F"/>
    <w:rsid w:val="26D134D1"/>
    <w:rsid w:val="26D44D6F"/>
    <w:rsid w:val="26E1123A"/>
    <w:rsid w:val="26E264E6"/>
    <w:rsid w:val="26E31456"/>
    <w:rsid w:val="26FB054E"/>
    <w:rsid w:val="270513CC"/>
    <w:rsid w:val="27084A19"/>
    <w:rsid w:val="270A0791"/>
    <w:rsid w:val="270A253F"/>
    <w:rsid w:val="270B5D72"/>
    <w:rsid w:val="270C62B7"/>
    <w:rsid w:val="270F7B55"/>
    <w:rsid w:val="27116E80"/>
    <w:rsid w:val="27120774"/>
    <w:rsid w:val="2714160F"/>
    <w:rsid w:val="27191F7D"/>
    <w:rsid w:val="27277595"/>
    <w:rsid w:val="27335F39"/>
    <w:rsid w:val="2734580E"/>
    <w:rsid w:val="273B6B9C"/>
    <w:rsid w:val="273F48DE"/>
    <w:rsid w:val="27441EF5"/>
    <w:rsid w:val="274C0DA9"/>
    <w:rsid w:val="274F43F6"/>
    <w:rsid w:val="2753659C"/>
    <w:rsid w:val="27541A0C"/>
    <w:rsid w:val="27582366"/>
    <w:rsid w:val="275859A0"/>
    <w:rsid w:val="275A1718"/>
    <w:rsid w:val="275A34C6"/>
    <w:rsid w:val="27604855"/>
    <w:rsid w:val="27637EA1"/>
    <w:rsid w:val="27644233"/>
    <w:rsid w:val="276460F3"/>
    <w:rsid w:val="276A122F"/>
    <w:rsid w:val="276E0D20"/>
    <w:rsid w:val="277420AE"/>
    <w:rsid w:val="27765E26"/>
    <w:rsid w:val="277B51EB"/>
    <w:rsid w:val="277D0F63"/>
    <w:rsid w:val="2780771D"/>
    <w:rsid w:val="278422F1"/>
    <w:rsid w:val="27893DAB"/>
    <w:rsid w:val="278A3680"/>
    <w:rsid w:val="278F0C96"/>
    <w:rsid w:val="27912C60"/>
    <w:rsid w:val="279544FE"/>
    <w:rsid w:val="279664C8"/>
    <w:rsid w:val="279A1B15"/>
    <w:rsid w:val="279D1605"/>
    <w:rsid w:val="279D7857"/>
    <w:rsid w:val="27A44741"/>
    <w:rsid w:val="27AB1F74"/>
    <w:rsid w:val="27AE736E"/>
    <w:rsid w:val="27B23302"/>
    <w:rsid w:val="27BC5F2F"/>
    <w:rsid w:val="27C04AC9"/>
    <w:rsid w:val="27C052F3"/>
    <w:rsid w:val="27C6290A"/>
    <w:rsid w:val="27C70430"/>
    <w:rsid w:val="27C76682"/>
    <w:rsid w:val="27CB7B5F"/>
    <w:rsid w:val="27D35027"/>
    <w:rsid w:val="27D52B4D"/>
    <w:rsid w:val="27DB3EDB"/>
    <w:rsid w:val="27DC037F"/>
    <w:rsid w:val="27DD40F7"/>
    <w:rsid w:val="27E70AD2"/>
    <w:rsid w:val="27E965F8"/>
    <w:rsid w:val="27EB411E"/>
    <w:rsid w:val="27EE3C0E"/>
    <w:rsid w:val="27F05BD9"/>
    <w:rsid w:val="27F31225"/>
    <w:rsid w:val="27F60D15"/>
    <w:rsid w:val="27FC457D"/>
    <w:rsid w:val="27FE6547"/>
    <w:rsid w:val="28014BFC"/>
    <w:rsid w:val="2806328E"/>
    <w:rsid w:val="280653FC"/>
    <w:rsid w:val="28100029"/>
    <w:rsid w:val="28164755"/>
    <w:rsid w:val="28177609"/>
    <w:rsid w:val="281C69CE"/>
    <w:rsid w:val="281E2746"/>
    <w:rsid w:val="28215D92"/>
    <w:rsid w:val="282615FA"/>
    <w:rsid w:val="283006CB"/>
    <w:rsid w:val="28327F9F"/>
    <w:rsid w:val="28335AC5"/>
    <w:rsid w:val="283755B5"/>
    <w:rsid w:val="283830DC"/>
    <w:rsid w:val="28397580"/>
    <w:rsid w:val="283A6E54"/>
    <w:rsid w:val="283C2BCC"/>
    <w:rsid w:val="283C7070"/>
    <w:rsid w:val="28463A4A"/>
    <w:rsid w:val="284B1061"/>
    <w:rsid w:val="2859377E"/>
    <w:rsid w:val="285C6DCA"/>
    <w:rsid w:val="285E08FB"/>
    <w:rsid w:val="285E6FE6"/>
    <w:rsid w:val="28665E9B"/>
    <w:rsid w:val="28695A0E"/>
    <w:rsid w:val="286F11F3"/>
    <w:rsid w:val="28773C04"/>
    <w:rsid w:val="28793E20"/>
    <w:rsid w:val="287F6F5C"/>
    <w:rsid w:val="28841928"/>
    <w:rsid w:val="28885E11"/>
    <w:rsid w:val="28887BBF"/>
    <w:rsid w:val="289522DC"/>
    <w:rsid w:val="289B1FE8"/>
    <w:rsid w:val="28A30E9D"/>
    <w:rsid w:val="28A644E9"/>
    <w:rsid w:val="28A8200F"/>
    <w:rsid w:val="28AA3FD9"/>
    <w:rsid w:val="28B05368"/>
    <w:rsid w:val="28B9421C"/>
    <w:rsid w:val="28BA7F95"/>
    <w:rsid w:val="28BF6807"/>
    <w:rsid w:val="28C8445F"/>
    <w:rsid w:val="28D23530"/>
    <w:rsid w:val="28D252DE"/>
    <w:rsid w:val="28D42E04"/>
    <w:rsid w:val="28D70B46"/>
    <w:rsid w:val="28D9083E"/>
    <w:rsid w:val="28DC615D"/>
    <w:rsid w:val="28DD0F77"/>
    <w:rsid w:val="28DE1ED5"/>
    <w:rsid w:val="28E84B02"/>
    <w:rsid w:val="28EB63A0"/>
    <w:rsid w:val="28EF5E90"/>
    <w:rsid w:val="28F039B6"/>
    <w:rsid w:val="28F25980"/>
    <w:rsid w:val="28F434A6"/>
    <w:rsid w:val="28F50017"/>
    <w:rsid w:val="28F811E9"/>
    <w:rsid w:val="28FC05AD"/>
    <w:rsid w:val="29003BF9"/>
    <w:rsid w:val="29051210"/>
    <w:rsid w:val="290A0F1C"/>
    <w:rsid w:val="2912392D"/>
    <w:rsid w:val="29143B49"/>
    <w:rsid w:val="291476A5"/>
    <w:rsid w:val="2916166F"/>
    <w:rsid w:val="29171F21"/>
    <w:rsid w:val="291E49C7"/>
    <w:rsid w:val="29226266"/>
    <w:rsid w:val="292B01C4"/>
    <w:rsid w:val="293146FB"/>
    <w:rsid w:val="29385A89"/>
    <w:rsid w:val="293B10D5"/>
    <w:rsid w:val="294855A0"/>
    <w:rsid w:val="294A756A"/>
    <w:rsid w:val="294C6E3F"/>
    <w:rsid w:val="294F2DD3"/>
    <w:rsid w:val="29534671"/>
    <w:rsid w:val="295403E9"/>
    <w:rsid w:val="29583A35"/>
    <w:rsid w:val="295C2DFA"/>
    <w:rsid w:val="29622B06"/>
    <w:rsid w:val="29692C59"/>
    <w:rsid w:val="29693E94"/>
    <w:rsid w:val="296C5733"/>
    <w:rsid w:val="29713987"/>
    <w:rsid w:val="29714AF7"/>
    <w:rsid w:val="29736AC1"/>
    <w:rsid w:val="29763EBB"/>
    <w:rsid w:val="297A7E50"/>
    <w:rsid w:val="297C3C19"/>
    <w:rsid w:val="29820AB2"/>
    <w:rsid w:val="2987431B"/>
    <w:rsid w:val="298C1931"/>
    <w:rsid w:val="298D0BC4"/>
    <w:rsid w:val="298E56A9"/>
    <w:rsid w:val="29910CF5"/>
    <w:rsid w:val="299C5AE8"/>
    <w:rsid w:val="299F1664"/>
    <w:rsid w:val="29AC3E9C"/>
    <w:rsid w:val="29B2144F"/>
    <w:rsid w:val="29B42C36"/>
    <w:rsid w:val="29B449E4"/>
    <w:rsid w:val="29B6075C"/>
    <w:rsid w:val="29B9024C"/>
    <w:rsid w:val="29BB2216"/>
    <w:rsid w:val="29C0782D"/>
    <w:rsid w:val="29C27101"/>
    <w:rsid w:val="29C54E43"/>
    <w:rsid w:val="29CA4207"/>
    <w:rsid w:val="29CB1FF6"/>
    <w:rsid w:val="29CC61D1"/>
    <w:rsid w:val="29CC7F7F"/>
    <w:rsid w:val="29D15596"/>
    <w:rsid w:val="29D532D8"/>
    <w:rsid w:val="29DC000F"/>
    <w:rsid w:val="29DE046C"/>
    <w:rsid w:val="29E21551"/>
    <w:rsid w:val="29E90B31"/>
    <w:rsid w:val="29EE6148"/>
    <w:rsid w:val="29EE7EF6"/>
    <w:rsid w:val="29F6324E"/>
    <w:rsid w:val="29F666F3"/>
    <w:rsid w:val="29FE4E85"/>
    <w:rsid w:val="29FF3178"/>
    <w:rsid w:val="29FF65A7"/>
    <w:rsid w:val="2A005E7B"/>
    <w:rsid w:val="2A047719"/>
    <w:rsid w:val="2A067935"/>
    <w:rsid w:val="2A07545B"/>
    <w:rsid w:val="2A1A0CEB"/>
    <w:rsid w:val="2A1B4A63"/>
    <w:rsid w:val="2A1C040D"/>
    <w:rsid w:val="2A1C2CB5"/>
    <w:rsid w:val="2A24600D"/>
    <w:rsid w:val="2A261D85"/>
    <w:rsid w:val="2A27165A"/>
    <w:rsid w:val="2A273037"/>
    <w:rsid w:val="2A291581"/>
    <w:rsid w:val="2A2D4EC2"/>
    <w:rsid w:val="2A2E29E8"/>
    <w:rsid w:val="2A30050E"/>
    <w:rsid w:val="2A331DAD"/>
    <w:rsid w:val="2A3609EC"/>
    <w:rsid w:val="2A36189D"/>
    <w:rsid w:val="2A3A75DF"/>
    <w:rsid w:val="2A495A74"/>
    <w:rsid w:val="2A4B359A"/>
    <w:rsid w:val="2A573CED"/>
    <w:rsid w:val="2A581813"/>
    <w:rsid w:val="2A5A558B"/>
    <w:rsid w:val="2A612DBE"/>
    <w:rsid w:val="2A677CA8"/>
    <w:rsid w:val="2A7724A8"/>
    <w:rsid w:val="2A783C63"/>
    <w:rsid w:val="2A7E3970"/>
    <w:rsid w:val="2A7F74F9"/>
    <w:rsid w:val="2A810D6A"/>
    <w:rsid w:val="2A816FBC"/>
    <w:rsid w:val="2A834AE2"/>
    <w:rsid w:val="2A8D3BB3"/>
    <w:rsid w:val="2A900FAD"/>
    <w:rsid w:val="2A905451"/>
    <w:rsid w:val="2A924D25"/>
    <w:rsid w:val="2A946CEF"/>
    <w:rsid w:val="2A950CB9"/>
    <w:rsid w:val="2A9A007E"/>
    <w:rsid w:val="2A9A62D0"/>
    <w:rsid w:val="2AA64C74"/>
    <w:rsid w:val="2AB27175"/>
    <w:rsid w:val="2ABC5BE6"/>
    <w:rsid w:val="2ABD7E2E"/>
    <w:rsid w:val="2AD03A9F"/>
    <w:rsid w:val="2AD76BDC"/>
    <w:rsid w:val="2AD90BA6"/>
    <w:rsid w:val="2ADC2444"/>
    <w:rsid w:val="2AE337D3"/>
    <w:rsid w:val="2AE35581"/>
    <w:rsid w:val="2AEA2DB3"/>
    <w:rsid w:val="2AEC5A66"/>
    <w:rsid w:val="2AF05EF0"/>
    <w:rsid w:val="2AF21C68"/>
    <w:rsid w:val="2AF61758"/>
    <w:rsid w:val="2AF66DAE"/>
    <w:rsid w:val="2AFB4FC0"/>
    <w:rsid w:val="2AFC6642"/>
    <w:rsid w:val="2B0049F0"/>
    <w:rsid w:val="2B0100FD"/>
    <w:rsid w:val="2B011EAB"/>
    <w:rsid w:val="2B083239"/>
    <w:rsid w:val="2B0A0D5F"/>
    <w:rsid w:val="2B0A6092"/>
    <w:rsid w:val="2B0A6F32"/>
    <w:rsid w:val="2B1240B8"/>
    <w:rsid w:val="2B14398C"/>
    <w:rsid w:val="2B146082"/>
    <w:rsid w:val="2B157704"/>
    <w:rsid w:val="2B163BA8"/>
    <w:rsid w:val="2B1A44FF"/>
    <w:rsid w:val="2B1A4D1A"/>
    <w:rsid w:val="2B1E0CAF"/>
    <w:rsid w:val="2B200583"/>
    <w:rsid w:val="2B2142FB"/>
    <w:rsid w:val="2B25203D"/>
    <w:rsid w:val="2B25527B"/>
    <w:rsid w:val="2B255B99"/>
    <w:rsid w:val="2B287437"/>
    <w:rsid w:val="2B2D7144"/>
    <w:rsid w:val="2B3B716B"/>
    <w:rsid w:val="2B3C2EE3"/>
    <w:rsid w:val="2B490B90"/>
    <w:rsid w:val="2B4A5600"/>
    <w:rsid w:val="2B58159A"/>
    <w:rsid w:val="2B5E10AB"/>
    <w:rsid w:val="2B606BD1"/>
    <w:rsid w:val="2B653518"/>
    <w:rsid w:val="2B6B4E3F"/>
    <w:rsid w:val="2B6D12EE"/>
    <w:rsid w:val="2B6E5792"/>
    <w:rsid w:val="2B6F150A"/>
    <w:rsid w:val="2B7037C7"/>
    <w:rsid w:val="2B715282"/>
    <w:rsid w:val="2B717030"/>
    <w:rsid w:val="2B724B56"/>
    <w:rsid w:val="2B7D59D5"/>
    <w:rsid w:val="2B801021"/>
    <w:rsid w:val="2B82123D"/>
    <w:rsid w:val="2B824D9A"/>
    <w:rsid w:val="2B8A1EA0"/>
    <w:rsid w:val="2B93404B"/>
    <w:rsid w:val="2B966A97"/>
    <w:rsid w:val="2B9C53AD"/>
    <w:rsid w:val="2B9D6077"/>
    <w:rsid w:val="2B9E76FA"/>
    <w:rsid w:val="2BA07916"/>
    <w:rsid w:val="2BAA2542"/>
    <w:rsid w:val="2BAC4D99"/>
    <w:rsid w:val="2BBB64FD"/>
    <w:rsid w:val="2BBD04C8"/>
    <w:rsid w:val="2BBD4024"/>
    <w:rsid w:val="2BC33129"/>
    <w:rsid w:val="2BC37160"/>
    <w:rsid w:val="2BC41856"/>
    <w:rsid w:val="2BC419E8"/>
    <w:rsid w:val="2BC82F3A"/>
    <w:rsid w:val="2BD001FB"/>
    <w:rsid w:val="2BD1187D"/>
    <w:rsid w:val="2BD17ACF"/>
    <w:rsid w:val="2BD355F5"/>
    <w:rsid w:val="2BD61642"/>
    <w:rsid w:val="2BDD6474"/>
    <w:rsid w:val="2BDF043E"/>
    <w:rsid w:val="2BE315B0"/>
    <w:rsid w:val="2BE710A1"/>
    <w:rsid w:val="2BEB6DE3"/>
    <w:rsid w:val="2BEC66B7"/>
    <w:rsid w:val="2BEF4305"/>
    <w:rsid w:val="2BEF7F55"/>
    <w:rsid w:val="2BF11F1F"/>
    <w:rsid w:val="2BF13CCD"/>
    <w:rsid w:val="2BF51A0F"/>
    <w:rsid w:val="2BF67536"/>
    <w:rsid w:val="2BF81500"/>
    <w:rsid w:val="2BF8505C"/>
    <w:rsid w:val="2BFA5278"/>
    <w:rsid w:val="2C063C1D"/>
    <w:rsid w:val="2C0A4D8F"/>
    <w:rsid w:val="2C155C0E"/>
    <w:rsid w:val="2C2E3173"/>
    <w:rsid w:val="2C313902"/>
    <w:rsid w:val="2C317328"/>
    <w:rsid w:val="2C3B319A"/>
    <w:rsid w:val="2C3D6F12"/>
    <w:rsid w:val="2C4B162F"/>
    <w:rsid w:val="2C534988"/>
    <w:rsid w:val="2C576226"/>
    <w:rsid w:val="2C624BCB"/>
    <w:rsid w:val="2C6E3570"/>
    <w:rsid w:val="2C6F72CA"/>
    <w:rsid w:val="2C736DD8"/>
    <w:rsid w:val="2C7A3CC3"/>
    <w:rsid w:val="2C7E7C57"/>
    <w:rsid w:val="2C835CA7"/>
    <w:rsid w:val="2C8533B0"/>
    <w:rsid w:val="2C8763E0"/>
    <w:rsid w:val="2C8903AA"/>
    <w:rsid w:val="2C8C39F6"/>
    <w:rsid w:val="2C931228"/>
    <w:rsid w:val="2C970D19"/>
    <w:rsid w:val="2C9F5E1F"/>
    <w:rsid w:val="2CA90A4C"/>
    <w:rsid w:val="2CB1338F"/>
    <w:rsid w:val="2CB216AE"/>
    <w:rsid w:val="2CB27900"/>
    <w:rsid w:val="2CB73169"/>
    <w:rsid w:val="2CBA4A07"/>
    <w:rsid w:val="2CBE44F7"/>
    <w:rsid w:val="2CBF201D"/>
    <w:rsid w:val="2CC43190"/>
    <w:rsid w:val="2CC80ED2"/>
    <w:rsid w:val="2CC87124"/>
    <w:rsid w:val="2CD258AD"/>
    <w:rsid w:val="2CD755B9"/>
    <w:rsid w:val="2CD94E8D"/>
    <w:rsid w:val="2CD95265"/>
    <w:rsid w:val="2CDC497D"/>
    <w:rsid w:val="2CE37ABA"/>
    <w:rsid w:val="2CE61358"/>
    <w:rsid w:val="2CED6B8B"/>
    <w:rsid w:val="2CEF1BF0"/>
    <w:rsid w:val="2CEF2903"/>
    <w:rsid w:val="2CF241A1"/>
    <w:rsid w:val="2CF34F78"/>
    <w:rsid w:val="2CF47F19"/>
    <w:rsid w:val="2CF70382"/>
    <w:rsid w:val="2CF73565"/>
    <w:rsid w:val="2CFE2B46"/>
    <w:rsid w:val="2CFF241A"/>
    <w:rsid w:val="2D0042B6"/>
    <w:rsid w:val="2D045C82"/>
    <w:rsid w:val="2D047A30"/>
    <w:rsid w:val="2D0637A8"/>
    <w:rsid w:val="2D085772"/>
    <w:rsid w:val="2D0A773C"/>
    <w:rsid w:val="2D0F6B01"/>
    <w:rsid w:val="2D1519FD"/>
    <w:rsid w:val="2D15390A"/>
    <w:rsid w:val="2D197980"/>
    <w:rsid w:val="2D23435A"/>
    <w:rsid w:val="2D265D01"/>
    <w:rsid w:val="2D281971"/>
    <w:rsid w:val="2D2B1461"/>
    <w:rsid w:val="2D2C76B3"/>
    <w:rsid w:val="2D2D51D9"/>
    <w:rsid w:val="2D35408E"/>
    <w:rsid w:val="2D366F55"/>
    <w:rsid w:val="2D3E2F42"/>
    <w:rsid w:val="2D4227EC"/>
    <w:rsid w:val="2D4254F8"/>
    <w:rsid w:val="2D4542D1"/>
    <w:rsid w:val="2D4C1B03"/>
    <w:rsid w:val="2D4F6EFD"/>
    <w:rsid w:val="2D510EC7"/>
    <w:rsid w:val="2D5A6AD8"/>
    <w:rsid w:val="2D652BC5"/>
    <w:rsid w:val="2D662499"/>
    <w:rsid w:val="2D6F75A0"/>
    <w:rsid w:val="2D776454"/>
    <w:rsid w:val="2D7B5F44"/>
    <w:rsid w:val="2D80355B"/>
    <w:rsid w:val="2D897C8D"/>
    <w:rsid w:val="2D8E211C"/>
    <w:rsid w:val="2D9139BA"/>
    <w:rsid w:val="2D9214E0"/>
    <w:rsid w:val="2D9D235F"/>
    <w:rsid w:val="2D9E60D7"/>
    <w:rsid w:val="2D9F32F1"/>
    <w:rsid w:val="2DA059AB"/>
    <w:rsid w:val="2DA82AB1"/>
    <w:rsid w:val="2DA84860"/>
    <w:rsid w:val="2DAA4A7C"/>
    <w:rsid w:val="2DC07DFB"/>
    <w:rsid w:val="2DCA6ECC"/>
    <w:rsid w:val="2DCF0DA2"/>
    <w:rsid w:val="2DD20FFF"/>
    <w:rsid w:val="2DD42233"/>
    <w:rsid w:val="2DD815E9"/>
    <w:rsid w:val="2DD90EBD"/>
    <w:rsid w:val="2DDB69E3"/>
    <w:rsid w:val="2DE41D3C"/>
    <w:rsid w:val="2DE53D06"/>
    <w:rsid w:val="2DEF06E0"/>
    <w:rsid w:val="2DF301D1"/>
    <w:rsid w:val="2DFA55CA"/>
    <w:rsid w:val="2DFB7085"/>
    <w:rsid w:val="2DFF6B75"/>
    <w:rsid w:val="2DFFABA6"/>
    <w:rsid w:val="2E020414"/>
    <w:rsid w:val="2E100D83"/>
    <w:rsid w:val="2E132621"/>
    <w:rsid w:val="2E133665"/>
    <w:rsid w:val="2E1341D4"/>
    <w:rsid w:val="2E13617D"/>
    <w:rsid w:val="2E150147"/>
    <w:rsid w:val="2E163EBF"/>
    <w:rsid w:val="2E183793"/>
    <w:rsid w:val="2E187C37"/>
    <w:rsid w:val="2E271C28"/>
    <w:rsid w:val="2E316BEE"/>
    <w:rsid w:val="2E36630F"/>
    <w:rsid w:val="2E374561"/>
    <w:rsid w:val="2E3A195C"/>
    <w:rsid w:val="2E3B56D4"/>
    <w:rsid w:val="2E3D58F0"/>
    <w:rsid w:val="2E402CEA"/>
    <w:rsid w:val="2E444588"/>
    <w:rsid w:val="2E4C5B33"/>
    <w:rsid w:val="2E4E18AB"/>
    <w:rsid w:val="2E5073D1"/>
    <w:rsid w:val="2E530C6F"/>
    <w:rsid w:val="2E536EC1"/>
    <w:rsid w:val="2E5A0250"/>
    <w:rsid w:val="2E5C5D76"/>
    <w:rsid w:val="2E5E6191"/>
    <w:rsid w:val="2E644C2A"/>
    <w:rsid w:val="2E67296D"/>
    <w:rsid w:val="2E755089"/>
    <w:rsid w:val="2E76670C"/>
    <w:rsid w:val="2E7F1A64"/>
    <w:rsid w:val="2E7F7CB6"/>
    <w:rsid w:val="2E8031B9"/>
    <w:rsid w:val="2E8928E3"/>
    <w:rsid w:val="2E921798"/>
    <w:rsid w:val="2E9759B4"/>
    <w:rsid w:val="2E9A4AF0"/>
    <w:rsid w:val="2E9C43C4"/>
    <w:rsid w:val="2E9D638E"/>
    <w:rsid w:val="2E9F5C62"/>
    <w:rsid w:val="2EA25753"/>
    <w:rsid w:val="2EA339A5"/>
    <w:rsid w:val="2EA43279"/>
    <w:rsid w:val="2EA74B17"/>
    <w:rsid w:val="2EA75890"/>
    <w:rsid w:val="2EAD65D1"/>
    <w:rsid w:val="2EB16135"/>
    <w:rsid w:val="2EB51324"/>
    <w:rsid w:val="2EB55486"/>
    <w:rsid w:val="2EB84F76"/>
    <w:rsid w:val="2EB8678E"/>
    <w:rsid w:val="2EBC12E0"/>
    <w:rsid w:val="2ECB2EFB"/>
    <w:rsid w:val="2ED0406E"/>
    <w:rsid w:val="2ED26038"/>
    <w:rsid w:val="2ED33B5E"/>
    <w:rsid w:val="2EE10029"/>
    <w:rsid w:val="2EE6563F"/>
    <w:rsid w:val="2EF04710"/>
    <w:rsid w:val="2EF57F78"/>
    <w:rsid w:val="2EF67C47"/>
    <w:rsid w:val="2EF91817"/>
    <w:rsid w:val="2EFC3AB9"/>
    <w:rsid w:val="2EFC4E63"/>
    <w:rsid w:val="2EFE112F"/>
    <w:rsid w:val="2EFF6701"/>
    <w:rsid w:val="2F01691D"/>
    <w:rsid w:val="2F032695"/>
    <w:rsid w:val="2F034443"/>
    <w:rsid w:val="2F0B154A"/>
    <w:rsid w:val="2F104DB2"/>
    <w:rsid w:val="2F1228D8"/>
    <w:rsid w:val="2F1C3757"/>
    <w:rsid w:val="2F1E302B"/>
    <w:rsid w:val="2F2148C9"/>
    <w:rsid w:val="2F236894"/>
    <w:rsid w:val="2F2A5E74"/>
    <w:rsid w:val="2F2B1BEC"/>
    <w:rsid w:val="2F3E36CD"/>
    <w:rsid w:val="2F4131BE"/>
    <w:rsid w:val="2F414F6C"/>
    <w:rsid w:val="2F4800A8"/>
    <w:rsid w:val="2F4E4AA2"/>
    <w:rsid w:val="2F511CE2"/>
    <w:rsid w:val="2F520F27"/>
    <w:rsid w:val="2F527179"/>
    <w:rsid w:val="2F57653D"/>
    <w:rsid w:val="2F5B427F"/>
    <w:rsid w:val="2F5C1DA5"/>
    <w:rsid w:val="2F5C3B54"/>
    <w:rsid w:val="2F5C7FF7"/>
    <w:rsid w:val="2F5E78CC"/>
    <w:rsid w:val="2F656EAC"/>
    <w:rsid w:val="2F662C24"/>
    <w:rsid w:val="2F6824F8"/>
    <w:rsid w:val="2F707E3C"/>
    <w:rsid w:val="2F715851"/>
    <w:rsid w:val="2F723377"/>
    <w:rsid w:val="2F7470EF"/>
    <w:rsid w:val="2F762E67"/>
    <w:rsid w:val="2F77273B"/>
    <w:rsid w:val="2F776BDF"/>
    <w:rsid w:val="2F7D2448"/>
    <w:rsid w:val="2F7E7F6E"/>
    <w:rsid w:val="2F81180C"/>
    <w:rsid w:val="2F8135BA"/>
    <w:rsid w:val="2F884949"/>
    <w:rsid w:val="2F8B61E7"/>
    <w:rsid w:val="2F8D6403"/>
    <w:rsid w:val="2F9257C7"/>
    <w:rsid w:val="2F9432ED"/>
    <w:rsid w:val="2F9C03F4"/>
    <w:rsid w:val="2F9E416C"/>
    <w:rsid w:val="2FA21EAE"/>
    <w:rsid w:val="2FA33530"/>
    <w:rsid w:val="2FA5374C"/>
    <w:rsid w:val="2FA774C5"/>
    <w:rsid w:val="2FAC4ADB"/>
    <w:rsid w:val="2FAF1ED5"/>
    <w:rsid w:val="2FAF6379"/>
    <w:rsid w:val="2FB1675F"/>
    <w:rsid w:val="2FB4573E"/>
    <w:rsid w:val="2FB92D54"/>
    <w:rsid w:val="2FBC2844"/>
    <w:rsid w:val="2FBE036A"/>
    <w:rsid w:val="2FCC0CD9"/>
    <w:rsid w:val="2FCF2577"/>
    <w:rsid w:val="2FD44032"/>
    <w:rsid w:val="2FD61B58"/>
    <w:rsid w:val="2FDB53C0"/>
    <w:rsid w:val="2FE73D65"/>
    <w:rsid w:val="2FE853E7"/>
    <w:rsid w:val="2FEC137B"/>
    <w:rsid w:val="2FED26A0"/>
    <w:rsid w:val="2FF41FDE"/>
    <w:rsid w:val="2FFB511A"/>
    <w:rsid w:val="2FFE4C0B"/>
    <w:rsid w:val="2FFF10AF"/>
    <w:rsid w:val="30000983"/>
    <w:rsid w:val="300264A9"/>
    <w:rsid w:val="300F0BC6"/>
    <w:rsid w:val="301B3A0F"/>
    <w:rsid w:val="30226B4B"/>
    <w:rsid w:val="302C5C1C"/>
    <w:rsid w:val="302C79CA"/>
    <w:rsid w:val="3038011D"/>
    <w:rsid w:val="30406FD1"/>
    <w:rsid w:val="304765B2"/>
    <w:rsid w:val="304A7E50"/>
    <w:rsid w:val="304B42F4"/>
    <w:rsid w:val="304C5976"/>
    <w:rsid w:val="304C67C6"/>
    <w:rsid w:val="304E5B92"/>
    <w:rsid w:val="30564A47"/>
    <w:rsid w:val="305807BF"/>
    <w:rsid w:val="305B205D"/>
    <w:rsid w:val="30601421"/>
    <w:rsid w:val="30662EDC"/>
    <w:rsid w:val="306B04F2"/>
    <w:rsid w:val="306E1D90"/>
    <w:rsid w:val="30751371"/>
    <w:rsid w:val="30766E97"/>
    <w:rsid w:val="307750E9"/>
    <w:rsid w:val="307A0735"/>
    <w:rsid w:val="307A6987"/>
    <w:rsid w:val="307B5F05"/>
    <w:rsid w:val="307D6477"/>
    <w:rsid w:val="307E39A9"/>
    <w:rsid w:val="30835D5B"/>
    <w:rsid w:val="30894E1C"/>
    <w:rsid w:val="308A0377"/>
    <w:rsid w:val="308E41E1"/>
    <w:rsid w:val="309537C1"/>
    <w:rsid w:val="309612E7"/>
    <w:rsid w:val="30A43A04"/>
    <w:rsid w:val="30A457B2"/>
    <w:rsid w:val="30A54F0D"/>
    <w:rsid w:val="30AB6B41"/>
    <w:rsid w:val="30AC28B9"/>
    <w:rsid w:val="30B005FB"/>
    <w:rsid w:val="30B04157"/>
    <w:rsid w:val="30B17ECF"/>
    <w:rsid w:val="30B26121"/>
    <w:rsid w:val="30BA3228"/>
    <w:rsid w:val="30BB2AFC"/>
    <w:rsid w:val="30C3032E"/>
    <w:rsid w:val="30C76BDF"/>
    <w:rsid w:val="30C85944"/>
    <w:rsid w:val="30C916BD"/>
    <w:rsid w:val="30CE6CD3"/>
    <w:rsid w:val="30DD0CC4"/>
    <w:rsid w:val="30DD2A72"/>
    <w:rsid w:val="30E42053"/>
    <w:rsid w:val="30E91417"/>
    <w:rsid w:val="30E97669"/>
    <w:rsid w:val="30ED645B"/>
    <w:rsid w:val="30F32296"/>
    <w:rsid w:val="30F73B34"/>
    <w:rsid w:val="30F960DF"/>
    <w:rsid w:val="30FA1876"/>
    <w:rsid w:val="30FE0870"/>
    <w:rsid w:val="3103697D"/>
    <w:rsid w:val="310B5831"/>
    <w:rsid w:val="310C5C90"/>
    <w:rsid w:val="310F3573"/>
    <w:rsid w:val="31160B2A"/>
    <w:rsid w:val="3124258B"/>
    <w:rsid w:val="31244B45"/>
    <w:rsid w:val="3126266B"/>
    <w:rsid w:val="31267258"/>
    <w:rsid w:val="312D1C4B"/>
    <w:rsid w:val="31327262"/>
    <w:rsid w:val="313308E4"/>
    <w:rsid w:val="31342FDA"/>
    <w:rsid w:val="313528AE"/>
    <w:rsid w:val="3138414C"/>
    <w:rsid w:val="313C3C3D"/>
    <w:rsid w:val="313C4C14"/>
    <w:rsid w:val="3143321D"/>
    <w:rsid w:val="31442AF1"/>
    <w:rsid w:val="31462D0D"/>
    <w:rsid w:val="31466EAB"/>
    <w:rsid w:val="31480833"/>
    <w:rsid w:val="314D409C"/>
    <w:rsid w:val="314F1BC2"/>
    <w:rsid w:val="31570A76"/>
    <w:rsid w:val="315868AA"/>
    <w:rsid w:val="31592A40"/>
    <w:rsid w:val="315E0057"/>
    <w:rsid w:val="316136A3"/>
    <w:rsid w:val="31662A68"/>
    <w:rsid w:val="31692558"/>
    <w:rsid w:val="316A69FC"/>
    <w:rsid w:val="316D029A"/>
    <w:rsid w:val="317A3384"/>
    <w:rsid w:val="317C6EE4"/>
    <w:rsid w:val="3186135C"/>
    <w:rsid w:val="318F1FBE"/>
    <w:rsid w:val="31937418"/>
    <w:rsid w:val="31943A79"/>
    <w:rsid w:val="31A31F0E"/>
    <w:rsid w:val="31A33CBC"/>
    <w:rsid w:val="31A55C86"/>
    <w:rsid w:val="31AA6DF8"/>
    <w:rsid w:val="31AB491E"/>
    <w:rsid w:val="31AD68E8"/>
    <w:rsid w:val="31B00187"/>
    <w:rsid w:val="31B23EFF"/>
    <w:rsid w:val="31B934DF"/>
    <w:rsid w:val="31BB7257"/>
    <w:rsid w:val="31BD2FCF"/>
    <w:rsid w:val="31BE28A4"/>
    <w:rsid w:val="31C854D0"/>
    <w:rsid w:val="31CA1248"/>
    <w:rsid w:val="31CC3212"/>
    <w:rsid w:val="31CD2AE7"/>
    <w:rsid w:val="31CF2D03"/>
    <w:rsid w:val="31DE4CF4"/>
    <w:rsid w:val="31E06CBE"/>
    <w:rsid w:val="31E367AE"/>
    <w:rsid w:val="31E542D4"/>
    <w:rsid w:val="31E56082"/>
    <w:rsid w:val="31E57E30"/>
    <w:rsid w:val="31E85B72"/>
    <w:rsid w:val="31ED4F37"/>
    <w:rsid w:val="31F664E1"/>
    <w:rsid w:val="31F91B2E"/>
    <w:rsid w:val="3200110E"/>
    <w:rsid w:val="32052280"/>
    <w:rsid w:val="320F14CE"/>
    <w:rsid w:val="321626E0"/>
    <w:rsid w:val="321921D0"/>
    <w:rsid w:val="321A2D0F"/>
    <w:rsid w:val="321B2B64"/>
    <w:rsid w:val="321E1594"/>
    <w:rsid w:val="3223010A"/>
    <w:rsid w:val="32236BAB"/>
    <w:rsid w:val="32244C05"/>
    <w:rsid w:val="32252923"/>
    <w:rsid w:val="323112C7"/>
    <w:rsid w:val="32320699"/>
    <w:rsid w:val="32333292"/>
    <w:rsid w:val="323B0398"/>
    <w:rsid w:val="323D7C6C"/>
    <w:rsid w:val="324218CF"/>
    <w:rsid w:val="32452FC5"/>
    <w:rsid w:val="32496611"/>
    <w:rsid w:val="324B7DB0"/>
    <w:rsid w:val="324E1E79"/>
    <w:rsid w:val="3253123E"/>
    <w:rsid w:val="32562ADC"/>
    <w:rsid w:val="325E7BE3"/>
    <w:rsid w:val="326351F9"/>
    <w:rsid w:val="32650F71"/>
    <w:rsid w:val="3268280F"/>
    <w:rsid w:val="327411B4"/>
    <w:rsid w:val="3278199E"/>
    <w:rsid w:val="32792E2E"/>
    <w:rsid w:val="32794A1C"/>
    <w:rsid w:val="327A0EC0"/>
    <w:rsid w:val="327F0285"/>
    <w:rsid w:val="32843AED"/>
    <w:rsid w:val="32847649"/>
    <w:rsid w:val="32870EE7"/>
    <w:rsid w:val="32877139"/>
    <w:rsid w:val="328A6C2A"/>
    <w:rsid w:val="32912E68"/>
    <w:rsid w:val="3291620A"/>
    <w:rsid w:val="32917FB8"/>
    <w:rsid w:val="329F26D5"/>
    <w:rsid w:val="32A001FB"/>
    <w:rsid w:val="32A55811"/>
    <w:rsid w:val="32A73338"/>
    <w:rsid w:val="32A93554"/>
    <w:rsid w:val="32A970B0"/>
    <w:rsid w:val="32B12408"/>
    <w:rsid w:val="32B900B2"/>
    <w:rsid w:val="32BA750F"/>
    <w:rsid w:val="32BB162B"/>
    <w:rsid w:val="32BC3287"/>
    <w:rsid w:val="32BD6FFF"/>
    <w:rsid w:val="32C043F9"/>
    <w:rsid w:val="32C739DA"/>
    <w:rsid w:val="32C83002"/>
    <w:rsid w:val="32CC2D9E"/>
    <w:rsid w:val="32D16607"/>
    <w:rsid w:val="32D63C1D"/>
    <w:rsid w:val="32D677E9"/>
    <w:rsid w:val="32D700C1"/>
    <w:rsid w:val="32EB1476"/>
    <w:rsid w:val="32ED1692"/>
    <w:rsid w:val="32EE0F67"/>
    <w:rsid w:val="32EE540A"/>
    <w:rsid w:val="32F522F5"/>
    <w:rsid w:val="32F7552F"/>
    <w:rsid w:val="32F81DE5"/>
    <w:rsid w:val="32FA495D"/>
    <w:rsid w:val="32FD11AA"/>
    <w:rsid w:val="33024A12"/>
    <w:rsid w:val="330662B0"/>
    <w:rsid w:val="33095DA0"/>
    <w:rsid w:val="330E5059"/>
    <w:rsid w:val="332E3A59"/>
    <w:rsid w:val="3330332D"/>
    <w:rsid w:val="333252F7"/>
    <w:rsid w:val="33346E7E"/>
    <w:rsid w:val="33354DE7"/>
    <w:rsid w:val="333746BC"/>
    <w:rsid w:val="333D3C9C"/>
    <w:rsid w:val="3341553A"/>
    <w:rsid w:val="33492641"/>
    <w:rsid w:val="334943EF"/>
    <w:rsid w:val="334B3268"/>
    <w:rsid w:val="334E397C"/>
    <w:rsid w:val="334F40FB"/>
    <w:rsid w:val="334F7D59"/>
    <w:rsid w:val="3350577D"/>
    <w:rsid w:val="335334BF"/>
    <w:rsid w:val="335A2AA0"/>
    <w:rsid w:val="335C6818"/>
    <w:rsid w:val="335F1E64"/>
    <w:rsid w:val="336A14EE"/>
    <w:rsid w:val="33727DEA"/>
    <w:rsid w:val="337E22EA"/>
    <w:rsid w:val="337E678E"/>
    <w:rsid w:val="3382566F"/>
    <w:rsid w:val="33857B1D"/>
    <w:rsid w:val="338D4C23"/>
    <w:rsid w:val="338F274A"/>
    <w:rsid w:val="338F39E0"/>
    <w:rsid w:val="3392223A"/>
    <w:rsid w:val="339935C8"/>
    <w:rsid w:val="339A2E9C"/>
    <w:rsid w:val="33A45AC9"/>
    <w:rsid w:val="33A65CE5"/>
    <w:rsid w:val="33AB32FB"/>
    <w:rsid w:val="33AD497E"/>
    <w:rsid w:val="33B026C0"/>
    <w:rsid w:val="33B3141F"/>
    <w:rsid w:val="33B45D0C"/>
    <w:rsid w:val="33B61EB0"/>
    <w:rsid w:val="33B977C6"/>
    <w:rsid w:val="33C5598D"/>
    <w:rsid w:val="33C5616B"/>
    <w:rsid w:val="33C63C91"/>
    <w:rsid w:val="33CC574C"/>
    <w:rsid w:val="33CD3272"/>
    <w:rsid w:val="33D26ADA"/>
    <w:rsid w:val="33D939C5"/>
    <w:rsid w:val="33E67E90"/>
    <w:rsid w:val="33EB36F8"/>
    <w:rsid w:val="33ED7470"/>
    <w:rsid w:val="33F56325"/>
    <w:rsid w:val="33F86541"/>
    <w:rsid w:val="33F94067"/>
    <w:rsid w:val="33F95E15"/>
    <w:rsid w:val="34000F51"/>
    <w:rsid w:val="340547BA"/>
    <w:rsid w:val="340F719C"/>
    <w:rsid w:val="34117602"/>
    <w:rsid w:val="34190265"/>
    <w:rsid w:val="341B222F"/>
    <w:rsid w:val="341D7D55"/>
    <w:rsid w:val="34207846"/>
    <w:rsid w:val="34254E5C"/>
    <w:rsid w:val="342A4220"/>
    <w:rsid w:val="342F15DE"/>
    <w:rsid w:val="342F1837"/>
    <w:rsid w:val="343432F1"/>
    <w:rsid w:val="3434509F"/>
    <w:rsid w:val="3437693D"/>
    <w:rsid w:val="343B01DB"/>
    <w:rsid w:val="343D03F7"/>
    <w:rsid w:val="344C4197"/>
    <w:rsid w:val="34645984"/>
    <w:rsid w:val="34645E89"/>
    <w:rsid w:val="34684D49"/>
    <w:rsid w:val="34692F9B"/>
    <w:rsid w:val="346D766F"/>
    <w:rsid w:val="346F60D7"/>
    <w:rsid w:val="347831DE"/>
    <w:rsid w:val="347F27BE"/>
    <w:rsid w:val="34873421"/>
    <w:rsid w:val="34876187"/>
    <w:rsid w:val="34936269"/>
    <w:rsid w:val="34A00986"/>
    <w:rsid w:val="34A2025B"/>
    <w:rsid w:val="34A61710"/>
    <w:rsid w:val="34B34216"/>
    <w:rsid w:val="34B47F8E"/>
    <w:rsid w:val="34B61F58"/>
    <w:rsid w:val="34B85CD0"/>
    <w:rsid w:val="34BA37F6"/>
    <w:rsid w:val="34BD2E6C"/>
    <w:rsid w:val="34C46423"/>
    <w:rsid w:val="34C77CC1"/>
    <w:rsid w:val="34CA77B1"/>
    <w:rsid w:val="34CB5A03"/>
    <w:rsid w:val="34CC177B"/>
    <w:rsid w:val="34D32B0A"/>
    <w:rsid w:val="34D4418C"/>
    <w:rsid w:val="34DD1293"/>
    <w:rsid w:val="34E40873"/>
    <w:rsid w:val="34EA39B0"/>
    <w:rsid w:val="34F160E8"/>
    <w:rsid w:val="3502519D"/>
    <w:rsid w:val="35026F4B"/>
    <w:rsid w:val="35050B53"/>
    <w:rsid w:val="35070AAD"/>
    <w:rsid w:val="350727B3"/>
    <w:rsid w:val="35092088"/>
    <w:rsid w:val="350B742E"/>
    <w:rsid w:val="350C1B78"/>
    <w:rsid w:val="35156C7E"/>
    <w:rsid w:val="3518676F"/>
    <w:rsid w:val="351D5B33"/>
    <w:rsid w:val="35245113"/>
    <w:rsid w:val="35246EC1"/>
    <w:rsid w:val="35260E8C"/>
    <w:rsid w:val="35284C04"/>
    <w:rsid w:val="35295AA4"/>
    <w:rsid w:val="352B0250"/>
    <w:rsid w:val="353167A6"/>
    <w:rsid w:val="35327830"/>
    <w:rsid w:val="353510CF"/>
    <w:rsid w:val="3538296D"/>
    <w:rsid w:val="353E35D3"/>
    <w:rsid w:val="35431A3E"/>
    <w:rsid w:val="35441312"/>
    <w:rsid w:val="354B444E"/>
    <w:rsid w:val="354E03E2"/>
    <w:rsid w:val="35507C9C"/>
    <w:rsid w:val="35586B6B"/>
    <w:rsid w:val="355A28E3"/>
    <w:rsid w:val="35635C3C"/>
    <w:rsid w:val="35645510"/>
    <w:rsid w:val="35695279"/>
    <w:rsid w:val="3572263D"/>
    <w:rsid w:val="35731BF7"/>
    <w:rsid w:val="357339A5"/>
    <w:rsid w:val="35780FBB"/>
    <w:rsid w:val="357C6CFE"/>
    <w:rsid w:val="358309F1"/>
    <w:rsid w:val="358838F4"/>
    <w:rsid w:val="358D2CB9"/>
    <w:rsid w:val="35904557"/>
    <w:rsid w:val="35906305"/>
    <w:rsid w:val="359F29EC"/>
    <w:rsid w:val="359F479A"/>
    <w:rsid w:val="35A10512"/>
    <w:rsid w:val="35A41DB0"/>
    <w:rsid w:val="35B04BF9"/>
    <w:rsid w:val="35B20971"/>
    <w:rsid w:val="35B75F88"/>
    <w:rsid w:val="35B77D36"/>
    <w:rsid w:val="35B9585C"/>
    <w:rsid w:val="35BA15D4"/>
    <w:rsid w:val="35BB5A78"/>
    <w:rsid w:val="35BE10C4"/>
    <w:rsid w:val="35C0308E"/>
    <w:rsid w:val="35CB37E1"/>
    <w:rsid w:val="35D00DF7"/>
    <w:rsid w:val="35DC59EE"/>
    <w:rsid w:val="35DD2588"/>
    <w:rsid w:val="35DE52C2"/>
    <w:rsid w:val="35E11256"/>
    <w:rsid w:val="35E23FDD"/>
    <w:rsid w:val="35E46651"/>
    <w:rsid w:val="35E5295E"/>
    <w:rsid w:val="35EF5721"/>
    <w:rsid w:val="35F20D6E"/>
    <w:rsid w:val="35F9034E"/>
    <w:rsid w:val="35FA5E74"/>
    <w:rsid w:val="35FF348B"/>
    <w:rsid w:val="36010FB1"/>
    <w:rsid w:val="360311CD"/>
    <w:rsid w:val="36062A6B"/>
    <w:rsid w:val="36080591"/>
    <w:rsid w:val="3608233F"/>
    <w:rsid w:val="360B29CC"/>
    <w:rsid w:val="361B3D26"/>
    <w:rsid w:val="361C5DEB"/>
    <w:rsid w:val="3628478F"/>
    <w:rsid w:val="362A49AB"/>
    <w:rsid w:val="36343134"/>
    <w:rsid w:val="363976F7"/>
    <w:rsid w:val="363E0457"/>
    <w:rsid w:val="364041CF"/>
    <w:rsid w:val="36413AA3"/>
    <w:rsid w:val="36415851"/>
    <w:rsid w:val="36416515"/>
    <w:rsid w:val="36462E68"/>
    <w:rsid w:val="36484E32"/>
    <w:rsid w:val="364C66D0"/>
    <w:rsid w:val="364D069A"/>
    <w:rsid w:val="365437D6"/>
    <w:rsid w:val="3655404E"/>
    <w:rsid w:val="365612FD"/>
    <w:rsid w:val="365657A0"/>
    <w:rsid w:val="365732C7"/>
    <w:rsid w:val="36590DED"/>
    <w:rsid w:val="365D08DD"/>
    <w:rsid w:val="36613D32"/>
    <w:rsid w:val="36681030"/>
    <w:rsid w:val="36685822"/>
    <w:rsid w:val="366A124C"/>
    <w:rsid w:val="366A4DA8"/>
    <w:rsid w:val="36730100"/>
    <w:rsid w:val="36767BF1"/>
    <w:rsid w:val="367774C5"/>
    <w:rsid w:val="367E0853"/>
    <w:rsid w:val="367E6AA5"/>
    <w:rsid w:val="368220F2"/>
    <w:rsid w:val="36835C3C"/>
    <w:rsid w:val="36835E6A"/>
    <w:rsid w:val="36883480"/>
    <w:rsid w:val="368F0CB2"/>
    <w:rsid w:val="369260AD"/>
    <w:rsid w:val="369A6A38"/>
    <w:rsid w:val="369B5353"/>
    <w:rsid w:val="369D517D"/>
    <w:rsid w:val="36A24542"/>
    <w:rsid w:val="36A52E64"/>
    <w:rsid w:val="36AA1648"/>
    <w:rsid w:val="36AA5AEC"/>
    <w:rsid w:val="36AC3612"/>
    <w:rsid w:val="36B50719"/>
    <w:rsid w:val="36B57569"/>
    <w:rsid w:val="36B83D65"/>
    <w:rsid w:val="36BD137C"/>
    <w:rsid w:val="36BD312A"/>
    <w:rsid w:val="36BE6EA2"/>
    <w:rsid w:val="36CA5847"/>
    <w:rsid w:val="36CC15BF"/>
    <w:rsid w:val="36CE3589"/>
    <w:rsid w:val="36CF10AF"/>
    <w:rsid w:val="36D641EB"/>
    <w:rsid w:val="36D93CDC"/>
    <w:rsid w:val="36DB0755"/>
    <w:rsid w:val="36E16658"/>
    <w:rsid w:val="36E763F9"/>
    <w:rsid w:val="36EA58C4"/>
    <w:rsid w:val="36EC3A0F"/>
    <w:rsid w:val="36EE3C2B"/>
    <w:rsid w:val="36EE7787"/>
    <w:rsid w:val="36F11025"/>
    <w:rsid w:val="36F30C44"/>
    <w:rsid w:val="36F34D9D"/>
    <w:rsid w:val="36F6488E"/>
    <w:rsid w:val="36FA25D0"/>
    <w:rsid w:val="370074BA"/>
    <w:rsid w:val="37152F66"/>
    <w:rsid w:val="37163FFD"/>
    <w:rsid w:val="371A4A20"/>
    <w:rsid w:val="371D006C"/>
    <w:rsid w:val="371D5D20"/>
    <w:rsid w:val="371F3DE4"/>
    <w:rsid w:val="37213AEB"/>
    <w:rsid w:val="372C02AF"/>
    <w:rsid w:val="372E5DD5"/>
    <w:rsid w:val="37321D6A"/>
    <w:rsid w:val="373553B6"/>
    <w:rsid w:val="37384EA6"/>
    <w:rsid w:val="373C4433"/>
    <w:rsid w:val="373C4996"/>
    <w:rsid w:val="374101FF"/>
    <w:rsid w:val="374455F9"/>
    <w:rsid w:val="374A4272"/>
    <w:rsid w:val="375021F0"/>
    <w:rsid w:val="37517D16"/>
    <w:rsid w:val="375717D0"/>
    <w:rsid w:val="375815A3"/>
    <w:rsid w:val="375872F6"/>
    <w:rsid w:val="375A306E"/>
    <w:rsid w:val="376161AB"/>
    <w:rsid w:val="3763459C"/>
    <w:rsid w:val="37644D2D"/>
    <w:rsid w:val="37677539"/>
    <w:rsid w:val="37691503"/>
    <w:rsid w:val="376C4B50"/>
    <w:rsid w:val="376E2676"/>
    <w:rsid w:val="37735EDE"/>
    <w:rsid w:val="37751C56"/>
    <w:rsid w:val="37757D3A"/>
    <w:rsid w:val="37757EA8"/>
    <w:rsid w:val="3776777C"/>
    <w:rsid w:val="377A54BF"/>
    <w:rsid w:val="377F2AD5"/>
    <w:rsid w:val="378105FB"/>
    <w:rsid w:val="378679C0"/>
    <w:rsid w:val="37904CE2"/>
    <w:rsid w:val="37906A90"/>
    <w:rsid w:val="37907A35"/>
    <w:rsid w:val="379245B6"/>
    <w:rsid w:val="379320DC"/>
    <w:rsid w:val="37936580"/>
    <w:rsid w:val="379540A7"/>
    <w:rsid w:val="37991DE9"/>
    <w:rsid w:val="37AB5678"/>
    <w:rsid w:val="37B22EAA"/>
    <w:rsid w:val="37C16C4A"/>
    <w:rsid w:val="37C329C2"/>
    <w:rsid w:val="37C93D50"/>
    <w:rsid w:val="37CE5077"/>
    <w:rsid w:val="37D270A9"/>
    <w:rsid w:val="37D42E21"/>
    <w:rsid w:val="37E33064"/>
    <w:rsid w:val="37E34E12"/>
    <w:rsid w:val="37E8067A"/>
    <w:rsid w:val="37EA43F2"/>
    <w:rsid w:val="37EC3AB6"/>
    <w:rsid w:val="37EF7C5B"/>
    <w:rsid w:val="37F17146"/>
    <w:rsid w:val="37F4701F"/>
    <w:rsid w:val="37F60FE9"/>
    <w:rsid w:val="37F76B0F"/>
    <w:rsid w:val="37F94635"/>
    <w:rsid w:val="3801173C"/>
    <w:rsid w:val="38064FA4"/>
    <w:rsid w:val="38163439"/>
    <w:rsid w:val="38174ABC"/>
    <w:rsid w:val="381C0324"/>
    <w:rsid w:val="38213B8C"/>
    <w:rsid w:val="3821593A"/>
    <w:rsid w:val="382316B2"/>
    <w:rsid w:val="3825542A"/>
    <w:rsid w:val="382C4A0B"/>
    <w:rsid w:val="382D0783"/>
    <w:rsid w:val="38312021"/>
    <w:rsid w:val="38353194"/>
    <w:rsid w:val="383E473E"/>
    <w:rsid w:val="38431D54"/>
    <w:rsid w:val="38433B03"/>
    <w:rsid w:val="384A30E3"/>
    <w:rsid w:val="384A6C3F"/>
    <w:rsid w:val="38575800"/>
    <w:rsid w:val="385B0E4C"/>
    <w:rsid w:val="385C6972"/>
    <w:rsid w:val="386B4E07"/>
    <w:rsid w:val="386C12AB"/>
    <w:rsid w:val="386D5023"/>
    <w:rsid w:val="38726196"/>
    <w:rsid w:val="387939C8"/>
    <w:rsid w:val="388C7258"/>
    <w:rsid w:val="38961E84"/>
    <w:rsid w:val="3898112C"/>
    <w:rsid w:val="389B393F"/>
    <w:rsid w:val="38A72030"/>
    <w:rsid w:val="38AE3672"/>
    <w:rsid w:val="38B642D4"/>
    <w:rsid w:val="38BC4F80"/>
    <w:rsid w:val="38BD38B5"/>
    <w:rsid w:val="38C06F01"/>
    <w:rsid w:val="38C42E95"/>
    <w:rsid w:val="38C84008"/>
    <w:rsid w:val="38C904AC"/>
    <w:rsid w:val="38CC7F9C"/>
    <w:rsid w:val="38CE5AC2"/>
    <w:rsid w:val="38CF5396"/>
    <w:rsid w:val="38D26C34"/>
    <w:rsid w:val="38D806EF"/>
    <w:rsid w:val="38E250CA"/>
    <w:rsid w:val="38E70932"/>
    <w:rsid w:val="38E76B84"/>
    <w:rsid w:val="38E86458"/>
    <w:rsid w:val="38EC419A"/>
    <w:rsid w:val="38F512A1"/>
    <w:rsid w:val="38FA68B7"/>
    <w:rsid w:val="38FB262F"/>
    <w:rsid w:val="390019F4"/>
    <w:rsid w:val="390037A2"/>
    <w:rsid w:val="3902751A"/>
    <w:rsid w:val="390A4620"/>
    <w:rsid w:val="390B0AC4"/>
    <w:rsid w:val="391060DB"/>
    <w:rsid w:val="392A081F"/>
    <w:rsid w:val="392A2FD6"/>
    <w:rsid w:val="3930052B"/>
    <w:rsid w:val="39316051"/>
    <w:rsid w:val="393618B9"/>
    <w:rsid w:val="39365415"/>
    <w:rsid w:val="393C6ED0"/>
    <w:rsid w:val="39455658"/>
    <w:rsid w:val="39475874"/>
    <w:rsid w:val="394C2E8B"/>
    <w:rsid w:val="3951224F"/>
    <w:rsid w:val="39535FC7"/>
    <w:rsid w:val="39581830"/>
    <w:rsid w:val="395E321B"/>
    <w:rsid w:val="396401D4"/>
    <w:rsid w:val="39657AA9"/>
    <w:rsid w:val="397305AE"/>
    <w:rsid w:val="397877DC"/>
    <w:rsid w:val="397C3770"/>
    <w:rsid w:val="3986014B"/>
    <w:rsid w:val="3986639D"/>
    <w:rsid w:val="398B5761"/>
    <w:rsid w:val="398B750F"/>
    <w:rsid w:val="398C3287"/>
    <w:rsid w:val="398D772B"/>
    <w:rsid w:val="39916AF0"/>
    <w:rsid w:val="399F2FBB"/>
    <w:rsid w:val="39A44A75"/>
    <w:rsid w:val="39A46823"/>
    <w:rsid w:val="39A700C1"/>
    <w:rsid w:val="39AB5E03"/>
    <w:rsid w:val="39AC56D7"/>
    <w:rsid w:val="39AE1450"/>
    <w:rsid w:val="39BD78E5"/>
    <w:rsid w:val="39C742BF"/>
    <w:rsid w:val="39D55FF8"/>
    <w:rsid w:val="39D72754"/>
    <w:rsid w:val="39D92970"/>
    <w:rsid w:val="39DA3FF3"/>
    <w:rsid w:val="39DF785B"/>
    <w:rsid w:val="39E15381"/>
    <w:rsid w:val="39E871D0"/>
    <w:rsid w:val="39F50E2C"/>
    <w:rsid w:val="39F552D0"/>
    <w:rsid w:val="39F772BA"/>
    <w:rsid w:val="39FC21BB"/>
    <w:rsid w:val="39FF3A59"/>
    <w:rsid w:val="3A0D261A"/>
    <w:rsid w:val="3A12378C"/>
    <w:rsid w:val="3A145757"/>
    <w:rsid w:val="3A175247"/>
    <w:rsid w:val="3A217E73"/>
    <w:rsid w:val="3A231E3E"/>
    <w:rsid w:val="3A281202"/>
    <w:rsid w:val="3A2F07E2"/>
    <w:rsid w:val="3A2F4EFB"/>
    <w:rsid w:val="3A3057C7"/>
    <w:rsid w:val="3A3951BD"/>
    <w:rsid w:val="3A3A1E13"/>
    <w:rsid w:val="3A3D2D97"/>
    <w:rsid w:val="3A414072"/>
    <w:rsid w:val="3A43603C"/>
    <w:rsid w:val="3A557B1D"/>
    <w:rsid w:val="3A564FC6"/>
    <w:rsid w:val="3A59472B"/>
    <w:rsid w:val="3A647D60"/>
    <w:rsid w:val="3A667F7C"/>
    <w:rsid w:val="3A695377"/>
    <w:rsid w:val="3A6A181A"/>
    <w:rsid w:val="3A6D4E67"/>
    <w:rsid w:val="3A6F6E31"/>
    <w:rsid w:val="3A766411"/>
    <w:rsid w:val="3A781144"/>
    <w:rsid w:val="3A7B57D6"/>
    <w:rsid w:val="3A850402"/>
    <w:rsid w:val="3A8A3559"/>
    <w:rsid w:val="3A922B1F"/>
    <w:rsid w:val="3A9B5E78"/>
    <w:rsid w:val="3A9E3272"/>
    <w:rsid w:val="3A9F4C93"/>
    <w:rsid w:val="3AA06FEA"/>
    <w:rsid w:val="3AAA7E69"/>
    <w:rsid w:val="3AAD1707"/>
    <w:rsid w:val="3AAD7959"/>
    <w:rsid w:val="3AAF1923"/>
    <w:rsid w:val="3AB94550"/>
    <w:rsid w:val="3ABB2076"/>
    <w:rsid w:val="3ABE1B66"/>
    <w:rsid w:val="3AC01D6E"/>
    <w:rsid w:val="3AC21656"/>
    <w:rsid w:val="3AC919E7"/>
    <w:rsid w:val="3ACE7FFB"/>
    <w:rsid w:val="3AD13648"/>
    <w:rsid w:val="3AD4138A"/>
    <w:rsid w:val="3AD46C94"/>
    <w:rsid w:val="3AD60C5E"/>
    <w:rsid w:val="3AD82C28"/>
    <w:rsid w:val="3AD9074E"/>
    <w:rsid w:val="3AD924FC"/>
    <w:rsid w:val="3AE113B1"/>
    <w:rsid w:val="3AE25855"/>
    <w:rsid w:val="3AEE41FA"/>
    <w:rsid w:val="3AEF7F72"/>
    <w:rsid w:val="3AF13CEA"/>
    <w:rsid w:val="3AF37A62"/>
    <w:rsid w:val="3AF45588"/>
    <w:rsid w:val="3AFF12B6"/>
    <w:rsid w:val="3B007A89"/>
    <w:rsid w:val="3B043A1D"/>
    <w:rsid w:val="3B0532F1"/>
    <w:rsid w:val="3B0C28D2"/>
    <w:rsid w:val="3B0F4170"/>
    <w:rsid w:val="3B1B2B15"/>
    <w:rsid w:val="3B1D1724"/>
    <w:rsid w:val="3B1D4ADF"/>
    <w:rsid w:val="3B2220F5"/>
    <w:rsid w:val="3B273268"/>
    <w:rsid w:val="3B2A71FC"/>
    <w:rsid w:val="3B32436D"/>
    <w:rsid w:val="3B342061"/>
    <w:rsid w:val="3B345984"/>
    <w:rsid w:val="3B367023"/>
    <w:rsid w:val="3B4C2CCE"/>
    <w:rsid w:val="3B4D4583"/>
    <w:rsid w:val="3B4E6A46"/>
    <w:rsid w:val="3B4F27BE"/>
    <w:rsid w:val="3B585B17"/>
    <w:rsid w:val="3B5A188F"/>
    <w:rsid w:val="3B5A363D"/>
    <w:rsid w:val="3B5D137F"/>
    <w:rsid w:val="3B5E2A01"/>
    <w:rsid w:val="3B602C1D"/>
    <w:rsid w:val="3B6049CB"/>
    <w:rsid w:val="3B620744"/>
    <w:rsid w:val="3B651FE2"/>
    <w:rsid w:val="3B653D90"/>
    <w:rsid w:val="3B677B08"/>
    <w:rsid w:val="3B6B3A9C"/>
    <w:rsid w:val="3B6D7897"/>
    <w:rsid w:val="3B7010B2"/>
    <w:rsid w:val="3B712735"/>
    <w:rsid w:val="3B7364AD"/>
    <w:rsid w:val="3B7566C9"/>
    <w:rsid w:val="3B781D15"/>
    <w:rsid w:val="3B7A783B"/>
    <w:rsid w:val="3B7C1355"/>
    <w:rsid w:val="3B7D557D"/>
    <w:rsid w:val="3B822B94"/>
    <w:rsid w:val="3B892174"/>
    <w:rsid w:val="3B893F22"/>
    <w:rsid w:val="3B8C071D"/>
    <w:rsid w:val="3B8C3A12"/>
    <w:rsid w:val="3B8C756F"/>
    <w:rsid w:val="3B9603ED"/>
    <w:rsid w:val="3B9D5C20"/>
    <w:rsid w:val="3BA26D92"/>
    <w:rsid w:val="3BA42B0A"/>
    <w:rsid w:val="3BA945C4"/>
    <w:rsid w:val="3BA94F02"/>
    <w:rsid w:val="3BB30F9F"/>
    <w:rsid w:val="3BB32D4D"/>
    <w:rsid w:val="3BB35CFF"/>
    <w:rsid w:val="3BB84807"/>
    <w:rsid w:val="3BBA0580"/>
    <w:rsid w:val="3BBC60A6"/>
    <w:rsid w:val="3BC27434"/>
    <w:rsid w:val="3BC96A15"/>
    <w:rsid w:val="3BCC2061"/>
    <w:rsid w:val="3BD418BA"/>
    <w:rsid w:val="3BD66A3C"/>
    <w:rsid w:val="3BDA477E"/>
    <w:rsid w:val="3BDC6748"/>
    <w:rsid w:val="3BDD7DCA"/>
    <w:rsid w:val="3BDF30E8"/>
    <w:rsid w:val="3BE253E0"/>
    <w:rsid w:val="3BF05D4F"/>
    <w:rsid w:val="3BF13876"/>
    <w:rsid w:val="3BF33A92"/>
    <w:rsid w:val="3BF35840"/>
    <w:rsid w:val="3BFC46F4"/>
    <w:rsid w:val="3BFD221A"/>
    <w:rsid w:val="3BFF2436"/>
    <w:rsid w:val="3C0812EB"/>
    <w:rsid w:val="3C090BBF"/>
    <w:rsid w:val="3C1063F2"/>
    <w:rsid w:val="3C1852A6"/>
    <w:rsid w:val="3C1A101E"/>
    <w:rsid w:val="3C1A2DCC"/>
    <w:rsid w:val="3C1D466B"/>
    <w:rsid w:val="3C1E0B0E"/>
    <w:rsid w:val="3C2123AD"/>
    <w:rsid w:val="3C221C81"/>
    <w:rsid w:val="3C243C4B"/>
    <w:rsid w:val="3C2C5C41"/>
    <w:rsid w:val="3C335C3C"/>
    <w:rsid w:val="3C425AB9"/>
    <w:rsid w:val="3C456863"/>
    <w:rsid w:val="3C4936B2"/>
    <w:rsid w:val="3C4A20B8"/>
    <w:rsid w:val="3C4B742A"/>
    <w:rsid w:val="3C4C11FB"/>
    <w:rsid w:val="3C4E0CC8"/>
    <w:rsid w:val="3C502C8E"/>
    <w:rsid w:val="3C526A0A"/>
    <w:rsid w:val="3C5502A8"/>
    <w:rsid w:val="3C575DCE"/>
    <w:rsid w:val="3C664263"/>
    <w:rsid w:val="3C666012"/>
    <w:rsid w:val="3C6D114E"/>
    <w:rsid w:val="3C7050E2"/>
    <w:rsid w:val="3C75286E"/>
    <w:rsid w:val="3C77021F"/>
    <w:rsid w:val="3C7B47BA"/>
    <w:rsid w:val="3C88242C"/>
    <w:rsid w:val="3C89198F"/>
    <w:rsid w:val="3C9012E0"/>
    <w:rsid w:val="3C9A5CBB"/>
    <w:rsid w:val="3C9C1A33"/>
    <w:rsid w:val="3C9E39FD"/>
    <w:rsid w:val="3CA1704A"/>
    <w:rsid w:val="3CA37266"/>
    <w:rsid w:val="3CA628B2"/>
    <w:rsid w:val="3CA64660"/>
    <w:rsid w:val="3CA8662A"/>
    <w:rsid w:val="3CA87B55"/>
    <w:rsid w:val="3CAC611A"/>
    <w:rsid w:val="3CB2202B"/>
    <w:rsid w:val="3CB23005"/>
    <w:rsid w:val="3CB7686D"/>
    <w:rsid w:val="3CBC3E83"/>
    <w:rsid w:val="3CBD0327"/>
    <w:rsid w:val="3CC86CCC"/>
    <w:rsid w:val="3CCA034E"/>
    <w:rsid w:val="3CD016DD"/>
    <w:rsid w:val="3CDD2778"/>
    <w:rsid w:val="3CE33B06"/>
    <w:rsid w:val="3CE501FC"/>
    <w:rsid w:val="3CE64969"/>
    <w:rsid w:val="3CEC4769"/>
    <w:rsid w:val="3CF47AC1"/>
    <w:rsid w:val="3CFA5C50"/>
    <w:rsid w:val="3D0870C9"/>
    <w:rsid w:val="3D121CF5"/>
    <w:rsid w:val="3D127F47"/>
    <w:rsid w:val="3D13533D"/>
    <w:rsid w:val="3D141F11"/>
    <w:rsid w:val="3D1B504E"/>
    <w:rsid w:val="3D204412"/>
    <w:rsid w:val="3D255ECD"/>
    <w:rsid w:val="3D305D1F"/>
    <w:rsid w:val="3D363C36"/>
    <w:rsid w:val="3D3659E4"/>
    <w:rsid w:val="3D37175C"/>
    <w:rsid w:val="3D3954D4"/>
    <w:rsid w:val="3D3A1978"/>
    <w:rsid w:val="3D3C5A02"/>
    <w:rsid w:val="3D3D3216"/>
    <w:rsid w:val="3D406863"/>
    <w:rsid w:val="3D453E79"/>
    <w:rsid w:val="3D475E43"/>
    <w:rsid w:val="3D4C16AB"/>
    <w:rsid w:val="3D4D1C2B"/>
    <w:rsid w:val="3D4F6AA6"/>
    <w:rsid w:val="3D567E34"/>
    <w:rsid w:val="3D5E4F3B"/>
    <w:rsid w:val="3D5F5B26"/>
    <w:rsid w:val="3D6166D1"/>
    <w:rsid w:val="3D624A2B"/>
    <w:rsid w:val="3D660C6F"/>
    <w:rsid w:val="3D663493"/>
    <w:rsid w:val="3D6C7658"/>
    <w:rsid w:val="3D6F7148"/>
    <w:rsid w:val="3D712EC0"/>
    <w:rsid w:val="3D715D82"/>
    <w:rsid w:val="3D74475E"/>
    <w:rsid w:val="3D7D3B8B"/>
    <w:rsid w:val="3D830958"/>
    <w:rsid w:val="3D891FB8"/>
    <w:rsid w:val="3D89645B"/>
    <w:rsid w:val="3D9372DA"/>
    <w:rsid w:val="3D98669F"/>
    <w:rsid w:val="3D9B618F"/>
    <w:rsid w:val="3DA05553"/>
    <w:rsid w:val="3DA908AC"/>
    <w:rsid w:val="3DAB63D2"/>
    <w:rsid w:val="3DAD3404"/>
    <w:rsid w:val="3DBA2D6A"/>
    <w:rsid w:val="3DBB413B"/>
    <w:rsid w:val="3DBC0328"/>
    <w:rsid w:val="3DBD6105"/>
    <w:rsid w:val="3DC01751"/>
    <w:rsid w:val="3DC41242"/>
    <w:rsid w:val="3DC52B1B"/>
    <w:rsid w:val="3DC54FBA"/>
    <w:rsid w:val="3DC6320C"/>
    <w:rsid w:val="3DD82F3F"/>
    <w:rsid w:val="3DDD0555"/>
    <w:rsid w:val="3DDD0E98"/>
    <w:rsid w:val="3DE47EA4"/>
    <w:rsid w:val="3DE713D4"/>
    <w:rsid w:val="3DEE2762"/>
    <w:rsid w:val="3DEE62BF"/>
    <w:rsid w:val="3DF007AE"/>
    <w:rsid w:val="3DFA4C63"/>
    <w:rsid w:val="3E083824"/>
    <w:rsid w:val="3E111FAD"/>
    <w:rsid w:val="3E135D25"/>
    <w:rsid w:val="3E157CEF"/>
    <w:rsid w:val="3E1675C3"/>
    <w:rsid w:val="3E1A3557"/>
    <w:rsid w:val="3E246184"/>
    <w:rsid w:val="3E261EFC"/>
    <w:rsid w:val="3E287A22"/>
    <w:rsid w:val="3E3416D5"/>
    <w:rsid w:val="3E391C30"/>
    <w:rsid w:val="3E3A7756"/>
    <w:rsid w:val="3E500D27"/>
    <w:rsid w:val="3E5527E2"/>
    <w:rsid w:val="3E594080"/>
    <w:rsid w:val="3E5A6B4B"/>
    <w:rsid w:val="3E5F0F6A"/>
    <w:rsid w:val="3E66679D"/>
    <w:rsid w:val="3E6678A1"/>
    <w:rsid w:val="3E6B5B61"/>
    <w:rsid w:val="3E6F5ADD"/>
    <w:rsid w:val="3E75078E"/>
    <w:rsid w:val="3E772758"/>
    <w:rsid w:val="3E7A3FF6"/>
    <w:rsid w:val="3E7A5DA4"/>
    <w:rsid w:val="3E7C1B1C"/>
    <w:rsid w:val="3E7F160D"/>
    <w:rsid w:val="3E811382"/>
    <w:rsid w:val="3E8135D7"/>
    <w:rsid w:val="3E864749"/>
    <w:rsid w:val="3E8926E5"/>
    <w:rsid w:val="3E8B6203"/>
    <w:rsid w:val="3E921340"/>
    <w:rsid w:val="3E950E30"/>
    <w:rsid w:val="3E9A0A99"/>
    <w:rsid w:val="3E9C3F6D"/>
    <w:rsid w:val="3EA177D5"/>
    <w:rsid w:val="3EA846BF"/>
    <w:rsid w:val="3EB43064"/>
    <w:rsid w:val="3EB47508"/>
    <w:rsid w:val="3EB70DA6"/>
    <w:rsid w:val="3EBA2645"/>
    <w:rsid w:val="3EBC460F"/>
    <w:rsid w:val="3ECD2378"/>
    <w:rsid w:val="3ECF7E9E"/>
    <w:rsid w:val="3ED03C16"/>
    <w:rsid w:val="3ED43706"/>
    <w:rsid w:val="3ED5122D"/>
    <w:rsid w:val="3EDC080D"/>
    <w:rsid w:val="3EDC6A5F"/>
    <w:rsid w:val="3EE020AB"/>
    <w:rsid w:val="3EE14075"/>
    <w:rsid w:val="3EE6168C"/>
    <w:rsid w:val="3EEA09C3"/>
    <w:rsid w:val="3EED6576"/>
    <w:rsid w:val="3EF21DDE"/>
    <w:rsid w:val="3EFA3DD4"/>
    <w:rsid w:val="3EFE0783"/>
    <w:rsid w:val="3F0062A9"/>
    <w:rsid w:val="3F0D4E6A"/>
    <w:rsid w:val="3F0F2990"/>
    <w:rsid w:val="3F125FDD"/>
    <w:rsid w:val="3F1D32FF"/>
    <w:rsid w:val="3F204B9E"/>
    <w:rsid w:val="3F222FE0"/>
    <w:rsid w:val="3F255D10"/>
    <w:rsid w:val="3F277CDA"/>
    <w:rsid w:val="3F2D72BA"/>
    <w:rsid w:val="3F367F1D"/>
    <w:rsid w:val="3F373C95"/>
    <w:rsid w:val="3F381EE7"/>
    <w:rsid w:val="3F3B181C"/>
    <w:rsid w:val="3F410957"/>
    <w:rsid w:val="3F422D66"/>
    <w:rsid w:val="3F4343E8"/>
    <w:rsid w:val="3F4C14EF"/>
    <w:rsid w:val="3F5356B7"/>
    <w:rsid w:val="3F536D21"/>
    <w:rsid w:val="3F5605BF"/>
    <w:rsid w:val="3F5860E5"/>
    <w:rsid w:val="3F591E5E"/>
    <w:rsid w:val="3F5B7984"/>
    <w:rsid w:val="3F5E1222"/>
    <w:rsid w:val="3F6251B6"/>
    <w:rsid w:val="3F650802"/>
    <w:rsid w:val="3F6A31A9"/>
    <w:rsid w:val="3F6A406B"/>
    <w:rsid w:val="3F6B5F95"/>
    <w:rsid w:val="3F6D76B7"/>
    <w:rsid w:val="3F6E3B5B"/>
    <w:rsid w:val="3F6F78D3"/>
    <w:rsid w:val="3F713F31"/>
    <w:rsid w:val="3F740A45"/>
    <w:rsid w:val="3F780536"/>
    <w:rsid w:val="3F786788"/>
    <w:rsid w:val="3F79605C"/>
    <w:rsid w:val="3F7D78FA"/>
    <w:rsid w:val="3F827606"/>
    <w:rsid w:val="3F892743"/>
    <w:rsid w:val="3F9133A5"/>
    <w:rsid w:val="3F917849"/>
    <w:rsid w:val="3F9A4950"/>
    <w:rsid w:val="3F9B23B0"/>
    <w:rsid w:val="3F9D1D4A"/>
    <w:rsid w:val="3F9F1F66"/>
    <w:rsid w:val="3F9F3D14"/>
    <w:rsid w:val="3FA72BC9"/>
    <w:rsid w:val="3FAA090B"/>
    <w:rsid w:val="3FAA4467"/>
    <w:rsid w:val="3FAC01DF"/>
    <w:rsid w:val="3FAC4683"/>
    <w:rsid w:val="3FB157F6"/>
    <w:rsid w:val="3FB64DBA"/>
    <w:rsid w:val="3FB66B56"/>
    <w:rsid w:val="3FB928FC"/>
    <w:rsid w:val="3FBA6DA0"/>
    <w:rsid w:val="3FBF6165"/>
    <w:rsid w:val="3FC217B1"/>
    <w:rsid w:val="3FC419CD"/>
    <w:rsid w:val="3FC45529"/>
    <w:rsid w:val="3FCC262F"/>
    <w:rsid w:val="3FCE63A8"/>
    <w:rsid w:val="3FD57736"/>
    <w:rsid w:val="3FD634AE"/>
    <w:rsid w:val="3FD87226"/>
    <w:rsid w:val="3FDD2A8F"/>
    <w:rsid w:val="3FDFAA24"/>
    <w:rsid w:val="3FE07E89"/>
    <w:rsid w:val="3FE94F8F"/>
    <w:rsid w:val="3FEB51AC"/>
    <w:rsid w:val="3FED924D"/>
    <w:rsid w:val="3FF1653A"/>
    <w:rsid w:val="3FF322B2"/>
    <w:rsid w:val="3FF57DD8"/>
    <w:rsid w:val="3FF81676"/>
    <w:rsid w:val="3FFF2A05"/>
    <w:rsid w:val="400E0E9A"/>
    <w:rsid w:val="40144798"/>
    <w:rsid w:val="40167D4F"/>
    <w:rsid w:val="40275AB8"/>
    <w:rsid w:val="40291830"/>
    <w:rsid w:val="402B37FA"/>
    <w:rsid w:val="402E6E46"/>
    <w:rsid w:val="40343568"/>
    <w:rsid w:val="40384169"/>
    <w:rsid w:val="403A57EB"/>
    <w:rsid w:val="403C0ED4"/>
    <w:rsid w:val="40490124"/>
    <w:rsid w:val="404E1296"/>
    <w:rsid w:val="40512B35"/>
    <w:rsid w:val="405368AD"/>
    <w:rsid w:val="405A7C3B"/>
    <w:rsid w:val="405E3BCF"/>
    <w:rsid w:val="40610FCA"/>
    <w:rsid w:val="40644F5E"/>
    <w:rsid w:val="406960D0"/>
    <w:rsid w:val="406B009A"/>
    <w:rsid w:val="406B1E48"/>
    <w:rsid w:val="406D3E12"/>
    <w:rsid w:val="40776A3F"/>
    <w:rsid w:val="407A652F"/>
    <w:rsid w:val="407D0E43"/>
    <w:rsid w:val="407E22C6"/>
    <w:rsid w:val="40814D28"/>
    <w:rsid w:val="408A49C4"/>
    <w:rsid w:val="4090365D"/>
    <w:rsid w:val="40994C08"/>
    <w:rsid w:val="409A0980"/>
    <w:rsid w:val="40A47108"/>
    <w:rsid w:val="40A519CB"/>
    <w:rsid w:val="40AA6275"/>
    <w:rsid w:val="40B21825"/>
    <w:rsid w:val="40B437EF"/>
    <w:rsid w:val="40B82BB4"/>
    <w:rsid w:val="40BD28D9"/>
    <w:rsid w:val="40BF2194"/>
    <w:rsid w:val="40C63523"/>
    <w:rsid w:val="40C813CB"/>
    <w:rsid w:val="40CE724E"/>
    <w:rsid w:val="40D043A1"/>
    <w:rsid w:val="40DA0D7C"/>
    <w:rsid w:val="40DB31F1"/>
    <w:rsid w:val="40DB5220"/>
    <w:rsid w:val="40E13EB9"/>
    <w:rsid w:val="40E340D5"/>
    <w:rsid w:val="40EB11DB"/>
    <w:rsid w:val="40EE65D6"/>
    <w:rsid w:val="40F161C8"/>
    <w:rsid w:val="40F167F2"/>
    <w:rsid w:val="40F55BB6"/>
    <w:rsid w:val="40FC5196"/>
    <w:rsid w:val="40FC6F44"/>
    <w:rsid w:val="410858E9"/>
    <w:rsid w:val="410D2F00"/>
    <w:rsid w:val="410D73A4"/>
    <w:rsid w:val="41140732"/>
    <w:rsid w:val="411424E0"/>
    <w:rsid w:val="41186C23"/>
    <w:rsid w:val="411E335F"/>
    <w:rsid w:val="41200E85"/>
    <w:rsid w:val="41232FB4"/>
    <w:rsid w:val="41265D6F"/>
    <w:rsid w:val="412B15D8"/>
    <w:rsid w:val="41306BEE"/>
    <w:rsid w:val="41395AA3"/>
    <w:rsid w:val="413C37E5"/>
    <w:rsid w:val="414032D5"/>
    <w:rsid w:val="4142704D"/>
    <w:rsid w:val="41434B73"/>
    <w:rsid w:val="41452699"/>
    <w:rsid w:val="414954A9"/>
    <w:rsid w:val="41562AF9"/>
    <w:rsid w:val="41571C44"/>
    <w:rsid w:val="415723CD"/>
    <w:rsid w:val="41597EF3"/>
    <w:rsid w:val="415A50AF"/>
    <w:rsid w:val="415C79E3"/>
    <w:rsid w:val="416074D3"/>
    <w:rsid w:val="41614FF9"/>
    <w:rsid w:val="4162149D"/>
    <w:rsid w:val="41630D72"/>
    <w:rsid w:val="41635215"/>
    <w:rsid w:val="41656898"/>
    <w:rsid w:val="41662610"/>
    <w:rsid w:val="417B2918"/>
    <w:rsid w:val="417B430D"/>
    <w:rsid w:val="417E3DFD"/>
    <w:rsid w:val="417E5BAB"/>
    <w:rsid w:val="4181639C"/>
    <w:rsid w:val="418331C2"/>
    <w:rsid w:val="4185518C"/>
    <w:rsid w:val="418807D8"/>
    <w:rsid w:val="418C6763"/>
    <w:rsid w:val="419158DF"/>
    <w:rsid w:val="41931657"/>
    <w:rsid w:val="41990C37"/>
    <w:rsid w:val="419E7FFC"/>
    <w:rsid w:val="41A970CC"/>
    <w:rsid w:val="41AF3FB7"/>
    <w:rsid w:val="41B45A71"/>
    <w:rsid w:val="41B4781F"/>
    <w:rsid w:val="41B96BE3"/>
    <w:rsid w:val="41BD2B78"/>
    <w:rsid w:val="41C07F72"/>
    <w:rsid w:val="41C2018E"/>
    <w:rsid w:val="41D61543"/>
    <w:rsid w:val="41DD28D2"/>
    <w:rsid w:val="41E55C2A"/>
    <w:rsid w:val="41E579D9"/>
    <w:rsid w:val="41E9571B"/>
    <w:rsid w:val="41EC0D67"/>
    <w:rsid w:val="41EF2605"/>
    <w:rsid w:val="41F12821"/>
    <w:rsid w:val="41F8770C"/>
    <w:rsid w:val="42051E29"/>
    <w:rsid w:val="420605C9"/>
    <w:rsid w:val="42097B6B"/>
    <w:rsid w:val="420A03DA"/>
    <w:rsid w:val="420C765B"/>
    <w:rsid w:val="420E5181"/>
    <w:rsid w:val="420F4A55"/>
    <w:rsid w:val="42134546"/>
    <w:rsid w:val="42165DE4"/>
    <w:rsid w:val="421A0D47"/>
    <w:rsid w:val="421D53C4"/>
    <w:rsid w:val="42204EB5"/>
    <w:rsid w:val="422B5D33"/>
    <w:rsid w:val="422E312E"/>
    <w:rsid w:val="422E75D1"/>
    <w:rsid w:val="42335A60"/>
    <w:rsid w:val="423746D8"/>
    <w:rsid w:val="42415557"/>
    <w:rsid w:val="42437045"/>
    <w:rsid w:val="42440BA3"/>
    <w:rsid w:val="424566C9"/>
    <w:rsid w:val="4249440B"/>
    <w:rsid w:val="424D3EFC"/>
    <w:rsid w:val="42507548"/>
    <w:rsid w:val="42554B5E"/>
    <w:rsid w:val="4255690C"/>
    <w:rsid w:val="42576B28"/>
    <w:rsid w:val="425A03C6"/>
    <w:rsid w:val="4267663F"/>
    <w:rsid w:val="426824C9"/>
    <w:rsid w:val="426B25D4"/>
    <w:rsid w:val="426D634C"/>
    <w:rsid w:val="42703746"/>
    <w:rsid w:val="42707BEA"/>
    <w:rsid w:val="42710A18"/>
    <w:rsid w:val="42733236"/>
    <w:rsid w:val="42735F09"/>
    <w:rsid w:val="427A45C5"/>
    <w:rsid w:val="427A6373"/>
    <w:rsid w:val="427F607F"/>
    <w:rsid w:val="428914A3"/>
    <w:rsid w:val="42892A5A"/>
    <w:rsid w:val="428B0805"/>
    <w:rsid w:val="428B4A24"/>
    <w:rsid w:val="429513FF"/>
    <w:rsid w:val="42984A4B"/>
    <w:rsid w:val="42A1447A"/>
    <w:rsid w:val="42A163B6"/>
    <w:rsid w:val="42A27846"/>
    <w:rsid w:val="42A31D6D"/>
    <w:rsid w:val="42A67168"/>
    <w:rsid w:val="42B069B9"/>
    <w:rsid w:val="42B51AA1"/>
    <w:rsid w:val="42B5384F"/>
    <w:rsid w:val="42B71375"/>
    <w:rsid w:val="42B775C7"/>
    <w:rsid w:val="42BA55B4"/>
    <w:rsid w:val="42BC4BDD"/>
    <w:rsid w:val="42C27D1A"/>
    <w:rsid w:val="42CE66BF"/>
    <w:rsid w:val="42D261AF"/>
    <w:rsid w:val="42D33CD5"/>
    <w:rsid w:val="42D75573"/>
    <w:rsid w:val="42DF267A"/>
    <w:rsid w:val="42E303BC"/>
    <w:rsid w:val="42E3660E"/>
    <w:rsid w:val="42ED2FE9"/>
    <w:rsid w:val="42F500EF"/>
    <w:rsid w:val="42F51E9D"/>
    <w:rsid w:val="42F8373B"/>
    <w:rsid w:val="42FE6FA4"/>
    <w:rsid w:val="430622FC"/>
    <w:rsid w:val="43081BD1"/>
    <w:rsid w:val="430A3B9B"/>
    <w:rsid w:val="430D71E7"/>
    <w:rsid w:val="43122A4F"/>
    <w:rsid w:val="43123DB8"/>
    <w:rsid w:val="431467C7"/>
    <w:rsid w:val="431B5DA8"/>
    <w:rsid w:val="43234C5C"/>
    <w:rsid w:val="43244531"/>
    <w:rsid w:val="4324765C"/>
    <w:rsid w:val="432F53AF"/>
    <w:rsid w:val="4339622E"/>
    <w:rsid w:val="433C187A"/>
    <w:rsid w:val="433C5D1E"/>
    <w:rsid w:val="434370AD"/>
    <w:rsid w:val="43452E25"/>
    <w:rsid w:val="434765EB"/>
    <w:rsid w:val="434B5F61"/>
    <w:rsid w:val="434D7F2B"/>
    <w:rsid w:val="43570DAA"/>
    <w:rsid w:val="435B61A4"/>
    <w:rsid w:val="435F5A8C"/>
    <w:rsid w:val="43617533"/>
    <w:rsid w:val="436314FD"/>
    <w:rsid w:val="43636BCF"/>
    <w:rsid w:val="43670FED"/>
    <w:rsid w:val="436D4129"/>
    <w:rsid w:val="436F25E4"/>
    <w:rsid w:val="437159C8"/>
    <w:rsid w:val="437234EE"/>
    <w:rsid w:val="43727992"/>
    <w:rsid w:val="43770B04"/>
    <w:rsid w:val="43784FA8"/>
    <w:rsid w:val="437D25BE"/>
    <w:rsid w:val="43811983"/>
    <w:rsid w:val="43884ABF"/>
    <w:rsid w:val="438A0837"/>
    <w:rsid w:val="438A4CDB"/>
    <w:rsid w:val="438A6A89"/>
    <w:rsid w:val="438B3352"/>
    <w:rsid w:val="438D0328"/>
    <w:rsid w:val="43911BC6"/>
    <w:rsid w:val="43931DE2"/>
    <w:rsid w:val="439416B6"/>
    <w:rsid w:val="43943464"/>
    <w:rsid w:val="43992A22"/>
    <w:rsid w:val="43A062AD"/>
    <w:rsid w:val="43A833B4"/>
    <w:rsid w:val="43AC2EA4"/>
    <w:rsid w:val="43AD2778"/>
    <w:rsid w:val="43AD4526"/>
    <w:rsid w:val="43B14016"/>
    <w:rsid w:val="43B43303"/>
    <w:rsid w:val="43BB4E95"/>
    <w:rsid w:val="43BD0C0D"/>
    <w:rsid w:val="43BD6E5F"/>
    <w:rsid w:val="43C71A8C"/>
    <w:rsid w:val="43C755E8"/>
    <w:rsid w:val="43CC70A2"/>
    <w:rsid w:val="43CD7A4D"/>
    <w:rsid w:val="43CE2E1A"/>
    <w:rsid w:val="43D30430"/>
    <w:rsid w:val="43D57920"/>
    <w:rsid w:val="43DE6DD5"/>
    <w:rsid w:val="43E22422"/>
    <w:rsid w:val="43E51F12"/>
    <w:rsid w:val="43E75C8A"/>
    <w:rsid w:val="43EC32A0"/>
    <w:rsid w:val="43EF0FE2"/>
    <w:rsid w:val="43F9776B"/>
    <w:rsid w:val="43FA75B3"/>
    <w:rsid w:val="43FC0AB2"/>
    <w:rsid w:val="43FD54AD"/>
    <w:rsid w:val="44024872"/>
    <w:rsid w:val="440305EA"/>
    <w:rsid w:val="44054362"/>
    <w:rsid w:val="4407632C"/>
    <w:rsid w:val="440920A4"/>
    <w:rsid w:val="440950CF"/>
    <w:rsid w:val="44095C00"/>
    <w:rsid w:val="441427F7"/>
    <w:rsid w:val="441647C1"/>
    <w:rsid w:val="44191BBB"/>
    <w:rsid w:val="441B1DD7"/>
    <w:rsid w:val="44246C7C"/>
    <w:rsid w:val="4427252A"/>
    <w:rsid w:val="442E1B0B"/>
    <w:rsid w:val="44332C7D"/>
    <w:rsid w:val="4436451B"/>
    <w:rsid w:val="443773EC"/>
    <w:rsid w:val="443F1622"/>
    <w:rsid w:val="44444E8A"/>
    <w:rsid w:val="44472BCC"/>
    <w:rsid w:val="444E7AB7"/>
    <w:rsid w:val="44531571"/>
    <w:rsid w:val="445D5F4C"/>
    <w:rsid w:val="445F1CC4"/>
    <w:rsid w:val="4464552C"/>
    <w:rsid w:val="4468744F"/>
    <w:rsid w:val="44823C05"/>
    <w:rsid w:val="4488746D"/>
    <w:rsid w:val="448E25A9"/>
    <w:rsid w:val="44920F1F"/>
    <w:rsid w:val="44935E12"/>
    <w:rsid w:val="44957494"/>
    <w:rsid w:val="44983428"/>
    <w:rsid w:val="449B0822"/>
    <w:rsid w:val="44A65B45"/>
    <w:rsid w:val="44AB4F09"/>
    <w:rsid w:val="44AE67A8"/>
    <w:rsid w:val="44B1007D"/>
    <w:rsid w:val="44B33DBE"/>
    <w:rsid w:val="44C164DB"/>
    <w:rsid w:val="44C64DC5"/>
    <w:rsid w:val="44C91833"/>
    <w:rsid w:val="44CB55AC"/>
    <w:rsid w:val="44CE7869"/>
    <w:rsid w:val="44D02189"/>
    <w:rsid w:val="44D3620E"/>
    <w:rsid w:val="44D37FBC"/>
    <w:rsid w:val="44D501D8"/>
    <w:rsid w:val="44DB7AA4"/>
    <w:rsid w:val="44E36EBE"/>
    <w:rsid w:val="44E82A2E"/>
    <w:rsid w:val="44EB79FC"/>
    <w:rsid w:val="44FC39B7"/>
    <w:rsid w:val="44FC5765"/>
    <w:rsid w:val="44FC7513"/>
    <w:rsid w:val="44FE772F"/>
    <w:rsid w:val="44FF0DB1"/>
    <w:rsid w:val="44FF34A7"/>
    <w:rsid w:val="45034D45"/>
    <w:rsid w:val="4504461A"/>
    <w:rsid w:val="450665E4"/>
    <w:rsid w:val="45120AE5"/>
    <w:rsid w:val="45131232"/>
    <w:rsid w:val="4513485D"/>
    <w:rsid w:val="4515050F"/>
    <w:rsid w:val="45161D4D"/>
    <w:rsid w:val="451C1963"/>
    <w:rsid w:val="451C7BB5"/>
    <w:rsid w:val="451E56DB"/>
    <w:rsid w:val="45244CBC"/>
    <w:rsid w:val="452A22D2"/>
    <w:rsid w:val="452B604A"/>
    <w:rsid w:val="452D1DC2"/>
    <w:rsid w:val="453018B3"/>
    <w:rsid w:val="453C3DB3"/>
    <w:rsid w:val="453E18DA"/>
    <w:rsid w:val="45401AF6"/>
    <w:rsid w:val="45435142"/>
    <w:rsid w:val="454B3FF6"/>
    <w:rsid w:val="454C31E3"/>
    <w:rsid w:val="454F3AE7"/>
    <w:rsid w:val="4550160D"/>
    <w:rsid w:val="45521829"/>
    <w:rsid w:val="455375C0"/>
    <w:rsid w:val="45556BDE"/>
    <w:rsid w:val="4557299B"/>
    <w:rsid w:val="45603F46"/>
    <w:rsid w:val="4565330A"/>
    <w:rsid w:val="4574179F"/>
    <w:rsid w:val="457572C5"/>
    <w:rsid w:val="458319E2"/>
    <w:rsid w:val="4584768D"/>
    <w:rsid w:val="45991206"/>
    <w:rsid w:val="45997458"/>
    <w:rsid w:val="459D67BA"/>
    <w:rsid w:val="45A81449"/>
    <w:rsid w:val="45B222C8"/>
    <w:rsid w:val="45BB5620"/>
    <w:rsid w:val="45BC6CA2"/>
    <w:rsid w:val="45C83899"/>
    <w:rsid w:val="45D264C6"/>
    <w:rsid w:val="45D73ADC"/>
    <w:rsid w:val="45D93CF8"/>
    <w:rsid w:val="45DB181E"/>
    <w:rsid w:val="45E5269D"/>
    <w:rsid w:val="45E76415"/>
    <w:rsid w:val="45EA1A61"/>
    <w:rsid w:val="45EA7CB3"/>
    <w:rsid w:val="45EC7588"/>
    <w:rsid w:val="45ED50AE"/>
    <w:rsid w:val="45F026AD"/>
    <w:rsid w:val="45FB77CB"/>
    <w:rsid w:val="46001285"/>
    <w:rsid w:val="46003033"/>
    <w:rsid w:val="46020B59"/>
    <w:rsid w:val="460F14C8"/>
    <w:rsid w:val="460F3276"/>
    <w:rsid w:val="46132D66"/>
    <w:rsid w:val="4614088C"/>
    <w:rsid w:val="46160AA8"/>
    <w:rsid w:val="46184820"/>
    <w:rsid w:val="461A5919"/>
    <w:rsid w:val="462A4554"/>
    <w:rsid w:val="462A6302"/>
    <w:rsid w:val="462C02CC"/>
    <w:rsid w:val="462D194E"/>
    <w:rsid w:val="46300C93"/>
    <w:rsid w:val="46386C71"/>
    <w:rsid w:val="46396545"/>
    <w:rsid w:val="463E3B5B"/>
    <w:rsid w:val="463F1DAD"/>
    <w:rsid w:val="463F7A05"/>
    <w:rsid w:val="46405B25"/>
    <w:rsid w:val="464078D3"/>
    <w:rsid w:val="464C44CA"/>
    <w:rsid w:val="464E3D9E"/>
    <w:rsid w:val="4651388E"/>
    <w:rsid w:val="465B295F"/>
    <w:rsid w:val="465D0485"/>
    <w:rsid w:val="465D66D7"/>
    <w:rsid w:val="46601314"/>
    <w:rsid w:val="466510E8"/>
    <w:rsid w:val="4666134F"/>
    <w:rsid w:val="46674E60"/>
    <w:rsid w:val="466A4950"/>
    <w:rsid w:val="46733805"/>
    <w:rsid w:val="46761547"/>
    <w:rsid w:val="46780E1B"/>
    <w:rsid w:val="467D0B27"/>
    <w:rsid w:val="467D3578"/>
    <w:rsid w:val="467F03FC"/>
    <w:rsid w:val="46873754"/>
    <w:rsid w:val="46875502"/>
    <w:rsid w:val="468A0B4E"/>
    <w:rsid w:val="468C0D6B"/>
    <w:rsid w:val="468C2B19"/>
    <w:rsid w:val="469519CD"/>
    <w:rsid w:val="4698326B"/>
    <w:rsid w:val="46A3609E"/>
    <w:rsid w:val="46A460B4"/>
    <w:rsid w:val="46AB11C4"/>
    <w:rsid w:val="46AC4F69"/>
    <w:rsid w:val="46AE6F33"/>
    <w:rsid w:val="46B27956"/>
    <w:rsid w:val="46B34549"/>
    <w:rsid w:val="46B5206F"/>
    <w:rsid w:val="46BD2CD2"/>
    <w:rsid w:val="46C027C2"/>
    <w:rsid w:val="46C55DCC"/>
    <w:rsid w:val="46C73B51"/>
    <w:rsid w:val="46CC2482"/>
    <w:rsid w:val="46CC73B9"/>
    <w:rsid w:val="46CE4EDF"/>
    <w:rsid w:val="46D06EA9"/>
    <w:rsid w:val="46D324F5"/>
    <w:rsid w:val="46DA1AD6"/>
    <w:rsid w:val="46DA3884"/>
    <w:rsid w:val="46DD15C6"/>
    <w:rsid w:val="46DF0E9A"/>
    <w:rsid w:val="46E110B6"/>
    <w:rsid w:val="46E22739"/>
    <w:rsid w:val="46E26BDC"/>
    <w:rsid w:val="46E666CD"/>
    <w:rsid w:val="46ED7A5B"/>
    <w:rsid w:val="46EE5581"/>
    <w:rsid w:val="46F30DEA"/>
    <w:rsid w:val="46F5391A"/>
    <w:rsid w:val="46F96400"/>
    <w:rsid w:val="46FA3F26"/>
    <w:rsid w:val="46FA5CD4"/>
    <w:rsid w:val="470B7EE1"/>
    <w:rsid w:val="470D5A07"/>
    <w:rsid w:val="4710374A"/>
    <w:rsid w:val="471057A1"/>
    <w:rsid w:val="47144510"/>
    <w:rsid w:val="471D19C3"/>
    <w:rsid w:val="47205296"/>
    <w:rsid w:val="4723522B"/>
    <w:rsid w:val="472D60AA"/>
    <w:rsid w:val="472F38FB"/>
    <w:rsid w:val="47307948"/>
    <w:rsid w:val="47347438"/>
    <w:rsid w:val="47373E8E"/>
    <w:rsid w:val="473A2575"/>
    <w:rsid w:val="4743767B"/>
    <w:rsid w:val="47462CC7"/>
    <w:rsid w:val="4746716B"/>
    <w:rsid w:val="47482EE3"/>
    <w:rsid w:val="47520125"/>
    <w:rsid w:val="475353E4"/>
    <w:rsid w:val="47544186"/>
    <w:rsid w:val="47596E9F"/>
    <w:rsid w:val="475A2C17"/>
    <w:rsid w:val="475F022D"/>
    <w:rsid w:val="475F756A"/>
    <w:rsid w:val="47613FA5"/>
    <w:rsid w:val="47615D53"/>
    <w:rsid w:val="476475F1"/>
    <w:rsid w:val="476615BC"/>
    <w:rsid w:val="476D64A6"/>
    <w:rsid w:val="476E5110"/>
    <w:rsid w:val="477041E8"/>
    <w:rsid w:val="477517FF"/>
    <w:rsid w:val="477737C9"/>
    <w:rsid w:val="477B5067"/>
    <w:rsid w:val="478F0B12"/>
    <w:rsid w:val="47A0718D"/>
    <w:rsid w:val="47A45C40"/>
    <w:rsid w:val="47AD2D46"/>
    <w:rsid w:val="47B076B0"/>
    <w:rsid w:val="47B2035D"/>
    <w:rsid w:val="47B95B8F"/>
    <w:rsid w:val="47C307BC"/>
    <w:rsid w:val="47C3256A"/>
    <w:rsid w:val="47CA56A6"/>
    <w:rsid w:val="47CB141F"/>
    <w:rsid w:val="47D429C9"/>
    <w:rsid w:val="47DB3D58"/>
    <w:rsid w:val="47DE73A4"/>
    <w:rsid w:val="47E0136E"/>
    <w:rsid w:val="47E30E5E"/>
    <w:rsid w:val="47E80223"/>
    <w:rsid w:val="47F210A1"/>
    <w:rsid w:val="47F71E45"/>
    <w:rsid w:val="47FB7F56"/>
    <w:rsid w:val="480037BE"/>
    <w:rsid w:val="48074B4D"/>
    <w:rsid w:val="480E00CC"/>
    <w:rsid w:val="480F1C53"/>
    <w:rsid w:val="48164D90"/>
    <w:rsid w:val="481C1C7A"/>
    <w:rsid w:val="481E59F2"/>
    <w:rsid w:val="48217291"/>
    <w:rsid w:val="48223734"/>
    <w:rsid w:val="48253225"/>
    <w:rsid w:val="48270D4B"/>
    <w:rsid w:val="482A3EE8"/>
    <w:rsid w:val="482C45B3"/>
    <w:rsid w:val="482D3E87"/>
    <w:rsid w:val="48382F58"/>
    <w:rsid w:val="48396CD0"/>
    <w:rsid w:val="48401E0D"/>
    <w:rsid w:val="48425B85"/>
    <w:rsid w:val="484F3DFE"/>
    <w:rsid w:val="4851401A"/>
    <w:rsid w:val="4852279F"/>
    <w:rsid w:val="485633DE"/>
    <w:rsid w:val="48580F04"/>
    <w:rsid w:val="48617456"/>
    <w:rsid w:val="4864156E"/>
    <w:rsid w:val="48651873"/>
    <w:rsid w:val="48691363"/>
    <w:rsid w:val="486D24D6"/>
    <w:rsid w:val="486F624E"/>
    <w:rsid w:val="48763A80"/>
    <w:rsid w:val="487E46E3"/>
    <w:rsid w:val="488717E9"/>
    <w:rsid w:val="48895562"/>
    <w:rsid w:val="48897310"/>
    <w:rsid w:val="488A3088"/>
    <w:rsid w:val="488C5052"/>
    <w:rsid w:val="489F2FD7"/>
    <w:rsid w:val="48A04659"/>
    <w:rsid w:val="48A57EC2"/>
    <w:rsid w:val="48A73C3A"/>
    <w:rsid w:val="48AE6D76"/>
    <w:rsid w:val="48B00A3D"/>
    <w:rsid w:val="48B545A9"/>
    <w:rsid w:val="48B63E7D"/>
    <w:rsid w:val="48B85E47"/>
    <w:rsid w:val="48C91E02"/>
    <w:rsid w:val="48D10CB7"/>
    <w:rsid w:val="48DB38E3"/>
    <w:rsid w:val="48E21116"/>
    <w:rsid w:val="48E44E8E"/>
    <w:rsid w:val="48EC3A55"/>
    <w:rsid w:val="48F13107"/>
    <w:rsid w:val="48F549A5"/>
    <w:rsid w:val="48F60818"/>
    <w:rsid w:val="48F7696F"/>
    <w:rsid w:val="48FA1FBB"/>
    <w:rsid w:val="48FF3A76"/>
    <w:rsid w:val="49033EF2"/>
    <w:rsid w:val="49066BB2"/>
    <w:rsid w:val="490B241B"/>
    <w:rsid w:val="4913307D"/>
    <w:rsid w:val="49153299"/>
    <w:rsid w:val="491A265E"/>
    <w:rsid w:val="491C4628"/>
    <w:rsid w:val="491D5CAA"/>
    <w:rsid w:val="491F5EC6"/>
    <w:rsid w:val="492359B6"/>
    <w:rsid w:val="4924528A"/>
    <w:rsid w:val="49284D7B"/>
    <w:rsid w:val="49301E81"/>
    <w:rsid w:val="49366D6C"/>
    <w:rsid w:val="49374FBE"/>
    <w:rsid w:val="493C25D4"/>
    <w:rsid w:val="4940420A"/>
    <w:rsid w:val="49441489"/>
    <w:rsid w:val="49470F79"/>
    <w:rsid w:val="494D5008"/>
    <w:rsid w:val="494E0559"/>
    <w:rsid w:val="49507E2D"/>
    <w:rsid w:val="49553696"/>
    <w:rsid w:val="495C4A24"/>
    <w:rsid w:val="49667651"/>
    <w:rsid w:val="49695393"/>
    <w:rsid w:val="497C0C22"/>
    <w:rsid w:val="497E2BEC"/>
    <w:rsid w:val="4981448B"/>
    <w:rsid w:val="498A77E3"/>
    <w:rsid w:val="498B70B7"/>
    <w:rsid w:val="498D2E30"/>
    <w:rsid w:val="498F4DFA"/>
    <w:rsid w:val="49920446"/>
    <w:rsid w:val="499248EA"/>
    <w:rsid w:val="49935F6C"/>
    <w:rsid w:val="49975A5C"/>
    <w:rsid w:val="49B93C25"/>
    <w:rsid w:val="49C36851"/>
    <w:rsid w:val="49C8030C"/>
    <w:rsid w:val="49CB3958"/>
    <w:rsid w:val="49CC7DFC"/>
    <w:rsid w:val="49CD147E"/>
    <w:rsid w:val="49CD5922"/>
    <w:rsid w:val="49CF51F6"/>
    <w:rsid w:val="49D2118A"/>
    <w:rsid w:val="49D22F38"/>
    <w:rsid w:val="49D722FD"/>
    <w:rsid w:val="49DB1DED"/>
    <w:rsid w:val="49DC7913"/>
    <w:rsid w:val="49E1317B"/>
    <w:rsid w:val="49E60792"/>
    <w:rsid w:val="49E62540"/>
    <w:rsid w:val="49F42EAF"/>
    <w:rsid w:val="49F904C5"/>
    <w:rsid w:val="49FC1D63"/>
    <w:rsid w:val="49FE5ADB"/>
    <w:rsid w:val="4A007AA5"/>
    <w:rsid w:val="4A037596"/>
    <w:rsid w:val="4A05330E"/>
    <w:rsid w:val="4A070E34"/>
    <w:rsid w:val="4A0B1FA6"/>
    <w:rsid w:val="4A0D3F70"/>
    <w:rsid w:val="4A0F5F3A"/>
    <w:rsid w:val="4A11580F"/>
    <w:rsid w:val="4A18171E"/>
    <w:rsid w:val="4A190B67"/>
    <w:rsid w:val="4A2A68D0"/>
    <w:rsid w:val="4A2D17DA"/>
    <w:rsid w:val="4A2F2139"/>
    <w:rsid w:val="4A300745"/>
    <w:rsid w:val="4A315EB1"/>
    <w:rsid w:val="4A3416AD"/>
    <w:rsid w:val="4A45195C"/>
    <w:rsid w:val="4A471230"/>
    <w:rsid w:val="4A4A7727"/>
    <w:rsid w:val="4A520C69"/>
    <w:rsid w:val="4A522065"/>
    <w:rsid w:val="4A525E27"/>
    <w:rsid w:val="4A541B9F"/>
    <w:rsid w:val="4A54394D"/>
    <w:rsid w:val="4A58343D"/>
    <w:rsid w:val="4A590F64"/>
    <w:rsid w:val="4A62250E"/>
    <w:rsid w:val="4A6F69D9"/>
    <w:rsid w:val="4A7047A0"/>
    <w:rsid w:val="4A722025"/>
    <w:rsid w:val="4A745D9D"/>
    <w:rsid w:val="4A7C14F0"/>
    <w:rsid w:val="4A7D10F6"/>
    <w:rsid w:val="4A834233"/>
    <w:rsid w:val="4A873D23"/>
    <w:rsid w:val="4A881849"/>
    <w:rsid w:val="4A8835F7"/>
    <w:rsid w:val="4A965D14"/>
    <w:rsid w:val="4A9B1CEA"/>
    <w:rsid w:val="4A9F106C"/>
    <w:rsid w:val="4AAE5753"/>
    <w:rsid w:val="4AB03279"/>
    <w:rsid w:val="4AB12B4E"/>
    <w:rsid w:val="4AB97C54"/>
    <w:rsid w:val="4AC22FAD"/>
    <w:rsid w:val="4AC62A9D"/>
    <w:rsid w:val="4AC7411F"/>
    <w:rsid w:val="4AC9433B"/>
    <w:rsid w:val="4ACC0B18"/>
    <w:rsid w:val="4ACC5BD9"/>
    <w:rsid w:val="4ACF7478"/>
    <w:rsid w:val="4AD52CE0"/>
    <w:rsid w:val="4ADA20A4"/>
    <w:rsid w:val="4ADB1B7B"/>
    <w:rsid w:val="4ADB406F"/>
    <w:rsid w:val="4ADB5E1D"/>
    <w:rsid w:val="4AE178D7"/>
    <w:rsid w:val="4AE271AB"/>
    <w:rsid w:val="4AE40A60"/>
    <w:rsid w:val="4AE44CD1"/>
    <w:rsid w:val="4AE50A49"/>
    <w:rsid w:val="4AEE78FE"/>
    <w:rsid w:val="4AF018C8"/>
    <w:rsid w:val="4AF84C20"/>
    <w:rsid w:val="4AFA44F5"/>
    <w:rsid w:val="4AFF1B0B"/>
    <w:rsid w:val="4AFF5FAF"/>
    <w:rsid w:val="4B007631"/>
    <w:rsid w:val="4B054C48"/>
    <w:rsid w:val="4B074E64"/>
    <w:rsid w:val="4B083509"/>
    <w:rsid w:val="4B094738"/>
    <w:rsid w:val="4B0D06CC"/>
    <w:rsid w:val="4B125CE2"/>
    <w:rsid w:val="4B137364"/>
    <w:rsid w:val="4B16705D"/>
    <w:rsid w:val="4B182BCD"/>
    <w:rsid w:val="4B1A06F3"/>
    <w:rsid w:val="4B1C090F"/>
    <w:rsid w:val="4B1D4687"/>
    <w:rsid w:val="4B1D6F30"/>
    <w:rsid w:val="4B1E03C0"/>
    <w:rsid w:val="4B1F5D09"/>
    <w:rsid w:val="4B2058B1"/>
    <w:rsid w:val="4B2C48CA"/>
    <w:rsid w:val="4B313C8F"/>
    <w:rsid w:val="4B3C2D5F"/>
    <w:rsid w:val="4B3C4B0D"/>
    <w:rsid w:val="4B425E9C"/>
    <w:rsid w:val="4B4340EE"/>
    <w:rsid w:val="4B49722A"/>
    <w:rsid w:val="4B4B6AFE"/>
    <w:rsid w:val="4B4E65EF"/>
    <w:rsid w:val="4B553E21"/>
    <w:rsid w:val="4B605A45"/>
    <w:rsid w:val="4B645E12"/>
    <w:rsid w:val="4B6A3DF6"/>
    <w:rsid w:val="4B7666AB"/>
    <w:rsid w:val="4B797B0F"/>
    <w:rsid w:val="4B814C16"/>
    <w:rsid w:val="4B8244EA"/>
    <w:rsid w:val="4B840262"/>
    <w:rsid w:val="4B8D5369"/>
    <w:rsid w:val="4B8E10E1"/>
    <w:rsid w:val="4B9366F7"/>
    <w:rsid w:val="4B963A09"/>
    <w:rsid w:val="4B9A1834"/>
    <w:rsid w:val="4B9D30D2"/>
    <w:rsid w:val="4BAB3A41"/>
    <w:rsid w:val="4BB46D99"/>
    <w:rsid w:val="4BBA1ED6"/>
    <w:rsid w:val="4BBD5522"/>
    <w:rsid w:val="4BBE19C6"/>
    <w:rsid w:val="4BC30D8B"/>
    <w:rsid w:val="4BC32B39"/>
    <w:rsid w:val="4BC44B03"/>
    <w:rsid w:val="4BC92119"/>
    <w:rsid w:val="4BD304AC"/>
    <w:rsid w:val="4BD905AE"/>
    <w:rsid w:val="4BD95797"/>
    <w:rsid w:val="4BDA046A"/>
    <w:rsid w:val="4BE13907"/>
    <w:rsid w:val="4BE156B5"/>
    <w:rsid w:val="4BE551A5"/>
    <w:rsid w:val="4BE56F53"/>
    <w:rsid w:val="4BEA0A2F"/>
    <w:rsid w:val="4BEF7DD1"/>
    <w:rsid w:val="4BF47196"/>
    <w:rsid w:val="4BF76C86"/>
    <w:rsid w:val="4BFE0015"/>
    <w:rsid w:val="4C001FDF"/>
    <w:rsid w:val="4C055307"/>
    <w:rsid w:val="4C06511B"/>
    <w:rsid w:val="4C066EC9"/>
    <w:rsid w:val="4C0F5D7E"/>
    <w:rsid w:val="4C1036C9"/>
    <w:rsid w:val="4C1304F8"/>
    <w:rsid w:val="4C1710D6"/>
    <w:rsid w:val="4C1930A0"/>
    <w:rsid w:val="4C1A4723"/>
    <w:rsid w:val="4C237A7B"/>
    <w:rsid w:val="4C261319"/>
    <w:rsid w:val="4C2D08FA"/>
    <w:rsid w:val="4C2D4456"/>
    <w:rsid w:val="4C2F4672"/>
    <w:rsid w:val="4C371778"/>
    <w:rsid w:val="4C373527"/>
    <w:rsid w:val="4C3D6D8F"/>
    <w:rsid w:val="4C40062D"/>
    <w:rsid w:val="4C46376A"/>
    <w:rsid w:val="4C481290"/>
    <w:rsid w:val="4C4905C7"/>
    <w:rsid w:val="4C4C5224"/>
    <w:rsid w:val="4C4F0870"/>
    <w:rsid w:val="4C5365B2"/>
    <w:rsid w:val="4C545E87"/>
    <w:rsid w:val="4C5639AD"/>
    <w:rsid w:val="4C5E0AB3"/>
    <w:rsid w:val="4C602A7D"/>
    <w:rsid w:val="4C650094"/>
    <w:rsid w:val="4C6F4A6E"/>
    <w:rsid w:val="4C72630D"/>
    <w:rsid w:val="4C746529"/>
    <w:rsid w:val="4C766EC6"/>
    <w:rsid w:val="4C7E1155"/>
    <w:rsid w:val="4C8229F4"/>
    <w:rsid w:val="4C8A5D4C"/>
    <w:rsid w:val="4C8C5620"/>
    <w:rsid w:val="4C8F6EBF"/>
    <w:rsid w:val="4C96024D"/>
    <w:rsid w:val="4CA3296A"/>
    <w:rsid w:val="4CA86B33"/>
    <w:rsid w:val="4CAA019C"/>
    <w:rsid w:val="4CB16E35"/>
    <w:rsid w:val="4CB22BAD"/>
    <w:rsid w:val="4CB608EF"/>
    <w:rsid w:val="4CC0351C"/>
    <w:rsid w:val="4CC56D84"/>
    <w:rsid w:val="4CCC0113"/>
    <w:rsid w:val="4CCC3C6F"/>
    <w:rsid w:val="4CD07C03"/>
    <w:rsid w:val="4CD34FFD"/>
    <w:rsid w:val="4CD80866"/>
    <w:rsid w:val="4CD82614"/>
    <w:rsid w:val="4CDD40CE"/>
    <w:rsid w:val="4CDF1BF4"/>
    <w:rsid w:val="4CE03BBE"/>
    <w:rsid w:val="4CE4545C"/>
    <w:rsid w:val="4CEF5BAF"/>
    <w:rsid w:val="4CEF795D"/>
    <w:rsid w:val="4CF03E01"/>
    <w:rsid w:val="4CF338F1"/>
    <w:rsid w:val="4CFB4554"/>
    <w:rsid w:val="4CFB6302"/>
    <w:rsid w:val="4CFE4627"/>
    <w:rsid w:val="4D001B6A"/>
    <w:rsid w:val="4D0553D3"/>
    <w:rsid w:val="4D063625"/>
    <w:rsid w:val="4D0B0C3B"/>
    <w:rsid w:val="4D0F7FFF"/>
    <w:rsid w:val="4D10167A"/>
    <w:rsid w:val="4D151ABA"/>
    <w:rsid w:val="4D155616"/>
    <w:rsid w:val="4D1D096E"/>
    <w:rsid w:val="4D1F45CA"/>
    <w:rsid w:val="4D202EE8"/>
    <w:rsid w:val="4D243AAB"/>
    <w:rsid w:val="4D267823"/>
    <w:rsid w:val="4D2B308B"/>
    <w:rsid w:val="4D3006A2"/>
    <w:rsid w:val="4D355CB8"/>
    <w:rsid w:val="4D387556"/>
    <w:rsid w:val="4D3A1520"/>
    <w:rsid w:val="4D3F2693"/>
    <w:rsid w:val="4D422183"/>
    <w:rsid w:val="4D447CA9"/>
    <w:rsid w:val="4D453A21"/>
    <w:rsid w:val="4D4C3002"/>
    <w:rsid w:val="4D53613E"/>
    <w:rsid w:val="4D537EEC"/>
    <w:rsid w:val="4D541496"/>
    <w:rsid w:val="4D565C2E"/>
    <w:rsid w:val="4D587BF8"/>
    <w:rsid w:val="4D5A3970"/>
    <w:rsid w:val="4D6245D3"/>
    <w:rsid w:val="4D6B3488"/>
    <w:rsid w:val="4D704F42"/>
    <w:rsid w:val="4D754306"/>
    <w:rsid w:val="4D7A7B6F"/>
    <w:rsid w:val="4D7F6F33"/>
    <w:rsid w:val="4D810EFD"/>
    <w:rsid w:val="4D88228C"/>
    <w:rsid w:val="4D93478D"/>
    <w:rsid w:val="4D986247"/>
    <w:rsid w:val="4D994499"/>
    <w:rsid w:val="4D9C7AE5"/>
    <w:rsid w:val="4DA60964"/>
    <w:rsid w:val="4DAD3AA0"/>
    <w:rsid w:val="4DAE5A6A"/>
    <w:rsid w:val="4DB82445"/>
    <w:rsid w:val="4DB841F3"/>
    <w:rsid w:val="4DBA61BD"/>
    <w:rsid w:val="4DC25072"/>
    <w:rsid w:val="4DC332C4"/>
    <w:rsid w:val="4DC4703C"/>
    <w:rsid w:val="4DC808DA"/>
    <w:rsid w:val="4DCA28A4"/>
    <w:rsid w:val="4DCD6AB9"/>
    <w:rsid w:val="4DD03C33"/>
    <w:rsid w:val="4DD3102D"/>
    <w:rsid w:val="4DD70B1D"/>
    <w:rsid w:val="4DD728CB"/>
    <w:rsid w:val="4DDC25D7"/>
    <w:rsid w:val="4DDF5C24"/>
    <w:rsid w:val="4DE14C7E"/>
    <w:rsid w:val="4DE4148C"/>
    <w:rsid w:val="4DEA6AA2"/>
    <w:rsid w:val="4DEF40B9"/>
    <w:rsid w:val="4DF06083"/>
    <w:rsid w:val="4DF417BD"/>
    <w:rsid w:val="4DFC4A28"/>
    <w:rsid w:val="4DFE03BB"/>
    <w:rsid w:val="4E092CA1"/>
    <w:rsid w:val="4E0B6A19"/>
    <w:rsid w:val="4E0D09E3"/>
    <w:rsid w:val="4E0F02B7"/>
    <w:rsid w:val="4E141324"/>
    <w:rsid w:val="4E1458CD"/>
    <w:rsid w:val="4E192EE4"/>
    <w:rsid w:val="4E1E04FA"/>
    <w:rsid w:val="4E217FEA"/>
    <w:rsid w:val="4E235B10"/>
    <w:rsid w:val="4E263853"/>
    <w:rsid w:val="4E265601"/>
    <w:rsid w:val="4E2875CB"/>
    <w:rsid w:val="4E320449"/>
    <w:rsid w:val="4E355844"/>
    <w:rsid w:val="4E3E294A"/>
    <w:rsid w:val="4E41243B"/>
    <w:rsid w:val="4E4168DE"/>
    <w:rsid w:val="4E54216E"/>
    <w:rsid w:val="4E555EE6"/>
    <w:rsid w:val="4E5C1022"/>
    <w:rsid w:val="4E5C54C6"/>
    <w:rsid w:val="4E61488B"/>
    <w:rsid w:val="4E685C19"/>
    <w:rsid w:val="4E6A373F"/>
    <w:rsid w:val="4E720846"/>
    <w:rsid w:val="4E74636C"/>
    <w:rsid w:val="4E7520E4"/>
    <w:rsid w:val="4E7D7917"/>
    <w:rsid w:val="4E870795"/>
    <w:rsid w:val="4E8835CF"/>
    <w:rsid w:val="4E8A780E"/>
    <w:rsid w:val="4E8D742E"/>
    <w:rsid w:val="4E8E2B40"/>
    <w:rsid w:val="4E8F13F8"/>
    <w:rsid w:val="4E916F1E"/>
    <w:rsid w:val="4E982244"/>
    <w:rsid w:val="4E9D1D67"/>
    <w:rsid w:val="4EA07161"/>
    <w:rsid w:val="4EA76741"/>
    <w:rsid w:val="4EA8070C"/>
    <w:rsid w:val="4EA84268"/>
    <w:rsid w:val="4EAB5C23"/>
    <w:rsid w:val="4EAD187E"/>
    <w:rsid w:val="4EAF3848"/>
    <w:rsid w:val="4EB250E6"/>
    <w:rsid w:val="4EB26E94"/>
    <w:rsid w:val="4EB3158A"/>
    <w:rsid w:val="4EB42C0C"/>
    <w:rsid w:val="4EBB043F"/>
    <w:rsid w:val="4EBE3A8B"/>
    <w:rsid w:val="4EC15329"/>
    <w:rsid w:val="4EC2357B"/>
    <w:rsid w:val="4EC45545"/>
    <w:rsid w:val="4EC54E1A"/>
    <w:rsid w:val="4ECE137E"/>
    <w:rsid w:val="4ED137BE"/>
    <w:rsid w:val="4ED355A0"/>
    <w:rsid w:val="4ED41501"/>
    <w:rsid w:val="4ED80FF1"/>
    <w:rsid w:val="4ED82D9F"/>
    <w:rsid w:val="4EDD2163"/>
    <w:rsid w:val="4EE334F2"/>
    <w:rsid w:val="4EE71234"/>
    <w:rsid w:val="4EE80B08"/>
    <w:rsid w:val="4EEC23A6"/>
    <w:rsid w:val="4EED4970"/>
    <w:rsid w:val="4EF120B3"/>
    <w:rsid w:val="4EF179BD"/>
    <w:rsid w:val="4F027E1C"/>
    <w:rsid w:val="4F0771E0"/>
    <w:rsid w:val="4F0C47F7"/>
    <w:rsid w:val="4F135B85"/>
    <w:rsid w:val="4F161B19"/>
    <w:rsid w:val="4F196F13"/>
    <w:rsid w:val="4F1D2EA8"/>
    <w:rsid w:val="4F1D754B"/>
    <w:rsid w:val="4F2A7373"/>
    <w:rsid w:val="4F2E29BF"/>
    <w:rsid w:val="4F326E51"/>
    <w:rsid w:val="4F367AC5"/>
    <w:rsid w:val="4F3B2459"/>
    <w:rsid w:val="4F3B332E"/>
    <w:rsid w:val="4F3D70A6"/>
    <w:rsid w:val="4F3F2E1E"/>
    <w:rsid w:val="4F4C1097"/>
    <w:rsid w:val="4F4C553B"/>
    <w:rsid w:val="4F4C6AE6"/>
    <w:rsid w:val="4F4F6C6B"/>
    <w:rsid w:val="4F5015D8"/>
    <w:rsid w:val="4F587A3C"/>
    <w:rsid w:val="4F5A1A06"/>
    <w:rsid w:val="4F5B577E"/>
    <w:rsid w:val="4F5C097D"/>
    <w:rsid w:val="4F6C798B"/>
    <w:rsid w:val="4F6F4D85"/>
    <w:rsid w:val="4F702FD7"/>
    <w:rsid w:val="4F711713"/>
    <w:rsid w:val="4F7A6148"/>
    <w:rsid w:val="4F7C5E20"/>
    <w:rsid w:val="4F846A83"/>
    <w:rsid w:val="4F860A4D"/>
    <w:rsid w:val="4F8A0E2A"/>
    <w:rsid w:val="4F8D77AB"/>
    <w:rsid w:val="4F9111A0"/>
    <w:rsid w:val="4F950C90"/>
    <w:rsid w:val="4F974A08"/>
    <w:rsid w:val="4F9842DC"/>
    <w:rsid w:val="4F985FFF"/>
    <w:rsid w:val="4F9A44F8"/>
    <w:rsid w:val="4F9B5B7A"/>
    <w:rsid w:val="4FAA42E2"/>
    <w:rsid w:val="4FAE1D52"/>
    <w:rsid w:val="4FC43323"/>
    <w:rsid w:val="4FC9093A"/>
    <w:rsid w:val="4FCB46B2"/>
    <w:rsid w:val="4FCE7CFE"/>
    <w:rsid w:val="4FD03A76"/>
    <w:rsid w:val="4FD16190"/>
    <w:rsid w:val="4FD77DC0"/>
    <w:rsid w:val="4FD80B7D"/>
    <w:rsid w:val="4FE13ED5"/>
    <w:rsid w:val="4FE15C85"/>
    <w:rsid w:val="4FE319FB"/>
    <w:rsid w:val="4FF57980"/>
    <w:rsid w:val="4FF727BF"/>
    <w:rsid w:val="4FF77255"/>
    <w:rsid w:val="4FF84D7B"/>
    <w:rsid w:val="4FF85861"/>
    <w:rsid w:val="50016325"/>
    <w:rsid w:val="500B2D00"/>
    <w:rsid w:val="501716A5"/>
    <w:rsid w:val="501A61F2"/>
    <w:rsid w:val="501C315F"/>
    <w:rsid w:val="501E6ED7"/>
    <w:rsid w:val="50212524"/>
    <w:rsid w:val="5039786D"/>
    <w:rsid w:val="503A5393"/>
    <w:rsid w:val="503F4889"/>
    <w:rsid w:val="504163F0"/>
    <w:rsid w:val="504306EC"/>
    <w:rsid w:val="50463D38"/>
    <w:rsid w:val="504F52E3"/>
    <w:rsid w:val="50593A6B"/>
    <w:rsid w:val="505A77E4"/>
    <w:rsid w:val="505B3C87"/>
    <w:rsid w:val="505E72D4"/>
    <w:rsid w:val="50666188"/>
    <w:rsid w:val="50697A27"/>
    <w:rsid w:val="506B0AE4"/>
    <w:rsid w:val="506D5769"/>
    <w:rsid w:val="506F328F"/>
    <w:rsid w:val="5070061F"/>
    <w:rsid w:val="50722D7F"/>
    <w:rsid w:val="50724B2D"/>
    <w:rsid w:val="50760AC1"/>
    <w:rsid w:val="507A1C34"/>
    <w:rsid w:val="507D63AC"/>
    <w:rsid w:val="507E7976"/>
    <w:rsid w:val="5084398F"/>
    <w:rsid w:val="50854860"/>
    <w:rsid w:val="5086682B"/>
    <w:rsid w:val="50883755"/>
    <w:rsid w:val="50962F12"/>
    <w:rsid w:val="5099655E"/>
    <w:rsid w:val="509E1DC6"/>
    <w:rsid w:val="50A32F39"/>
    <w:rsid w:val="50A53155"/>
    <w:rsid w:val="50A56CB1"/>
    <w:rsid w:val="50A92A8E"/>
    <w:rsid w:val="50AB003F"/>
    <w:rsid w:val="50AC0FFD"/>
    <w:rsid w:val="50AC6291"/>
    <w:rsid w:val="50B05655"/>
    <w:rsid w:val="50B26775"/>
    <w:rsid w:val="50B67110"/>
    <w:rsid w:val="50C25AB5"/>
    <w:rsid w:val="50CC6933"/>
    <w:rsid w:val="50CF3D2E"/>
    <w:rsid w:val="50D17AA6"/>
    <w:rsid w:val="50D6330E"/>
    <w:rsid w:val="50D77086"/>
    <w:rsid w:val="50D91050"/>
    <w:rsid w:val="50DB26D2"/>
    <w:rsid w:val="50E13A61"/>
    <w:rsid w:val="50E61077"/>
    <w:rsid w:val="50F33EC0"/>
    <w:rsid w:val="50F419E6"/>
    <w:rsid w:val="50F47C38"/>
    <w:rsid w:val="50F635E4"/>
    <w:rsid w:val="50F96FFC"/>
    <w:rsid w:val="510734C7"/>
    <w:rsid w:val="51077D34"/>
    <w:rsid w:val="51145BE4"/>
    <w:rsid w:val="5119769F"/>
    <w:rsid w:val="512322CB"/>
    <w:rsid w:val="51257DF2"/>
    <w:rsid w:val="512C5624"/>
    <w:rsid w:val="512F2A1E"/>
    <w:rsid w:val="51340035"/>
    <w:rsid w:val="513444D8"/>
    <w:rsid w:val="513B239A"/>
    <w:rsid w:val="51402E7D"/>
    <w:rsid w:val="514A5AAA"/>
    <w:rsid w:val="51575861"/>
    <w:rsid w:val="515D3A2F"/>
    <w:rsid w:val="515D57DD"/>
    <w:rsid w:val="51644DBE"/>
    <w:rsid w:val="5167040A"/>
    <w:rsid w:val="516A534F"/>
    <w:rsid w:val="517338F9"/>
    <w:rsid w:val="51752B27"/>
    <w:rsid w:val="5176689F"/>
    <w:rsid w:val="51786173"/>
    <w:rsid w:val="517A638F"/>
    <w:rsid w:val="518014CC"/>
    <w:rsid w:val="51826FF2"/>
    <w:rsid w:val="51842D6A"/>
    <w:rsid w:val="518731FF"/>
    <w:rsid w:val="519531C9"/>
    <w:rsid w:val="51962A9D"/>
    <w:rsid w:val="519805C3"/>
    <w:rsid w:val="519A433C"/>
    <w:rsid w:val="51A831A6"/>
    <w:rsid w:val="51B03B5F"/>
    <w:rsid w:val="51BA2C30"/>
    <w:rsid w:val="51BD002A"/>
    <w:rsid w:val="51C33452"/>
    <w:rsid w:val="51CE0489"/>
    <w:rsid w:val="51D05FAF"/>
    <w:rsid w:val="51E27A91"/>
    <w:rsid w:val="51E47CAD"/>
    <w:rsid w:val="51E8779D"/>
    <w:rsid w:val="51E90E1F"/>
    <w:rsid w:val="51F07A9F"/>
    <w:rsid w:val="51F779E0"/>
    <w:rsid w:val="51F83758"/>
    <w:rsid w:val="51FA127E"/>
    <w:rsid w:val="51FB0B52"/>
    <w:rsid w:val="51FD1EA1"/>
    <w:rsid w:val="51FE0D6E"/>
    <w:rsid w:val="52021EE1"/>
    <w:rsid w:val="52067C23"/>
    <w:rsid w:val="520B6FE7"/>
    <w:rsid w:val="520C2D5F"/>
    <w:rsid w:val="520D7203"/>
    <w:rsid w:val="521045FE"/>
    <w:rsid w:val="521C5DB3"/>
    <w:rsid w:val="5224454D"/>
    <w:rsid w:val="522462FB"/>
    <w:rsid w:val="522A3A8F"/>
    <w:rsid w:val="522B006F"/>
    <w:rsid w:val="52302EF2"/>
    <w:rsid w:val="52380A94"/>
    <w:rsid w:val="523A5B1F"/>
    <w:rsid w:val="52483D98"/>
    <w:rsid w:val="524B3888"/>
    <w:rsid w:val="524F15CA"/>
    <w:rsid w:val="5257222D"/>
    <w:rsid w:val="525A3ACB"/>
    <w:rsid w:val="525F10E1"/>
    <w:rsid w:val="52734B8D"/>
    <w:rsid w:val="52803148"/>
    <w:rsid w:val="528D20F2"/>
    <w:rsid w:val="528D3EA0"/>
    <w:rsid w:val="52943481"/>
    <w:rsid w:val="52A15B9E"/>
    <w:rsid w:val="52AD4542"/>
    <w:rsid w:val="52B61649"/>
    <w:rsid w:val="52B70F1D"/>
    <w:rsid w:val="52C00D2C"/>
    <w:rsid w:val="52C06024"/>
    <w:rsid w:val="52C11D9C"/>
    <w:rsid w:val="52C5188C"/>
    <w:rsid w:val="52CD0741"/>
    <w:rsid w:val="52CD6993"/>
    <w:rsid w:val="52CF44B9"/>
    <w:rsid w:val="52D65847"/>
    <w:rsid w:val="52D753D2"/>
    <w:rsid w:val="52DE294E"/>
    <w:rsid w:val="52E37F64"/>
    <w:rsid w:val="52E77A54"/>
    <w:rsid w:val="52EF3DF8"/>
    <w:rsid w:val="52EF6909"/>
    <w:rsid w:val="52F07FBF"/>
    <w:rsid w:val="52F263F9"/>
    <w:rsid w:val="52FF314E"/>
    <w:rsid w:val="530F48B5"/>
    <w:rsid w:val="531445C2"/>
    <w:rsid w:val="53185E60"/>
    <w:rsid w:val="531E2D4A"/>
    <w:rsid w:val="531E71EE"/>
    <w:rsid w:val="5322283B"/>
    <w:rsid w:val="5325232B"/>
    <w:rsid w:val="532540D9"/>
    <w:rsid w:val="532837EA"/>
    <w:rsid w:val="532C5467"/>
    <w:rsid w:val="532F3457"/>
    <w:rsid w:val="533B1B4E"/>
    <w:rsid w:val="533F3D6F"/>
    <w:rsid w:val="5345477B"/>
    <w:rsid w:val="534A3B3F"/>
    <w:rsid w:val="534C78B7"/>
    <w:rsid w:val="5355722A"/>
    <w:rsid w:val="535D3873"/>
    <w:rsid w:val="535F3A8F"/>
    <w:rsid w:val="53605111"/>
    <w:rsid w:val="536A5F90"/>
    <w:rsid w:val="536F35A6"/>
    <w:rsid w:val="53764934"/>
    <w:rsid w:val="53787030"/>
    <w:rsid w:val="537B019D"/>
    <w:rsid w:val="537F5EDF"/>
    <w:rsid w:val="53830363"/>
    <w:rsid w:val="53874D93"/>
    <w:rsid w:val="538A6632"/>
    <w:rsid w:val="538B4016"/>
    <w:rsid w:val="538F59F6"/>
    <w:rsid w:val="539D0113"/>
    <w:rsid w:val="53A45945"/>
    <w:rsid w:val="53A5521A"/>
    <w:rsid w:val="53A72D40"/>
    <w:rsid w:val="53A92F5C"/>
    <w:rsid w:val="53AC65A8"/>
    <w:rsid w:val="53B13BBE"/>
    <w:rsid w:val="53B35B89"/>
    <w:rsid w:val="53B65679"/>
    <w:rsid w:val="53BD07B5"/>
    <w:rsid w:val="53C47D96"/>
    <w:rsid w:val="53C51418"/>
    <w:rsid w:val="53C71634"/>
    <w:rsid w:val="53D1600F"/>
    <w:rsid w:val="53D17DBD"/>
    <w:rsid w:val="53D31D87"/>
    <w:rsid w:val="53D55AFF"/>
    <w:rsid w:val="53D8739D"/>
    <w:rsid w:val="53E21FCA"/>
    <w:rsid w:val="53EA0E7E"/>
    <w:rsid w:val="53EC109A"/>
    <w:rsid w:val="53EE6BC1"/>
    <w:rsid w:val="53F16B64"/>
    <w:rsid w:val="53F65A75"/>
    <w:rsid w:val="53F97408"/>
    <w:rsid w:val="53FC752F"/>
    <w:rsid w:val="53FD32A8"/>
    <w:rsid w:val="54041F40"/>
    <w:rsid w:val="54065CB8"/>
    <w:rsid w:val="540C7047"/>
    <w:rsid w:val="540D34EB"/>
    <w:rsid w:val="541A1764"/>
    <w:rsid w:val="541C1980"/>
    <w:rsid w:val="541D3002"/>
    <w:rsid w:val="541F321E"/>
    <w:rsid w:val="54224ABC"/>
    <w:rsid w:val="542720D3"/>
    <w:rsid w:val="5429409D"/>
    <w:rsid w:val="54295E4B"/>
    <w:rsid w:val="542E520F"/>
    <w:rsid w:val="54300F87"/>
    <w:rsid w:val="5435659E"/>
    <w:rsid w:val="543F566E"/>
    <w:rsid w:val="54436F0C"/>
    <w:rsid w:val="544467E1"/>
    <w:rsid w:val="54534C76"/>
    <w:rsid w:val="545509EE"/>
    <w:rsid w:val="54576514"/>
    <w:rsid w:val="5458228C"/>
    <w:rsid w:val="545853DC"/>
    <w:rsid w:val="545A24A8"/>
    <w:rsid w:val="545C1D7C"/>
    <w:rsid w:val="545D4AA3"/>
    <w:rsid w:val="54612C9C"/>
    <w:rsid w:val="5463135D"/>
    <w:rsid w:val="54662BFB"/>
    <w:rsid w:val="546704F0"/>
    <w:rsid w:val="54696247"/>
    <w:rsid w:val="54703A7A"/>
    <w:rsid w:val="54843F60"/>
    <w:rsid w:val="5486329D"/>
    <w:rsid w:val="5488491F"/>
    <w:rsid w:val="548968E9"/>
    <w:rsid w:val="548E3F00"/>
    <w:rsid w:val="5490727E"/>
    <w:rsid w:val="54907C78"/>
    <w:rsid w:val="5492579E"/>
    <w:rsid w:val="549534E0"/>
    <w:rsid w:val="549B5123"/>
    <w:rsid w:val="54A6749B"/>
    <w:rsid w:val="54AB4AB2"/>
    <w:rsid w:val="54AD540F"/>
    <w:rsid w:val="54AE00FE"/>
    <w:rsid w:val="54B25E40"/>
    <w:rsid w:val="54B43966"/>
    <w:rsid w:val="54BC281B"/>
    <w:rsid w:val="54C07EA1"/>
    <w:rsid w:val="54C31DFB"/>
    <w:rsid w:val="54C53DC5"/>
    <w:rsid w:val="54C811C0"/>
    <w:rsid w:val="54C93627"/>
    <w:rsid w:val="54CA13DC"/>
    <w:rsid w:val="54CB0CB0"/>
    <w:rsid w:val="54CF07A0"/>
    <w:rsid w:val="54D062C6"/>
    <w:rsid w:val="54D20290"/>
    <w:rsid w:val="54D2203E"/>
    <w:rsid w:val="54D47B64"/>
    <w:rsid w:val="54E0475B"/>
    <w:rsid w:val="54E16725"/>
    <w:rsid w:val="54E3249D"/>
    <w:rsid w:val="54E40912"/>
    <w:rsid w:val="54ED50CA"/>
    <w:rsid w:val="54FA3343"/>
    <w:rsid w:val="55043CB4"/>
    <w:rsid w:val="55050666"/>
    <w:rsid w:val="550A7A2A"/>
    <w:rsid w:val="550B5550"/>
    <w:rsid w:val="551C55B1"/>
    <w:rsid w:val="551D485B"/>
    <w:rsid w:val="551E7032"/>
    <w:rsid w:val="55216B22"/>
    <w:rsid w:val="55222FC6"/>
    <w:rsid w:val="55230AEC"/>
    <w:rsid w:val="55241B5D"/>
    <w:rsid w:val="55255BBE"/>
    <w:rsid w:val="5527238A"/>
    <w:rsid w:val="552A1E7A"/>
    <w:rsid w:val="552B174F"/>
    <w:rsid w:val="552C5BF2"/>
    <w:rsid w:val="552F0159"/>
    <w:rsid w:val="55425416"/>
    <w:rsid w:val="55482300"/>
    <w:rsid w:val="554923E8"/>
    <w:rsid w:val="554A7E27"/>
    <w:rsid w:val="554D5B69"/>
    <w:rsid w:val="554E3DBB"/>
    <w:rsid w:val="55621614"/>
    <w:rsid w:val="55674E7D"/>
    <w:rsid w:val="55730741"/>
    <w:rsid w:val="55762895"/>
    <w:rsid w:val="557B4484"/>
    <w:rsid w:val="557D01FC"/>
    <w:rsid w:val="55821CB6"/>
    <w:rsid w:val="558C7C12"/>
    <w:rsid w:val="558D118A"/>
    <w:rsid w:val="559317CE"/>
    <w:rsid w:val="55943798"/>
    <w:rsid w:val="55945546"/>
    <w:rsid w:val="55A21A11"/>
    <w:rsid w:val="55AC0DF6"/>
    <w:rsid w:val="55AC6D33"/>
    <w:rsid w:val="55AF05D2"/>
    <w:rsid w:val="55B81234"/>
    <w:rsid w:val="55B94FAC"/>
    <w:rsid w:val="55BB2AD2"/>
    <w:rsid w:val="55BB6F76"/>
    <w:rsid w:val="55C0458D"/>
    <w:rsid w:val="55C0633B"/>
    <w:rsid w:val="55C37BD9"/>
    <w:rsid w:val="55C776C9"/>
    <w:rsid w:val="55C951EF"/>
    <w:rsid w:val="55CC1183"/>
    <w:rsid w:val="55D3606E"/>
    <w:rsid w:val="55D87B28"/>
    <w:rsid w:val="55DA564E"/>
    <w:rsid w:val="55DB13C7"/>
    <w:rsid w:val="55DB3175"/>
    <w:rsid w:val="55DD513F"/>
    <w:rsid w:val="55E069DD"/>
    <w:rsid w:val="55E22755"/>
    <w:rsid w:val="55E71B19"/>
    <w:rsid w:val="55EA33B8"/>
    <w:rsid w:val="55EE2EA8"/>
    <w:rsid w:val="55F14746"/>
    <w:rsid w:val="55F52488"/>
    <w:rsid w:val="55F67FAE"/>
    <w:rsid w:val="55FA184D"/>
    <w:rsid w:val="55FC1EE9"/>
    <w:rsid w:val="560721BC"/>
    <w:rsid w:val="560E52F8"/>
    <w:rsid w:val="561658A2"/>
    <w:rsid w:val="561A1EEF"/>
    <w:rsid w:val="561F12B3"/>
    <w:rsid w:val="562763BA"/>
    <w:rsid w:val="562C39D0"/>
    <w:rsid w:val="562E599A"/>
    <w:rsid w:val="5630526E"/>
    <w:rsid w:val="5633540E"/>
    <w:rsid w:val="56350AD7"/>
    <w:rsid w:val="563E42B3"/>
    <w:rsid w:val="5641747C"/>
    <w:rsid w:val="564231F4"/>
    <w:rsid w:val="56446F6C"/>
    <w:rsid w:val="56462CE4"/>
    <w:rsid w:val="56491729"/>
    <w:rsid w:val="56496330"/>
    <w:rsid w:val="564B20A8"/>
    <w:rsid w:val="564F4B8D"/>
    <w:rsid w:val="56530F5D"/>
    <w:rsid w:val="565371AF"/>
    <w:rsid w:val="565C6063"/>
    <w:rsid w:val="565F7902"/>
    <w:rsid w:val="5661367A"/>
    <w:rsid w:val="56617B1E"/>
    <w:rsid w:val="56625644"/>
    <w:rsid w:val="566413BC"/>
    <w:rsid w:val="56644F18"/>
    <w:rsid w:val="56670EB9"/>
    <w:rsid w:val="56690780"/>
    <w:rsid w:val="567315FF"/>
    <w:rsid w:val="567C04B4"/>
    <w:rsid w:val="568775D5"/>
    <w:rsid w:val="56905D0D"/>
    <w:rsid w:val="56955A19"/>
    <w:rsid w:val="569A3030"/>
    <w:rsid w:val="56A143BE"/>
    <w:rsid w:val="56A30136"/>
    <w:rsid w:val="56A96DCF"/>
    <w:rsid w:val="56B20379"/>
    <w:rsid w:val="56C53D76"/>
    <w:rsid w:val="56C8194B"/>
    <w:rsid w:val="56C836F9"/>
    <w:rsid w:val="56C854A7"/>
    <w:rsid w:val="56CB31E9"/>
    <w:rsid w:val="56D4592B"/>
    <w:rsid w:val="56D9546D"/>
    <w:rsid w:val="56E10C5F"/>
    <w:rsid w:val="56E14038"/>
    <w:rsid w:val="56E36785"/>
    <w:rsid w:val="56F52014"/>
    <w:rsid w:val="56F73FDE"/>
    <w:rsid w:val="56F97D56"/>
    <w:rsid w:val="56FE711B"/>
    <w:rsid w:val="570109B9"/>
    <w:rsid w:val="570D1A54"/>
    <w:rsid w:val="570D71FD"/>
    <w:rsid w:val="57122BC6"/>
    <w:rsid w:val="571921A6"/>
    <w:rsid w:val="571C57F3"/>
    <w:rsid w:val="5728063B"/>
    <w:rsid w:val="572A488A"/>
    <w:rsid w:val="572F19CA"/>
    <w:rsid w:val="57462870"/>
    <w:rsid w:val="574A2360"/>
    <w:rsid w:val="574A6804"/>
    <w:rsid w:val="575136EE"/>
    <w:rsid w:val="57560D05"/>
    <w:rsid w:val="57574A7D"/>
    <w:rsid w:val="575907F5"/>
    <w:rsid w:val="57602517"/>
    <w:rsid w:val="57631674"/>
    <w:rsid w:val="57686C8A"/>
    <w:rsid w:val="576D604E"/>
    <w:rsid w:val="576F6CF2"/>
    <w:rsid w:val="57715B3F"/>
    <w:rsid w:val="577613A7"/>
    <w:rsid w:val="577675F9"/>
    <w:rsid w:val="57776ECD"/>
    <w:rsid w:val="577E46FF"/>
    <w:rsid w:val="57827D4C"/>
    <w:rsid w:val="578515EA"/>
    <w:rsid w:val="57853398"/>
    <w:rsid w:val="578A30A4"/>
    <w:rsid w:val="57911D3D"/>
    <w:rsid w:val="57923D07"/>
    <w:rsid w:val="57925AB5"/>
    <w:rsid w:val="57961A49"/>
    <w:rsid w:val="579A2EB1"/>
    <w:rsid w:val="579B705F"/>
    <w:rsid w:val="579E26AC"/>
    <w:rsid w:val="57A00704"/>
    <w:rsid w:val="57A22A06"/>
    <w:rsid w:val="57A557B1"/>
    <w:rsid w:val="57A777B2"/>
    <w:rsid w:val="57AD28EF"/>
    <w:rsid w:val="57B1418D"/>
    <w:rsid w:val="57B679F5"/>
    <w:rsid w:val="57BD0D84"/>
    <w:rsid w:val="57C06AC6"/>
    <w:rsid w:val="57CD4D3F"/>
    <w:rsid w:val="57CF18D5"/>
    <w:rsid w:val="57D305A7"/>
    <w:rsid w:val="57D460CD"/>
    <w:rsid w:val="57DD31D4"/>
    <w:rsid w:val="57DF519E"/>
    <w:rsid w:val="57E04A72"/>
    <w:rsid w:val="57E52089"/>
    <w:rsid w:val="57E83927"/>
    <w:rsid w:val="57EA3B43"/>
    <w:rsid w:val="57EA58F1"/>
    <w:rsid w:val="57EE3633"/>
    <w:rsid w:val="57F16C7F"/>
    <w:rsid w:val="57FB5D50"/>
    <w:rsid w:val="57FD73D2"/>
    <w:rsid w:val="58005114"/>
    <w:rsid w:val="58047084"/>
    <w:rsid w:val="580F5357"/>
    <w:rsid w:val="58160494"/>
    <w:rsid w:val="581D1822"/>
    <w:rsid w:val="58256929"/>
    <w:rsid w:val="582C3CB9"/>
    <w:rsid w:val="583077A8"/>
    <w:rsid w:val="583354EA"/>
    <w:rsid w:val="583D3C73"/>
    <w:rsid w:val="58417C07"/>
    <w:rsid w:val="5847689F"/>
    <w:rsid w:val="584D6D0A"/>
    <w:rsid w:val="584E40D2"/>
    <w:rsid w:val="58562F86"/>
    <w:rsid w:val="585A4825"/>
    <w:rsid w:val="58613E05"/>
    <w:rsid w:val="58676F42"/>
    <w:rsid w:val="58692CBA"/>
    <w:rsid w:val="586B4C84"/>
    <w:rsid w:val="586D09FC"/>
    <w:rsid w:val="588418A2"/>
    <w:rsid w:val="58896EB8"/>
    <w:rsid w:val="588B0E82"/>
    <w:rsid w:val="588C6BBB"/>
    <w:rsid w:val="588E44CE"/>
    <w:rsid w:val="58935F89"/>
    <w:rsid w:val="58975A79"/>
    <w:rsid w:val="589A2E73"/>
    <w:rsid w:val="589C6BEB"/>
    <w:rsid w:val="58A65CBC"/>
    <w:rsid w:val="58A67A6A"/>
    <w:rsid w:val="58B06B3A"/>
    <w:rsid w:val="58B403F0"/>
    <w:rsid w:val="58BE3005"/>
    <w:rsid w:val="58C43FFE"/>
    <w:rsid w:val="58C52E9E"/>
    <w:rsid w:val="58C93DEC"/>
    <w:rsid w:val="58CB5722"/>
    <w:rsid w:val="58CD3249"/>
    <w:rsid w:val="58D565A1"/>
    <w:rsid w:val="58D97E3F"/>
    <w:rsid w:val="58E40592"/>
    <w:rsid w:val="58E6255C"/>
    <w:rsid w:val="58E660B8"/>
    <w:rsid w:val="58F307D5"/>
    <w:rsid w:val="58F76517"/>
    <w:rsid w:val="59011144"/>
    <w:rsid w:val="59080725"/>
    <w:rsid w:val="590D1897"/>
    <w:rsid w:val="59126EAD"/>
    <w:rsid w:val="59154BEF"/>
    <w:rsid w:val="59183BD6"/>
    <w:rsid w:val="591B10C7"/>
    <w:rsid w:val="591C7D2C"/>
    <w:rsid w:val="59205A6E"/>
    <w:rsid w:val="59232E69"/>
    <w:rsid w:val="592B4413"/>
    <w:rsid w:val="5943175D"/>
    <w:rsid w:val="59457283"/>
    <w:rsid w:val="595219A0"/>
    <w:rsid w:val="59590F80"/>
    <w:rsid w:val="595B4CF8"/>
    <w:rsid w:val="5963158C"/>
    <w:rsid w:val="596D4A2C"/>
    <w:rsid w:val="59710078"/>
    <w:rsid w:val="5975743C"/>
    <w:rsid w:val="597638E0"/>
    <w:rsid w:val="597B0EF6"/>
    <w:rsid w:val="597E09E7"/>
    <w:rsid w:val="597E2795"/>
    <w:rsid w:val="59815DE1"/>
    <w:rsid w:val="598A113A"/>
    <w:rsid w:val="598A2EE8"/>
    <w:rsid w:val="598A738C"/>
    <w:rsid w:val="598B6C60"/>
    <w:rsid w:val="59956439"/>
    <w:rsid w:val="5999137D"/>
    <w:rsid w:val="599B6EA3"/>
    <w:rsid w:val="59A04C8D"/>
    <w:rsid w:val="59A3044D"/>
    <w:rsid w:val="59A321FB"/>
    <w:rsid w:val="59AD6BD6"/>
    <w:rsid w:val="59B2243E"/>
    <w:rsid w:val="59B47F65"/>
    <w:rsid w:val="59B83EF9"/>
    <w:rsid w:val="59B85CA7"/>
    <w:rsid w:val="59BE0DE3"/>
    <w:rsid w:val="59BE5287"/>
    <w:rsid w:val="59C06909"/>
    <w:rsid w:val="59C12681"/>
    <w:rsid w:val="59C53F20"/>
    <w:rsid w:val="59C62411"/>
    <w:rsid w:val="59C75EEA"/>
    <w:rsid w:val="59C95329"/>
    <w:rsid w:val="59C96098"/>
    <w:rsid w:val="59CA59DA"/>
    <w:rsid w:val="59D40607"/>
    <w:rsid w:val="59D800F7"/>
    <w:rsid w:val="59DF7BD4"/>
    <w:rsid w:val="59E7033A"/>
    <w:rsid w:val="59F52EB6"/>
    <w:rsid w:val="59F6057D"/>
    <w:rsid w:val="59FB5B93"/>
    <w:rsid w:val="59FE7432"/>
    <w:rsid w:val="5A0709DC"/>
    <w:rsid w:val="5A0802B0"/>
    <w:rsid w:val="5A0F43A4"/>
    <w:rsid w:val="5A117165"/>
    <w:rsid w:val="5A144EA7"/>
    <w:rsid w:val="5A146C55"/>
    <w:rsid w:val="5A1B7FE4"/>
    <w:rsid w:val="5A1D5B0A"/>
    <w:rsid w:val="5A1E1882"/>
    <w:rsid w:val="5A1F5D26"/>
    <w:rsid w:val="5A20384C"/>
    <w:rsid w:val="5A2055FA"/>
    <w:rsid w:val="5A221372"/>
    <w:rsid w:val="5A24333C"/>
    <w:rsid w:val="5A2A0227"/>
    <w:rsid w:val="5A2A43CB"/>
    <w:rsid w:val="5A3612C1"/>
    <w:rsid w:val="5A3E07A1"/>
    <w:rsid w:val="5A490FF5"/>
    <w:rsid w:val="5A4A08C9"/>
    <w:rsid w:val="5A4A650E"/>
    <w:rsid w:val="5A5415CC"/>
    <w:rsid w:val="5A5A4FB0"/>
    <w:rsid w:val="5A5F4374"/>
    <w:rsid w:val="5A601E9A"/>
    <w:rsid w:val="5A61633E"/>
    <w:rsid w:val="5A6574B1"/>
    <w:rsid w:val="5A663955"/>
    <w:rsid w:val="5A6831D8"/>
    <w:rsid w:val="5A706581"/>
    <w:rsid w:val="5A751DEA"/>
    <w:rsid w:val="5A76346C"/>
    <w:rsid w:val="5A7B73DA"/>
    <w:rsid w:val="5A7C1BE0"/>
    <w:rsid w:val="5A7D0C9E"/>
    <w:rsid w:val="5A7D47FA"/>
    <w:rsid w:val="5A7F0572"/>
    <w:rsid w:val="5A89319F"/>
    <w:rsid w:val="5A897643"/>
    <w:rsid w:val="5A943679"/>
    <w:rsid w:val="5A9658BC"/>
    <w:rsid w:val="5A9C0987"/>
    <w:rsid w:val="5A9D4E9D"/>
    <w:rsid w:val="5A9F329F"/>
    <w:rsid w:val="5A9F6E67"/>
    <w:rsid w:val="5AA004E9"/>
    <w:rsid w:val="5AA77AC9"/>
    <w:rsid w:val="5AAC50E0"/>
    <w:rsid w:val="5AB02E22"/>
    <w:rsid w:val="5AB26B9A"/>
    <w:rsid w:val="5AB3646E"/>
    <w:rsid w:val="5AC02939"/>
    <w:rsid w:val="5ACB37B8"/>
    <w:rsid w:val="5ACB7C5C"/>
    <w:rsid w:val="5AD20FEA"/>
    <w:rsid w:val="5ADC379C"/>
    <w:rsid w:val="5ADD34EB"/>
    <w:rsid w:val="5ADE798F"/>
    <w:rsid w:val="5ADF54B5"/>
    <w:rsid w:val="5AE40D1D"/>
    <w:rsid w:val="5AE42ACB"/>
    <w:rsid w:val="5AE825BC"/>
    <w:rsid w:val="5AEE394A"/>
    <w:rsid w:val="5AF076C2"/>
    <w:rsid w:val="5AF251E8"/>
    <w:rsid w:val="5AF440A0"/>
    <w:rsid w:val="5AF70A51"/>
    <w:rsid w:val="5AF820D3"/>
    <w:rsid w:val="5AF947C9"/>
    <w:rsid w:val="5AF96577"/>
    <w:rsid w:val="5AFA409D"/>
    <w:rsid w:val="5AFD5152"/>
    <w:rsid w:val="5AFE1DDF"/>
    <w:rsid w:val="5B022F52"/>
    <w:rsid w:val="5B092532"/>
    <w:rsid w:val="5B123195"/>
    <w:rsid w:val="5B127639"/>
    <w:rsid w:val="5B1C04B7"/>
    <w:rsid w:val="5B1C32AC"/>
    <w:rsid w:val="5B2630E4"/>
    <w:rsid w:val="5B2757EE"/>
    <w:rsid w:val="5B296730"/>
    <w:rsid w:val="5B2F1F99"/>
    <w:rsid w:val="5B3752F1"/>
    <w:rsid w:val="5B3C6463"/>
    <w:rsid w:val="5B3F7D02"/>
    <w:rsid w:val="5B450D77"/>
    <w:rsid w:val="5B4A5024"/>
    <w:rsid w:val="5B523ED9"/>
    <w:rsid w:val="5B555777"/>
    <w:rsid w:val="5B57504B"/>
    <w:rsid w:val="5B5C6B06"/>
    <w:rsid w:val="5B5F2152"/>
    <w:rsid w:val="5B6540C9"/>
    <w:rsid w:val="5B6836FC"/>
    <w:rsid w:val="5B687259"/>
    <w:rsid w:val="5B6D0D13"/>
    <w:rsid w:val="5B6D2AC1"/>
    <w:rsid w:val="5B70435F"/>
    <w:rsid w:val="5B773940"/>
    <w:rsid w:val="5B7976B8"/>
    <w:rsid w:val="5B7B3430"/>
    <w:rsid w:val="5B7C2D04"/>
    <w:rsid w:val="5B8027F4"/>
    <w:rsid w:val="5B871DD5"/>
    <w:rsid w:val="5B8A71CF"/>
    <w:rsid w:val="5B8C73EB"/>
    <w:rsid w:val="5B8D2D21"/>
    <w:rsid w:val="5B8D3163"/>
    <w:rsid w:val="5B8F0C89"/>
    <w:rsid w:val="5B9067AF"/>
    <w:rsid w:val="5B920779"/>
    <w:rsid w:val="5B955CFF"/>
    <w:rsid w:val="5B9938B6"/>
    <w:rsid w:val="5B9B13DC"/>
    <w:rsid w:val="5B9B762E"/>
    <w:rsid w:val="5BA1276A"/>
    <w:rsid w:val="5BA858A7"/>
    <w:rsid w:val="5BAD110F"/>
    <w:rsid w:val="5BAD55B3"/>
    <w:rsid w:val="5BB27DF8"/>
    <w:rsid w:val="5BB57FC4"/>
    <w:rsid w:val="5BB73D3C"/>
    <w:rsid w:val="5BBC1352"/>
    <w:rsid w:val="5BBD57F6"/>
    <w:rsid w:val="5BBE156E"/>
    <w:rsid w:val="5BBE331C"/>
    <w:rsid w:val="5BC73A97"/>
    <w:rsid w:val="5BC85F49"/>
    <w:rsid w:val="5BCD17B1"/>
    <w:rsid w:val="5BCD355F"/>
    <w:rsid w:val="5BCF552A"/>
    <w:rsid w:val="5BD743DE"/>
    <w:rsid w:val="5BD7618C"/>
    <w:rsid w:val="5BD963A8"/>
    <w:rsid w:val="5BDC19F5"/>
    <w:rsid w:val="5BE56AFB"/>
    <w:rsid w:val="5BE70AC5"/>
    <w:rsid w:val="5BE72004"/>
    <w:rsid w:val="5BE865EB"/>
    <w:rsid w:val="5BEC60DC"/>
    <w:rsid w:val="5BEE20A9"/>
    <w:rsid w:val="5BEE226D"/>
    <w:rsid w:val="5BEF34D6"/>
    <w:rsid w:val="5BF31218"/>
    <w:rsid w:val="5BF60D08"/>
    <w:rsid w:val="5BF62AB6"/>
    <w:rsid w:val="5BFB631F"/>
    <w:rsid w:val="5BFC5BF3"/>
    <w:rsid w:val="5BFD2097"/>
    <w:rsid w:val="5BFE196B"/>
    <w:rsid w:val="5BFE7BBD"/>
    <w:rsid w:val="5C013209"/>
    <w:rsid w:val="5C043425"/>
    <w:rsid w:val="5C127F4E"/>
    <w:rsid w:val="5C1D0043"/>
    <w:rsid w:val="5C1D44E7"/>
    <w:rsid w:val="5C221AFD"/>
    <w:rsid w:val="5C2634D8"/>
    <w:rsid w:val="5C294C3A"/>
    <w:rsid w:val="5C2C64D8"/>
    <w:rsid w:val="5C2D3FFE"/>
    <w:rsid w:val="5C2E290C"/>
    <w:rsid w:val="5C384E7D"/>
    <w:rsid w:val="5C3E7FB9"/>
    <w:rsid w:val="5C4001D5"/>
    <w:rsid w:val="5C403D31"/>
    <w:rsid w:val="5C4B1054"/>
    <w:rsid w:val="5C4E28F2"/>
    <w:rsid w:val="5C4F21C6"/>
    <w:rsid w:val="5C5617A7"/>
    <w:rsid w:val="5C5A0499"/>
    <w:rsid w:val="5C5D0D87"/>
    <w:rsid w:val="5C5E240A"/>
    <w:rsid w:val="5C602626"/>
    <w:rsid w:val="5C61531C"/>
    <w:rsid w:val="5C645C72"/>
    <w:rsid w:val="5C6519EA"/>
    <w:rsid w:val="5C6914DA"/>
    <w:rsid w:val="5C693288"/>
    <w:rsid w:val="5C6A7000"/>
    <w:rsid w:val="5C6C7437"/>
    <w:rsid w:val="5C6D01F8"/>
    <w:rsid w:val="5C732359"/>
    <w:rsid w:val="5C734107"/>
    <w:rsid w:val="5C763BF7"/>
    <w:rsid w:val="5C78796F"/>
    <w:rsid w:val="5C7A5495"/>
    <w:rsid w:val="5C7D6D34"/>
    <w:rsid w:val="5C82259C"/>
    <w:rsid w:val="5C8408F0"/>
    <w:rsid w:val="5C841E70"/>
    <w:rsid w:val="5C844566"/>
    <w:rsid w:val="5C875E04"/>
    <w:rsid w:val="5C8A31FF"/>
    <w:rsid w:val="5C8D47B8"/>
    <w:rsid w:val="5C904148"/>
    <w:rsid w:val="5C91458D"/>
    <w:rsid w:val="5C9F314E"/>
    <w:rsid w:val="5C9F4EFC"/>
    <w:rsid w:val="5CA02A22"/>
    <w:rsid w:val="5CA249EC"/>
    <w:rsid w:val="5CA97B29"/>
    <w:rsid w:val="5CAB6358"/>
    <w:rsid w:val="5CAC586B"/>
    <w:rsid w:val="5CAE513F"/>
    <w:rsid w:val="5CB309A7"/>
    <w:rsid w:val="5CB62246"/>
    <w:rsid w:val="5CBC3D00"/>
    <w:rsid w:val="5CC04E72"/>
    <w:rsid w:val="5CC15D6D"/>
    <w:rsid w:val="5CC44962"/>
    <w:rsid w:val="5CC52489"/>
    <w:rsid w:val="5CCD5E8E"/>
    <w:rsid w:val="5CCE1C4B"/>
    <w:rsid w:val="5CD252D1"/>
    <w:rsid w:val="5CDC6150"/>
    <w:rsid w:val="5CE172C2"/>
    <w:rsid w:val="5CE42094"/>
    <w:rsid w:val="5CE62B2B"/>
    <w:rsid w:val="5CEE19DF"/>
    <w:rsid w:val="5CF21DB6"/>
    <w:rsid w:val="5CF74D38"/>
    <w:rsid w:val="5CFF1E3E"/>
    <w:rsid w:val="5D041203"/>
    <w:rsid w:val="5D047455"/>
    <w:rsid w:val="5D0F6CD8"/>
    <w:rsid w:val="5D107BA8"/>
    <w:rsid w:val="5D23627C"/>
    <w:rsid w:val="5D263C24"/>
    <w:rsid w:val="5D2673CB"/>
    <w:rsid w:val="5D291EC2"/>
    <w:rsid w:val="5D2D075A"/>
    <w:rsid w:val="5D301FF8"/>
    <w:rsid w:val="5D3A4C25"/>
    <w:rsid w:val="5D3E4715"/>
    <w:rsid w:val="5D3F223B"/>
    <w:rsid w:val="5D403159"/>
    <w:rsid w:val="5D485594"/>
    <w:rsid w:val="5D526412"/>
    <w:rsid w:val="5D5932FD"/>
    <w:rsid w:val="5D5C131E"/>
    <w:rsid w:val="5D5C2DED"/>
    <w:rsid w:val="5D600B2F"/>
    <w:rsid w:val="5D641CA2"/>
    <w:rsid w:val="5D6B2D4E"/>
    <w:rsid w:val="5D700646"/>
    <w:rsid w:val="5D720862"/>
    <w:rsid w:val="5D731EE5"/>
    <w:rsid w:val="5D7A7717"/>
    <w:rsid w:val="5D7E7207"/>
    <w:rsid w:val="5D921C8C"/>
    <w:rsid w:val="5D9562FF"/>
    <w:rsid w:val="5D995DEF"/>
    <w:rsid w:val="5D9E6F62"/>
    <w:rsid w:val="5DA0717E"/>
    <w:rsid w:val="5DAB167E"/>
    <w:rsid w:val="5DB26EB1"/>
    <w:rsid w:val="5DB93D9B"/>
    <w:rsid w:val="5DD92690"/>
    <w:rsid w:val="5DED613B"/>
    <w:rsid w:val="5DEF1EB3"/>
    <w:rsid w:val="5DF03535"/>
    <w:rsid w:val="5DF23751"/>
    <w:rsid w:val="5DF66D9E"/>
    <w:rsid w:val="5DF72B16"/>
    <w:rsid w:val="5E056FE1"/>
    <w:rsid w:val="5E062D59"/>
    <w:rsid w:val="5E075446"/>
    <w:rsid w:val="5E0A2849"/>
    <w:rsid w:val="5E0C4813"/>
    <w:rsid w:val="5E0D0017"/>
    <w:rsid w:val="5E115985"/>
    <w:rsid w:val="5E127950"/>
    <w:rsid w:val="5E1B6804"/>
    <w:rsid w:val="5E1E4546"/>
    <w:rsid w:val="5E207BCE"/>
    <w:rsid w:val="5E282CCF"/>
    <w:rsid w:val="5E2F1F21"/>
    <w:rsid w:val="5E2F3662"/>
    <w:rsid w:val="5E360964"/>
    <w:rsid w:val="5E361890"/>
    <w:rsid w:val="5E394EDC"/>
    <w:rsid w:val="5E3E6996"/>
    <w:rsid w:val="5E3F7232"/>
    <w:rsid w:val="5E40626B"/>
    <w:rsid w:val="5E413D91"/>
    <w:rsid w:val="5E457D25"/>
    <w:rsid w:val="5E4C4C10"/>
    <w:rsid w:val="5E4D0988"/>
    <w:rsid w:val="5E547F68"/>
    <w:rsid w:val="5E56680D"/>
    <w:rsid w:val="5E59732C"/>
    <w:rsid w:val="5E604B5F"/>
    <w:rsid w:val="5E6301AB"/>
    <w:rsid w:val="5E631F59"/>
    <w:rsid w:val="5E693A13"/>
    <w:rsid w:val="5E69724E"/>
    <w:rsid w:val="5E6A778C"/>
    <w:rsid w:val="5E7A23D3"/>
    <w:rsid w:val="5E7B54F5"/>
    <w:rsid w:val="5E7B72A3"/>
    <w:rsid w:val="5E7D126D"/>
    <w:rsid w:val="5E7D19B8"/>
    <w:rsid w:val="5E7D74BF"/>
    <w:rsid w:val="5E7E0AC9"/>
    <w:rsid w:val="5E7F4FE5"/>
    <w:rsid w:val="5E800D5D"/>
    <w:rsid w:val="5E802B0B"/>
    <w:rsid w:val="5E84084D"/>
    <w:rsid w:val="5E8B1BDC"/>
    <w:rsid w:val="5E8E5228"/>
    <w:rsid w:val="5E960581"/>
    <w:rsid w:val="5E9640DD"/>
    <w:rsid w:val="5EA54320"/>
    <w:rsid w:val="5EA93E10"/>
    <w:rsid w:val="5EAA3AC7"/>
    <w:rsid w:val="5EAD62B4"/>
    <w:rsid w:val="5EB36A3D"/>
    <w:rsid w:val="5EB52362"/>
    <w:rsid w:val="5EBE53E1"/>
    <w:rsid w:val="5EC724E8"/>
    <w:rsid w:val="5ECA5600"/>
    <w:rsid w:val="5ECF75EF"/>
    <w:rsid w:val="5ED2780B"/>
    <w:rsid w:val="5ED54C05"/>
    <w:rsid w:val="5ED66BCF"/>
    <w:rsid w:val="5ED846F5"/>
    <w:rsid w:val="5EDD7F5D"/>
    <w:rsid w:val="5EE25574"/>
    <w:rsid w:val="5EE96902"/>
    <w:rsid w:val="5EEB4428"/>
    <w:rsid w:val="5EF13A09"/>
    <w:rsid w:val="5EF145FA"/>
    <w:rsid w:val="5EFD0600"/>
    <w:rsid w:val="5F013C4C"/>
    <w:rsid w:val="5F025C16"/>
    <w:rsid w:val="5F090D52"/>
    <w:rsid w:val="5F103E8F"/>
    <w:rsid w:val="5F1A2F60"/>
    <w:rsid w:val="5F217E4A"/>
    <w:rsid w:val="5F221E14"/>
    <w:rsid w:val="5F2636B2"/>
    <w:rsid w:val="5F2E3793"/>
    <w:rsid w:val="5F322057"/>
    <w:rsid w:val="5F3758C0"/>
    <w:rsid w:val="5F3833E6"/>
    <w:rsid w:val="5F3C4C84"/>
    <w:rsid w:val="5F3F29C6"/>
    <w:rsid w:val="5F3F4090"/>
    <w:rsid w:val="5F3F4774"/>
    <w:rsid w:val="5F41673E"/>
    <w:rsid w:val="5F463FB4"/>
    <w:rsid w:val="5F4678B1"/>
    <w:rsid w:val="5F473629"/>
    <w:rsid w:val="5F487ACD"/>
    <w:rsid w:val="5F4D6E91"/>
    <w:rsid w:val="5F5244A8"/>
    <w:rsid w:val="5F57386C"/>
    <w:rsid w:val="5F5D2E4C"/>
    <w:rsid w:val="5F5E109E"/>
    <w:rsid w:val="5F5F4E16"/>
    <w:rsid w:val="5F622211"/>
    <w:rsid w:val="5F6D308F"/>
    <w:rsid w:val="5F6E0BB6"/>
    <w:rsid w:val="5F721AF0"/>
    <w:rsid w:val="5F7268F8"/>
    <w:rsid w:val="5F773F0E"/>
    <w:rsid w:val="5F7E529D"/>
    <w:rsid w:val="5F7F1523"/>
    <w:rsid w:val="5F8403D9"/>
    <w:rsid w:val="5F881C77"/>
    <w:rsid w:val="5F8D54E0"/>
    <w:rsid w:val="5F9B1BCD"/>
    <w:rsid w:val="5FA34D03"/>
    <w:rsid w:val="5FAA6092"/>
    <w:rsid w:val="5FAB005C"/>
    <w:rsid w:val="5FB94527"/>
    <w:rsid w:val="5FBF2927"/>
    <w:rsid w:val="5FC52ECB"/>
    <w:rsid w:val="5FCA04E2"/>
    <w:rsid w:val="5FCC24AC"/>
    <w:rsid w:val="5FD01870"/>
    <w:rsid w:val="5FD56E87"/>
    <w:rsid w:val="5FDA449D"/>
    <w:rsid w:val="5FE008C0"/>
    <w:rsid w:val="5FE5356E"/>
    <w:rsid w:val="5FE61094"/>
    <w:rsid w:val="5FE86BBA"/>
    <w:rsid w:val="5FEF7F48"/>
    <w:rsid w:val="5FF53085"/>
    <w:rsid w:val="5FF64227"/>
    <w:rsid w:val="5FF94923"/>
    <w:rsid w:val="5FFA1467"/>
    <w:rsid w:val="5FFD7DE8"/>
    <w:rsid w:val="60011A2A"/>
    <w:rsid w:val="600225BA"/>
    <w:rsid w:val="6005151A"/>
    <w:rsid w:val="600532C8"/>
    <w:rsid w:val="60082DB8"/>
    <w:rsid w:val="60085A25"/>
    <w:rsid w:val="600A4D82"/>
    <w:rsid w:val="600F6D21"/>
    <w:rsid w:val="601259E5"/>
    <w:rsid w:val="60161979"/>
    <w:rsid w:val="60172FFB"/>
    <w:rsid w:val="6017749F"/>
    <w:rsid w:val="60181A1F"/>
    <w:rsid w:val="60194FC5"/>
    <w:rsid w:val="601C6864"/>
    <w:rsid w:val="60251BBC"/>
    <w:rsid w:val="602776E2"/>
    <w:rsid w:val="6031230F"/>
    <w:rsid w:val="60340051"/>
    <w:rsid w:val="60341DFF"/>
    <w:rsid w:val="6037369D"/>
    <w:rsid w:val="603C0CB4"/>
    <w:rsid w:val="603D6F06"/>
    <w:rsid w:val="60432042"/>
    <w:rsid w:val="604364E6"/>
    <w:rsid w:val="60477D84"/>
    <w:rsid w:val="604E1113"/>
    <w:rsid w:val="605129B1"/>
    <w:rsid w:val="60536729"/>
    <w:rsid w:val="605424A1"/>
    <w:rsid w:val="60566219"/>
    <w:rsid w:val="60591866"/>
    <w:rsid w:val="605F7E99"/>
    <w:rsid w:val="60602BF4"/>
    <w:rsid w:val="60624BBE"/>
    <w:rsid w:val="60695F4D"/>
    <w:rsid w:val="606C1599"/>
    <w:rsid w:val="60716BAF"/>
    <w:rsid w:val="60791F08"/>
    <w:rsid w:val="607C7302"/>
    <w:rsid w:val="607D5554"/>
    <w:rsid w:val="608368E3"/>
    <w:rsid w:val="60853DCD"/>
    <w:rsid w:val="608763D3"/>
    <w:rsid w:val="608C5797"/>
    <w:rsid w:val="608E59B3"/>
    <w:rsid w:val="60940AF0"/>
    <w:rsid w:val="60966616"/>
    <w:rsid w:val="609B59DA"/>
    <w:rsid w:val="60A32AE1"/>
    <w:rsid w:val="60A46F85"/>
    <w:rsid w:val="60A725D1"/>
    <w:rsid w:val="60A76A75"/>
    <w:rsid w:val="60AA20C1"/>
    <w:rsid w:val="60AF76D8"/>
    <w:rsid w:val="60B82A30"/>
    <w:rsid w:val="60BA2960"/>
    <w:rsid w:val="60BC0F9A"/>
    <w:rsid w:val="60BD3BA3"/>
    <w:rsid w:val="60C03693"/>
    <w:rsid w:val="60C2565D"/>
    <w:rsid w:val="60C34F31"/>
    <w:rsid w:val="60C82547"/>
    <w:rsid w:val="60CC028A"/>
    <w:rsid w:val="60CC64DC"/>
    <w:rsid w:val="60CF1B28"/>
    <w:rsid w:val="60D16016"/>
    <w:rsid w:val="60DD5FF3"/>
    <w:rsid w:val="60DF1D6B"/>
    <w:rsid w:val="60E05AE3"/>
    <w:rsid w:val="60E27AAD"/>
    <w:rsid w:val="60E455D3"/>
    <w:rsid w:val="60E66DAC"/>
    <w:rsid w:val="60E9572D"/>
    <w:rsid w:val="60EC6236"/>
    <w:rsid w:val="60EF5D26"/>
    <w:rsid w:val="60F90953"/>
    <w:rsid w:val="61023CAB"/>
    <w:rsid w:val="61045C75"/>
    <w:rsid w:val="610619ED"/>
    <w:rsid w:val="6106379C"/>
    <w:rsid w:val="61077514"/>
    <w:rsid w:val="6109503A"/>
    <w:rsid w:val="61161505"/>
    <w:rsid w:val="61167757"/>
    <w:rsid w:val="611759A9"/>
    <w:rsid w:val="611F660B"/>
    <w:rsid w:val="613751C4"/>
    <w:rsid w:val="613C540F"/>
    <w:rsid w:val="613C71BD"/>
    <w:rsid w:val="613F0A5C"/>
    <w:rsid w:val="614147D4"/>
    <w:rsid w:val="6142054C"/>
    <w:rsid w:val="614E087A"/>
    <w:rsid w:val="61521DCC"/>
    <w:rsid w:val="615269E1"/>
    <w:rsid w:val="61573FF7"/>
    <w:rsid w:val="61587D6F"/>
    <w:rsid w:val="615E35D8"/>
    <w:rsid w:val="615F2EAC"/>
    <w:rsid w:val="6162299C"/>
    <w:rsid w:val="61671D60"/>
    <w:rsid w:val="61677FB2"/>
    <w:rsid w:val="616927E9"/>
    <w:rsid w:val="616B1562"/>
    <w:rsid w:val="616D381B"/>
    <w:rsid w:val="617526CF"/>
    <w:rsid w:val="6175447D"/>
    <w:rsid w:val="617A1A94"/>
    <w:rsid w:val="617C1CB0"/>
    <w:rsid w:val="617D3332"/>
    <w:rsid w:val="618172C6"/>
    <w:rsid w:val="6183303E"/>
    <w:rsid w:val="61840B64"/>
    <w:rsid w:val="61880654"/>
    <w:rsid w:val="6189617B"/>
    <w:rsid w:val="618D7A19"/>
    <w:rsid w:val="61972646"/>
    <w:rsid w:val="61994610"/>
    <w:rsid w:val="619A0388"/>
    <w:rsid w:val="61A52B04"/>
    <w:rsid w:val="61B027E8"/>
    <w:rsid w:val="61B067C2"/>
    <w:rsid w:val="61B2122D"/>
    <w:rsid w:val="61B431F8"/>
    <w:rsid w:val="61B74A96"/>
    <w:rsid w:val="61B84B09"/>
    <w:rsid w:val="61BF7DEE"/>
    <w:rsid w:val="61C6117D"/>
    <w:rsid w:val="61C77DA0"/>
    <w:rsid w:val="61C86CA3"/>
    <w:rsid w:val="61CA7148"/>
    <w:rsid w:val="61CD250B"/>
    <w:rsid w:val="61CE1DDF"/>
    <w:rsid w:val="61CE3B8D"/>
    <w:rsid w:val="61CF0031"/>
    <w:rsid w:val="61D01DD2"/>
    <w:rsid w:val="61D27B22"/>
    <w:rsid w:val="61D76EE6"/>
    <w:rsid w:val="61D94A0C"/>
    <w:rsid w:val="61DC62AA"/>
    <w:rsid w:val="61DF3FED"/>
    <w:rsid w:val="61E41603"/>
    <w:rsid w:val="61EA6C19"/>
    <w:rsid w:val="61F3516C"/>
    <w:rsid w:val="61F730E4"/>
    <w:rsid w:val="61F93300"/>
    <w:rsid w:val="61FC4B9F"/>
    <w:rsid w:val="620152D8"/>
    <w:rsid w:val="62037CDB"/>
    <w:rsid w:val="620C5D12"/>
    <w:rsid w:val="62105B23"/>
    <w:rsid w:val="621243C2"/>
    <w:rsid w:val="62141753"/>
    <w:rsid w:val="621A4DB8"/>
    <w:rsid w:val="621B3277"/>
    <w:rsid w:val="622639C9"/>
    <w:rsid w:val="62287742"/>
    <w:rsid w:val="622B0FE0"/>
    <w:rsid w:val="622C27FA"/>
    <w:rsid w:val="623065F6"/>
    <w:rsid w:val="62312A9A"/>
    <w:rsid w:val="62326812"/>
    <w:rsid w:val="62361E5F"/>
    <w:rsid w:val="623B56C7"/>
    <w:rsid w:val="624502F4"/>
    <w:rsid w:val="62467BC8"/>
    <w:rsid w:val="62481B92"/>
    <w:rsid w:val="62487DE4"/>
    <w:rsid w:val="624A76B8"/>
    <w:rsid w:val="624F4CCE"/>
    <w:rsid w:val="625642AF"/>
    <w:rsid w:val="625E7607"/>
    <w:rsid w:val="62652744"/>
    <w:rsid w:val="626A5FAC"/>
    <w:rsid w:val="626A7D5A"/>
    <w:rsid w:val="626F35C2"/>
    <w:rsid w:val="62744735"/>
    <w:rsid w:val="627B1F67"/>
    <w:rsid w:val="627E55B4"/>
    <w:rsid w:val="62854B94"/>
    <w:rsid w:val="628C1A7E"/>
    <w:rsid w:val="62917095"/>
    <w:rsid w:val="62970423"/>
    <w:rsid w:val="6299063F"/>
    <w:rsid w:val="629B43B7"/>
    <w:rsid w:val="629F0EE6"/>
    <w:rsid w:val="62A0377C"/>
    <w:rsid w:val="62A9330D"/>
    <w:rsid w:val="62B66AFB"/>
    <w:rsid w:val="62BB6808"/>
    <w:rsid w:val="62BE2F51"/>
    <w:rsid w:val="62C54F90"/>
    <w:rsid w:val="62CD2097"/>
    <w:rsid w:val="62D022B3"/>
    <w:rsid w:val="62E01DCA"/>
    <w:rsid w:val="62E33669"/>
    <w:rsid w:val="62EF64B1"/>
    <w:rsid w:val="62F23F48"/>
    <w:rsid w:val="62F35FA1"/>
    <w:rsid w:val="62FE04A2"/>
    <w:rsid w:val="63035AB9"/>
    <w:rsid w:val="63057A83"/>
    <w:rsid w:val="6309447C"/>
    <w:rsid w:val="630F445E"/>
    <w:rsid w:val="631101D6"/>
    <w:rsid w:val="63116428"/>
    <w:rsid w:val="632779F9"/>
    <w:rsid w:val="63286425"/>
    <w:rsid w:val="63300C2A"/>
    <w:rsid w:val="63304B00"/>
    <w:rsid w:val="6333639E"/>
    <w:rsid w:val="633A772C"/>
    <w:rsid w:val="633B165F"/>
    <w:rsid w:val="633B16F7"/>
    <w:rsid w:val="63402869"/>
    <w:rsid w:val="6346457F"/>
    <w:rsid w:val="6349032F"/>
    <w:rsid w:val="63497970"/>
    <w:rsid w:val="634B514E"/>
    <w:rsid w:val="634C3904"/>
    <w:rsid w:val="634F14ED"/>
    <w:rsid w:val="63534C92"/>
    <w:rsid w:val="635527B8"/>
    <w:rsid w:val="63585E05"/>
    <w:rsid w:val="635A1B7D"/>
    <w:rsid w:val="635C3B47"/>
    <w:rsid w:val="63611187"/>
    <w:rsid w:val="636649C5"/>
    <w:rsid w:val="636B1FDC"/>
    <w:rsid w:val="636C18B0"/>
    <w:rsid w:val="63721ED3"/>
    <w:rsid w:val="637569B7"/>
    <w:rsid w:val="637C15CE"/>
    <w:rsid w:val="637F3391"/>
    <w:rsid w:val="6384309D"/>
    <w:rsid w:val="638B7F88"/>
    <w:rsid w:val="638C3D00"/>
    <w:rsid w:val="638D6D13"/>
    <w:rsid w:val="63901A42"/>
    <w:rsid w:val="6390559E"/>
    <w:rsid w:val="63926B24"/>
    <w:rsid w:val="6393508F"/>
    <w:rsid w:val="639428D4"/>
    <w:rsid w:val="63983E26"/>
    <w:rsid w:val="639A01CB"/>
    <w:rsid w:val="63A23524"/>
    <w:rsid w:val="63A63014"/>
    <w:rsid w:val="63A66B70"/>
    <w:rsid w:val="63A728E8"/>
    <w:rsid w:val="63AB4186"/>
    <w:rsid w:val="63AB687C"/>
    <w:rsid w:val="63AE67B1"/>
    <w:rsid w:val="63B374DF"/>
    <w:rsid w:val="63B514A9"/>
    <w:rsid w:val="63B82D47"/>
    <w:rsid w:val="63B84AF5"/>
    <w:rsid w:val="63C17E4E"/>
    <w:rsid w:val="63C74D38"/>
    <w:rsid w:val="63C90AB0"/>
    <w:rsid w:val="63CC4816"/>
    <w:rsid w:val="63D050C7"/>
    <w:rsid w:val="63D336DD"/>
    <w:rsid w:val="63D538F9"/>
    <w:rsid w:val="63D57455"/>
    <w:rsid w:val="63D77671"/>
    <w:rsid w:val="63D80CF3"/>
    <w:rsid w:val="63D95197"/>
    <w:rsid w:val="63E15DFA"/>
    <w:rsid w:val="63EA73A4"/>
    <w:rsid w:val="63F024E1"/>
    <w:rsid w:val="63F7386F"/>
    <w:rsid w:val="63FF44D2"/>
    <w:rsid w:val="640970FF"/>
    <w:rsid w:val="640D3093"/>
    <w:rsid w:val="6410048D"/>
    <w:rsid w:val="64151F48"/>
    <w:rsid w:val="6416019A"/>
    <w:rsid w:val="64175CC0"/>
    <w:rsid w:val="641F4B74"/>
    <w:rsid w:val="64216B3E"/>
    <w:rsid w:val="64281C7B"/>
    <w:rsid w:val="64287ECD"/>
    <w:rsid w:val="6429154F"/>
    <w:rsid w:val="642B52C7"/>
    <w:rsid w:val="642F3009"/>
    <w:rsid w:val="64383165"/>
    <w:rsid w:val="643A3DC4"/>
    <w:rsid w:val="643F1CC1"/>
    <w:rsid w:val="64405216"/>
    <w:rsid w:val="64416899"/>
    <w:rsid w:val="64446389"/>
    <w:rsid w:val="64487C27"/>
    <w:rsid w:val="64504D2E"/>
    <w:rsid w:val="64524F4A"/>
    <w:rsid w:val="645B2050"/>
    <w:rsid w:val="645C1924"/>
    <w:rsid w:val="645C36D2"/>
    <w:rsid w:val="64630F05"/>
    <w:rsid w:val="646802C9"/>
    <w:rsid w:val="646975D9"/>
    <w:rsid w:val="646B1B68"/>
    <w:rsid w:val="646C600B"/>
    <w:rsid w:val="646D58E0"/>
    <w:rsid w:val="64713622"/>
    <w:rsid w:val="64760C38"/>
    <w:rsid w:val="64833355"/>
    <w:rsid w:val="648D5F82"/>
    <w:rsid w:val="649410BE"/>
    <w:rsid w:val="64963088"/>
    <w:rsid w:val="64990483"/>
    <w:rsid w:val="64997931"/>
    <w:rsid w:val="649C363E"/>
    <w:rsid w:val="649E1F3D"/>
    <w:rsid w:val="64A31301"/>
    <w:rsid w:val="64A37553"/>
    <w:rsid w:val="64A5151D"/>
    <w:rsid w:val="64A55079"/>
    <w:rsid w:val="64B654D9"/>
    <w:rsid w:val="64B67287"/>
    <w:rsid w:val="64BD3228"/>
    <w:rsid w:val="64BE613B"/>
    <w:rsid w:val="64C00105"/>
    <w:rsid w:val="64C80D68"/>
    <w:rsid w:val="64CA2D32"/>
    <w:rsid w:val="64CC0858"/>
    <w:rsid w:val="64CC0FC8"/>
    <w:rsid w:val="64D67929"/>
    <w:rsid w:val="64D836A1"/>
    <w:rsid w:val="64E42046"/>
    <w:rsid w:val="64E77440"/>
    <w:rsid w:val="64EB5CA0"/>
    <w:rsid w:val="64EF09EB"/>
    <w:rsid w:val="64F25DE5"/>
    <w:rsid w:val="64F41B5D"/>
    <w:rsid w:val="64F8164D"/>
    <w:rsid w:val="64F817DC"/>
    <w:rsid w:val="64FE478A"/>
    <w:rsid w:val="64FF0C2E"/>
    <w:rsid w:val="650049A6"/>
    <w:rsid w:val="65071890"/>
    <w:rsid w:val="650A75D2"/>
    <w:rsid w:val="650F6997"/>
    <w:rsid w:val="651F60C8"/>
    <w:rsid w:val="65200BA4"/>
    <w:rsid w:val="65222B6E"/>
    <w:rsid w:val="65271F32"/>
    <w:rsid w:val="6528717A"/>
    <w:rsid w:val="652E32C1"/>
    <w:rsid w:val="653603C7"/>
    <w:rsid w:val="65385EEE"/>
    <w:rsid w:val="653F727C"/>
    <w:rsid w:val="65426D6C"/>
    <w:rsid w:val="65481E2E"/>
    <w:rsid w:val="654900FB"/>
    <w:rsid w:val="65493C57"/>
    <w:rsid w:val="654C7BEB"/>
    <w:rsid w:val="654E5711"/>
    <w:rsid w:val="654E74BF"/>
    <w:rsid w:val="65501D46"/>
    <w:rsid w:val="65530F79"/>
    <w:rsid w:val="655D3BA6"/>
    <w:rsid w:val="655D7702"/>
    <w:rsid w:val="655F347A"/>
    <w:rsid w:val="65644F35"/>
    <w:rsid w:val="656767D3"/>
    <w:rsid w:val="656942F9"/>
    <w:rsid w:val="656B0071"/>
    <w:rsid w:val="656C4A50"/>
    <w:rsid w:val="65736F26"/>
    <w:rsid w:val="657607C4"/>
    <w:rsid w:val="657809E0"/>
    <w:rsid w:val="657D1B52"/>
    <w:rsid w:val="65876E75"/>
    <w:rsid w:val="658D71C3"/>
    <w:rsid w:val="659770B8"/>
    <w:rsid w:val="659B647C"/>
    <w:rsid w:val="659C34FD"/>
    <w:rsid w:val="659F7D1B"/>
    <w:rsid w:val="65A05841"/>
    <w:rsid w:val="65A11CE5"/>
    <w:rsid w:val="65A13A93"/>
    <w:rsid w:val="65A417D5"/>
    <w:rsid w:val="65AB2B63"/>
    <w:rsid w:val="65AB66C0"/>
    <w:rsid w:val="65AF7B55"/>
    <w:rsid w:val="65B35574"/>
    <w:rsid w:val="65B71508"/>
    <w:rsid w:val="65B85280"/>
    <w:rsid w:val="65BA4B55"/>
    <w:rsid w:val="65BA6903"/>
    <w:rsid w:val="65BF03BD"/>
    <w:rsid w:val="65C37EAD"/>
    <w:rsid w:val="65C94D98"/>
    <w:rsid w:val="65CC4888"/>
    <w:rsid w:val="65CE6593"/>
    <w:rsid w:val="65D200F0"/>
    <w:rsid w:val="65D35C16"/>
    <w:rsid w:val="65D36257"/>
    <w:rsid w:val="65D45257"/>
    <w:rsid w:val="65D976D1"/>
    <w:rsid w:val="65DA51F7"/>
    <w:rsid w:val="65DD1E20"/>
    <w:rsid w:val="65E47E23"/>
    <w:rsid w:val="65E816C2"/>
    <w:rsid w:val="65E971E8"/>
    <w:rsid w:val="65EE47FE"/>
    <w:rsid w:val="65F362B8"/>
    <w:rsid w:val="65F71905"/>
    <w:rsid w:val="65FE7137"/>
    <w:rsid w:val="660B3602"/>
    <w:rsid w:val="660F30F2"/>
    <w:rsid w:val="66154481"/>
    <w:rsid w:val="66293A88"/>
    <w:rsid w:val="662E109F"/>
    <w:rsid w:val="6635242D"/>
    <w:rsid w:val="66391F1D"/>
    <w:rsid w:val="663D3CCC"/>
    <w:rsid w:val="663E7534"/>
    <w:rsid w:val="66442670"/>
    <w:rsid w:val="6646463A"/>
    <w:rsid w:val="664803B2"/>
    <w:rsid w:val="664D3C1B"/>
    <w:rsid w:val="664D59C9"/>
    <w:rsid w:val="664F1741"/>
    <w:rsid w:val="66522FDF"/>
    <w:rsid w:val="6655487D"/>
    <w:rsid w:val="6659436D"/>
    <w:rsid w:val="66664CDC"/>
    <w:rsid w:val="666D423B"/>
    <w:rsid w:val="666F1DE3"/>
    <w:rsid w:val="667016B7"/>
    <w:rsid w:val="66756CCD"/>
    <w:rsid w:val="667967BE"/>
    <w:rsid w:val="668A2779"/>
    <w:rsid w:val="668A4527"/>
    <w:rsid w:val="668B64F1"/>
    <w:rsid w:val="66925AD1"/>
    <w:rsid w:val="669B6734"/>
    <w:rsid w:val="669E6224"/>
    <w:rsid w:val="66A001EE"/>
    <w:rsid w:val="66A23F66"/>
    <w:rsid w:val="66AD46B9"/>
    <w:rsid w:val="66AF21DF"/>
    <w:rsid w:val="66B21CD0"/>
    <w:rsid w:val="66B23A7E"/>
    <w:rsid w:val="66B6356E"/>
    <w:rsid w:val="66BA2932"/>
    <w:rsid w:val="66BB6D3A"/>
    <w:rsid w:val="66BC2B4E"/>
    <w:rsid w:val="66C0619B"/>
    <w:rsid w:val="66C814F3"/>
    <w:rsid w:val="66CA526B"/>
    <w:rsid w:val="66CC0FE3"/>
    <w:rsid w:val="66D25ECE"/>
    <w:rsid w:val="66D470B2"/>
    <w:rsid w:val="66D93700"/>
    <w:rsid w:val="66DB1226"/>
    <w:rsid w:val="66E10C4D"/>
    <w:rsid w:val="66E225B5"/>
    <w:rsid w:val="66E75E1D"/>
    <w:rsid w:val="66EF4CD2"/>
    <w:rsid w:val="66EF6A80"/>
    <w:rsid w:val="66FD73EF"/>
    <w:rsid w:val="6703077D"/>
    <w:rsid w:val="67066277"/>
    <w:rsid w:val="670F0ED0"/>
    <w:rsid w:val="670F7122"/>
    <w:rsid w:val="67112E9A"/>
    <w:rsid w:val="6712451C"/>
    <w:rsid w:val="671958AB"/>
    <w:rsid w:val="671B7875"/>
    <w:rsid w:val="671D183F"/>
    <w:rsid w:val="671E7365"/>
    <w:rsid w:val="67226E55"/>
    <w:rsid w:val="672755B0"/>
    <w:rsid w:val="672F1572"/>
    <w:rsid w:val="67307DA3"/>
    <w:rsid w:val="67332E10"/>
    <w:rsid w:val="673D3C8F"/>
    <w:rsid w:val="673E5311"/>
    <w:rsid w:val="67474B9A"/>
    <w:rsid w:val="675039C2"/>
    <w:rsid w:val="67535261"/>
    <w:rsid w:val="6759214B"/>
    <w:rsid w:val="675E4AC0"/>
    <w:rsid w:val="67674868"/>
    <w:rsid w:val="676A25AA"/>
    <w:rsid w:val="677671A1"/>
    <w:rsid w:val="6777084D"/>
    <w:rsid w:val="67801DCE"/>
    <w:rsid w:val="678278F4"/>
    <w:rsid w:val="67851192"/>
    <w:rsid w:val="678C42CF"/>
    <w:rsid w:val="67927140"/>
    <w:rsid w:val="679C2DC3"/>
    <w:rsid w:val="679C6C08"/>
    <w:rsid w:val="67A26C35"/>
    <w:rsid w:val="67A91325"/>
    <w:rsid w:val="67A930D3"/>
    <w:rsid w:val="67B33F51"/>
    <w:rsid w:val="67B37AAD"/>
    <w:rsid w:val="67B4474D"/>
    <w:rsid w:val="67B51A77"/>
    <w:rsid w:val="67B657F0"/>
    <w:rsid w:val="67BF46A4"/>
    <w:rsid w:val="67C021CA"/>
    <w:rsid w:val="67C439C6"/>
    <w:rsid w:val="67C43A69"/>
    <w:rsid w:val="67C65A33"/>
    <w:rsid w:val="67D46EF3"/>
    <w:rsid w:val="67D51103"/>
    <w:rsid w:val="67D839B8"/>
    <w:rsid w:val="67E20393"/>
    <w:rsid w:val="67E265E5"/>
    <w:rsid w:val="67EE0AE5"/>
    <w:rsid w:val="67F24A7A"/>
    <w:rsid w:val="67F500C6"/>
    <w:rsid w:val="67FA1B80"/>
    <w:rsid w:val="67FC1454"/>
    <w:rsid w:val="68040309"/>
    <w:rsid w:val="68091DC3"/>
    <w:rsid w:val="680B78E9"/>
    <w:rsid w:val="680E1188"/>
    <w:rsid w:val="68110608"/>
    <w:rsid w:val="68126ECA"/>
    <w:rsid w:val="6813679E"/>
    <w:rsid w:val="68150768"/>
    <w:rsid w:val="68153C99"/>
    <w:rsid w:val="6817003C"/>
    <w:rsid w:val="68190258"/>
    <w:rsid w:val="681D761D"/>
    <w:rsid w:val="682054F9"/>
    <w:rsid w:val="68212C69"/>
    <w:rsid w:val="68295FC1"/>
    <w:rsid w:val="682C160E"/>
    <w:rsid w:val="682D3D04"/>
    <w:rsid w:val="68324D3D"/>
    <w:rsid w:val="68330BEE"/>
    <w:rsid w:val="6837248C"/>
    <w:rsid w:val="68376930"/>
    <w:rsid w:val="683A1F7D"/>
    <w:rsid w:val="683A4A64"/>
    <w:rsid w:val="683A60A0"/>
    <w:rsid w:val="683E7CBF"/>
    <w:rsid w:val="6841330B"/>
    <w:rsid w:val="68420E31"/>
    <w:rsid w:val="684352D5"/>
    <w:rsid w:val="68460921"/>
    <w:rsid w:val="68476448"/>
    <w:rsid w:val="684B23DC"/>
    <w:rsid w:val="684B418A"/>
    <w:rsid w:val="68525518"/>
    <w:rsid w:val="68556DB7"/>
    <w:rsid w:val="685A43CD"/>
    <w:rsid w:val="68602928"/>
    <w:rsid w:val="686252AC"/>
    <w:rsid w:val="68662D72"/>
    <w:rsid w:val="686D4100"/>
    <w:rsid w:val="68721717"/>
    <w:rsid w:val="687234C5"/>
    <w:rsid w:val="68776D2D"/>
    <w:rsid w:val="68815DFE"/>
    <w:rsid w:val="68833924"/>
    <w:rsid w:val="6884144A"/>
    <w:rsid w:val="688558EE"/>
    <w:rsid w:val="68896A60"/>
    <w:rsid w:val="688B27D8"/>
    <w:rsid w:val="68906E9A"/>
    <w:rsid w:val="68923B67"/>
    <w:rsid w:val="68925915"/>
    <w:rsid w:val="68945B31"/>
    <w:rsid w:val="689E250C"/>
    <w:rsid w:val="68A1024E"/>
    <w:rsid w:val="68AF4719"/>
    <w:rsid w:val="68AF64C7"/>
    <w:rsid w:val="68B24209"/>
    <w:rsid w:val="68B41D2F"/>
    <w:rsid w:val="68B72045"/>
    <w:rsid w:val="68BA4E6C"/>
    <w:rsid w:val="68BB130F"/>
    <w:rsid w:val="68C1444C"/>
    <w:rsid w:val="68C42F08"/>
    <w:rsid w:val="68C83A2C"/>
    <w:rsid w:val="68CD2E71"/>
    <w:rsid w:val="68CD4B9F"/>
    <w:rsid w:val="68CF4DBB"/>
    <w:rsid w:val="68CF6B69"/>
    <w:rsid w:val="68D0468F"/>
    <w:rsid w:val="68D128E1"/>
    <w:rsid w:val="68E00D76"/>
    <w:rsid w:val="68E02B24"/>
    <w:rsid w:val="68E5013A"/>
    <w:rsid w:val="68E51EE8"/>
    <w:rsid w:val="68E550C3"/>
    <w:rsid w:val="68ED2114"/>
    <w:rsid w:val="68F14D31"/>
    <w:rsid w:val="68F24779"/>
    <w:rsid w:val="68F4037D"/>
    <w:rsid w:val="68F6059A"/>
    <w:rsid w:val="68FD36D6"/>
    <w:rsid w:val="69026F3E"/>
    <w:rsid w:val="690305C1"/>
    <w:rsid w:val="69036813"/>
    <w:rsid w:val="690F51B7"/>
    <w:rsid w:val="69124CA8"/>
    <w:rsid w:val="691602F4"/>
    <w:rsid w:val="69180510"/>
    <w:rsid w:val="691902F1"/>
    <w:rsid w:val="691E189E"/>
    <w:rsid w:val="69201173"/>
    <w:rsid w:val="69231F5F"/>
    <w:rsid w:val="692639E6"/>
    <w:rsid w:val="692C7B17"/>
    <w:rsid w:val="692D47C9"/>
    <w:rsid w:val="692E7D33"/>
    <w:rsid w:val="69320EA6"/>
    <w:rsid w:val="69324FCC"/>
    <w:rsid w:val="69344C1E"/>
    <w:rsid w:val="693469CC"/>
    <w:rsid w:val="69390486"/>
    <w:rsid w:val="693B5FAC"/>
    <w:rsid w:val="693D7F76"/>
    <w:rsid w:val="69431305"/>
    <w:rsid w:val="69450BD9"/>
    <w:rsid w:val="6945507D"/>
    <w:rsid w:val="694A61CA"/>
    <w:rsid w:val="694C0422"/>
    <w:rsid w:val="694F2375"/>
    <w:rsid w:val="695452C0"/>
    <w:rsid w:val="69561038"/>
    <w:rsid w:val="695928D6"/>
    <w:rsid w:val="695D23C7"/>
    <w:rsid w:val="695E1C9B"/>
    <w:rsid w:val="695E7EED"/>
    <w:rsid w:val="6962178B"/>
    <w:rsid w:val="69635503"/>
    <w:rsid w:val="697B284D"/>
    <w:rsid w:val="697F058F"/>
    <w:rsid w:val="69823BDB"/>
    <w:rsid w:val="69894F6A"/>
    <w:rsid w:val="699B4C9D"/>
    <w:rsid w:val="699B6A4B"/>
    <w:rsid w:val="69A51678"/>
    <w:rsid w:val="69AB161C"/>
    <w:rsid w:val="69B33D95"/>
    <w:rsid w:val="69B47B0D"/>
    <w:rsid w:val="69B53FB1"/>
    <w:rsid w:val="69B86FDF"/>
    <w:rsid w:val="69BD2E65"/>
    <w:rsid w:val="69BD4C13"/>
    <w:rsid w:val="69C541BD"/>
    <w:rsid w:val="69C9180A"/>
    <w:rsid w:val="69CB5582"/>
    <w:rsid w:val="69CE6E20"/>
    <w:rsid w:val="69DD7064"/>
    <w:rsid w:val="69DF2DDC"/>
    <w:rsid w:val="69DF4B8A"/>
    <w:rsid w:val="69E00902"/>
    <w:rsid w:val="69E06B54"/>
    <w:rsid w:val="69E0792C"/>
    <w:rsid w:val="69EB1780"/>
    <w:rsid w:val="69EC374B"/>
    <w:rsid w:val="69EE74C3"/>
    <w:rsid w:val="69F446AA"/>
    <w:rsid w:val="69F745C9"/>
    <w:rsid w:val="69FC1BE0"/>
    <w:rsid w:val="69FD14B4"/>
    <w:rsid w:val="6A132A85"/>
    <w:rsid w:val="6A162576"/>
    <w:rsid w:val="6A1862EE"/>
    <w:rsid w:val="6A1C5DDE"/>
    <w:rsid w:val="6A1D1B56"/>
    <w:rsid w:val="6A211646"/>
    <w:rsid w:val="6A2353BE"/>
    <w:rsid w:val="6A2E5B11"/>
    <w:rsid w:val="6A325601"/>
    <w:rsid w:val="6A366774"/>
    <w:rsid w:val="6A372C18"/>
    <w:rsid w:val="6A3749C6"/>
    <w:rsid w:val="6A386990"/>
    <w:rsid w:val="6A3F387A"/>
    <w:rsid w:val="6A425119"/>
    <w:rsid w:val="6A484E25"/>
    <w:rsid w:val="6A570BC4"/>
    <w:rsid w:val="6A675E13"/>
    <w:rsid w:val="6A6D488B"/>
    <w:rsid w:val="6A731776"/>
    <w:rsid w:val="6A7554EE"/>
    <w:rsid w:val="6A75729C"/>
    <w:rsid w:val="6A7D43A3"/>
    <w:rsid w:val="6A7F45BF"/>
    <w:rsid w:val="6A835E5D"/>
    <w:rsid w:val="6A885221"/>
    <w:rsid w:val="6A8D0A8A"/>
    <w:rsid w:val="6A90057A"/>
    <w:rsid w:val="6A902328"/>
    <w:rsid w:val="6A955B90"/>
    <w:rsid w:val="6A975464"/>
    <w:rsid w:val="6A99742E"/>
    <w:rsid w:val="6AA638F9"/>
    <w:rsid w:val="6AA858C3"/>
    <w:rsid w:val="6AAB7162"/>
    <w:rsid w:val="6AAD4C88"/>
    <w:rsid w:val="6AB26742"/>
    <w:rsid w:val="6AB53B3C"/>
    <w:rsid w:val="6ABC4ECB"/>
    <w:rsid w:val="6AC16985"/>
    <w:rsid w:val="6ACA583A"/>
    <w:rsid w:val="6AD2649C"/>
    <w:rsid w:val="6AD466B8"/>
    <w:rsid w:val="6AD71D05"/>
    <w:rsid w:val="6AD93CCF"/>
    <w:rsid w:val="6ADA35A3"/>
    <w:rsid w:val="6ADE3093"/>
    <w:rsid w:val="6ADE8782"/>
    <w:rsid w:val="6ADF6E0B"/>
    <w:rsid w:val="6AE14931"/>
    <w:rsid w:val="6AE663EC"/>
    <w:rsid w:val="6AED32D6"/>
    <w:rsid w:val="6AEE1D89"/>
    <w:rsid w:val="6AF208ED"/>
    <w:rsid w:val="6AF40B09"/>
    <w:rsid w:val="6AF705F9"/>
    <w:rsid w:val="6AF91C7B"/>
    <w:rsid w:val="6AFE54E3"/>
    <w:rsid w:val="6B0074AE"/>
    <w:rsid w:val="6B014FD4"/>
    <w:rsid w:val="6B030D4C"/>
    <w:rsid w:val="6B07083C"/>
    <w:rsid w:val="6B0B7C00"/>
    <w:rsid w:val="6B0F5943"/>
    <w:rsid w:val="6B122D3D"/>
    <w:rsid w:val="6B1271E1"/>
    <w:rsid w:val="6B146AB5"/>
    <w:rsid w:val="6B170353"/>
    <w:rsid w:val="6B256F14"/>
    <w:rsid w:val="6B282560"/>
    <w:rsid w:val="6B2F7D93"/>
    <w:rsid w:val="6B317667"/>
    <w:rsid w:val="6B340F05"/>
    <w:rsid w:val="6B364C7D"/>
    <w:rsid w:val="6B3A0B10"/>
    <w:rsid w:val="6B3B2294"/>
    <w:rsid w:val="6B3B4041"/>
    <w:rsid w:val="6B3C7DBA"/>
    <w:rsid w:val="6B3D24B0"/>
    <w:rsid w:val="6B3D5CD6"/>
    <w:rsid w:val="6B4750DC"/>
    <w:rsid w:val="6B480E55"/>
    <w:rsid w:val="6B4B624F"/>
    <w:rsid w:val="6B4E646B"/>
    <w:rsid w:val="6B517D09"/>
    <w:rsid w:val="6B5275DD"/>
    <w:rsid w:val="6B572E46"/>
    <w:rsid w:val="6B625A72"/>
    <w:rsid w:val="6B673089"/>
    <w:rsid w:val="6B6D6ED0"/>
    <w:rsid w:val="6B6F018F"/>
    <w:rsid w:val="6B79100E"/>
    <w:rsid w:val="6B792DBC"/>
    <w:rsid w:val="6B7B2FD8"/>
    <w:rsid w:val="6B7C465A"/>
    <w:rsid w:val="6B7D28AC"/>
    <w:rsid w:val="6B7E6624"/>
    <w:rsid w:val="6B826114"/>
    <w:rsid w:val="6B851761"/>
    <w:rsid w:val="6B8C2AEF"/>
    <w:rsid w:val="6B947BF6"/>
    <w:rsid w:val="6B981494"/>
    <w:rsid w:val="6B9B71D6"/>
    <w:rsid w:val="6B9E0A74"/>
    <w:rsid w:val="6BA21028"/>
    <w:rsid w:val="6BA51E03"/>
    <w:rsid w:val="6BAB61DA"/>
    <w:rsid w:val="6BB362CE"/>
    <w:rsid w:val="6BB868A5"/>
    <w:rsid w:val="6BBA58AE"/>
    <w:rsid w:val="6BBD714D"/>
    <w:rsid w:val="6BC22528"/>
    <w:rsid w:val="6BC8789F"/>
    <w:rsid w:val="6BCB65E9"/>
    <w:rsid w:val="6BCC7390"/>
    <w:rsid w:val="6BCF6E80"/>
    <w:rsid w:val="6BD34359"/>
    <w:rsid w:val="6BD36970"/>
    <w:rsid w:val="6BD44496"/>
    <w:rsid w:val="6BD83F86"/>
    <w:rsid w:val="6BD91AAD"/>
    <w:rsid w:val="6BDB5825"/>
    <w:rsid w:val="6BE04BE9"/>
    <w:rsid w:val="6BE21B12"/>
    <w:rsid w:val="6BF30DC0"/>
    <w:rsid w:val="6BF95CAB"/>
    <w:rsid w:val="6BFD39ED"/>
    <w:rsid w:val="6BFF1513"/>
    <w:rsid w:val="6C104B90"/>
    <w:rsid w:val="6C111246"/>
    <w:rsid w:val="6C152AE5"/>
    <w:rsid w:val="6C2C42D2"/>
    <w:rsid w:val="6C303DC2"/>
    <w:rsid w:val="6C305B70"/>
    <w:rsid w:val="6C30791F"/>
    <w:rsid w:val="6C3C2767"/>
    <w:rsid w:val="6C3F7B62"/>
    <w:rsid w:val="6C427652"/>
    <w:rsid w:val="6C44786E"/>
    <w:rsid w:val="6C450AD1"/>
    <w:rsid w:val="6C47110C"/>
    <w:rsid w:val="6C502023"/>
    <w:rsid w:val="6C507FC1"/>
    <w:rsid w:val="6C5125EA"/>
    <w:rsid w:val="6C53360D"/>
    <w:rsid w:val="6C5B73FB"/>
    <w:rsid w:val="6C5C6966"/>
    <w:rsid w:val="6C691739"/>
    <w:rsid w:val="6C6D0B73"/>
    <w:rsid w:val="6C6D2921"/>
    <w:rsid w:val="6C7041BF"/>
    <w:rsid w:val="6C726189"/>
    <w:rsid w:val="6C7672FB"/>
    <w:rsid w:val="6C81017A"/>
    <w:rsid w:val="6C845EBC"/>
    <w:rsid w:val="6C8C6B1F"/>
    <w:rsid w:val="6C8D2FC3"/>
    <w:rsid w:val="6C90660F"/>
    <w:rsid w:val="6C922387"/>
    <w:rsid w:val="6C9360FF"/>
    <w:rsid w:val="6C9C1458"/>
    <w:rsid w:val="6CA5747E"/>
    <w:rsid w:val="6CA64085"/>
    <w:rsid w:val="6CA9147F"/>
    <w:rsid w:val="6CA96BCC"/>
    <w:rsid w:val="6CA976D1"/>
    <w:rsid w:val="6CAB3449"/>
    <w:rsid w:val="6CB43A86"/>
    <w:rsid w:val="6CB57E24"/>
    <w:rsid w:val="6CB93DB8"/>
    <w:rsid w:val="6CBA7B30"/>
    <w:rsid w:val="6CC14A1B"/>
    <w:rsid w:val="6CC26A8C"/>
    <w:rsid w:val="6CC462B9"/>
    <w:rsid w:val="6CC8224D"/>
    <w:rsid w:val="6CD41B88"/>
    <w:rsid w:val="6CD72490"/>
    <w:rsid w:val="6CDB1F80"/>
    <w:rsid w:val="6CDF1345"/>
    <w:rsid w:val="6CE150BD"/>
    <w:rsid w:val="6CE87DC7"/>
    <w:rsid w:val="6CEA21C3"/>
    <w:rsid w:val="6CF13C81"/>
    <w:rsid w:val="6CF21078"/>
    <w:rsid w:val="6CF272CA"/>
    <w:rsid w:val="6CF50B68"/>
    <w:rsid w:val="6CF52916"/>
    <w:rsid w:val="6CF90658"/>
    <w:rsid w:val="6CFC5A53"/>
    <w:rsid w:val="6D0019E7"/>
    <w:rsid w:val="6D055E2C"/>
    <w:rsid w:val="6D082649"/>
    <w:rsid w:val="6D090170"/>
    <w:rsid w:val="6D093C1F"/>
    <w:rsid w:val="6D1159A2"/>
    <w:rsid w:val="6D1234C8"/>
    <w:rsid w:val="6D147240"/>
    <w:rsid w:val="6D1622F5"/>
    <w:rsid w:val="6D196605"/>
    <w:rsid w:val="6D203E37"/>
    <w:rsid w:val="6D254FA9"/>
    <w:rsid w:val="6D2B458A"/>
    <w:rsid w:val="6D2C27DC"/>
    <w:rsid w:val="6D301BA0"/>
    <w:rsid w:val="6D30394E"/>
    <w:rsid w:val="6D343B19"/>
    <w:rsid w:val="6D3F3B91"/>
    <w:rsid w:val="6D3FF749"/>
    <w:rsid w:val="6D413DAD"/>
    <w:rsid w:val="6D4318D3"/>
    <w:rsid w:val="6D454822"/>
    <w:rsid w:val="6D45564C"/>
    <w:rsid w:val="6D4D2752"/>
    <w:rsid w:val="6D4F0278"/>
    <w:rsid w:val="6D5238C5"/>
    <w:rsid w:val="6D543AE1"/>
    <w:rsid w:val="6D5D661A"/>
    <w:rsid w:val="6D6C2BD8"/>
    <w:rsid w:val="6D6F26C8"/>
    <w:rsid w:val="6D741A8D"/>
    <w:rsid w:val="6D747CDF"/>
    <w:rsid w:val="6D7674C7"/>
    <w:rsid w:val="6D7777CF"/>
    <w:rsid w:val="6D7A7229"/>
    <w:rsid w:val="6D7E290C"/>
    <w:rsid w:val="6D7E46BA"/>
    <w:rsid w:val="6D806684"/>
    <w:rsid w:val="6D8343C6"/>
    <w:rsid w:val="6D8819DC"/>
    <w:rsid w:val="6D8A12B0"/>
    <w:rsid w:val="6D8B6DD7"/>
    <w:rsid w:val="6D8C327A"/>
    <w:rsid w:val="6D8F4B19"/>
    <w:rsid w:val="6D8F68C7"/>
    <w:rsid w:val="6D920165"/>
    <w:rsid w:val="6D9640F9"/>
    <w:rsid w:val="6D971EC1"/>
    <w:rsid w:val="6D997745"/>
    <w:rsid w:val="6DA02882"/>
    <w:rsid w:val="6DA265FA"/>
    <w:rsid w:val="6DA47CF5"/>
    <w:rsid w:val="6DAD4F9F"/>
    <w:rsid w:val="6DAF51BB"/>
    <w:rsid w:val="6DB12CE1"/>
    <w:rsid w:val="6DB86AA0"/>
    <w:rsid w:val="6DBA2EED"/>
    <w:rsid w:val="6DBB17B1"/>
    <w:rsid w:val="6DBB76BC"/>
    <w:rsid w:val="6DBD1686"/>
    <w:rsid w:val="6DC347C2"/>
    <w:rsid w:val="6DC75C60"/>
    <w:rsid w:val="6DCE3893"/>
    <w:rsid w:val="6DCE5641"/>
    <w:rsid w:val="6DCF4F15"/>
    <w:rsid w:val="6DD30EA9"/>
    <w:rsid w:val="6DD4077E"/>
    <w:rsid w:val="6DD442E6"/>
    <w:rsid w:val="6DDB6581"/>
    <w:rsid w:val="6DE54739"/>
    <w:rsid w:val="6DEE183F"/>
    <w:rsid w:val="6DEE7A91"/>
    <w:rsid w:val="6DF130DE"/>
    <w:rsid w:val="6DF31774"/>
    <w:rsid w:val="6DF36E56"/>
    <w:rsid w:val="6DF66946"/>
    <w:rsid w:val="6DF901E4"/>
    <w:rsid w:val="6E0252EB"/>
    <w:rsid w:val="6E05302D"/>
    <w:rsid w:val="6E0732BA"/>
    <w:rsid w:val="6E080427"/>
    <w:rsid w:val="6E0C6169"/>
    <w:rsid w:val="6E106FE9"/>
    <w:rsid w:val="6E1A0886"/>
    <w:rsid w:val="6E1A6AD8"/>
    <w:rsid w:val="6E26547D"/>
    <w:rsid w:val="6E276AFF"/>
    <w:rsid w:val="6E3A0F28"/>
    <w:rsid w:val="6E3A2CD6"/>
    <w:rsid w:val="6E3F209B"/>
    <w:rsid w:val="6E470F4F"/>
    <w:rsid w:val="6E49116B"/>
    <w:rsid w:val="6E4A0A40"/>
    <w:rsid w:val="6E5024FA"/>
    <w:rsid w:val="6E510020"/>
    <w:rsid w:val="6E573888"/>
    <w:rsid w:val="6E677844"/>
    <w:rsid w:val="6E6F4BC0"/>
    <w:rsid w:val="6E761835"/>
    <w:rsid w:val="6E7C509D"/>
    <w:rsid w:val="6E7F4B8D"/>
    <w:rsid w:val="6E891568"/>
    <w:rsid w:val="6E8977BA"/>
    <w:rsid w:val="6E8B3532"/>
    <w:rsid w:val="6E8C1058"/>
    <w:rsid w:val="6E8E4DD0"/>
    <w:rsid w:val="6E9028F6"/>
    <w:rsid w:val="6E906D9A"/>
    <w:rsid w:val="6E91666F"/>
    <w:rsid w:val="6E9543B1"/>
    <w:rsid w:val="6E963C85"/>
    <w:rsid w:val="6E9E14B7"/>
    <w:rsid w:val="6EA15191"/>
    <w:rsid w:val="6EA168B2"/>
    <w:rsid w:val="6EA36ACE"/>
    <w:rsid w:val="6EA563D0"/>
    <w:rsid w:val="6EA840E4"/>
    <w:rsid w:val="6EAB3BD4"/>
    <w:rsid w:val="6EB011EB"/>
    <w:rsid w:val="6EB20ABF"/>
    <w:rsid w:val="6EBF142E"/>
    <w:rsid w:val="6EC32CCC"/>
    <w:rsid w:val="6EC922AC"/>
    <w:rsid w:val="6ECC76A7"/>
    <w:rsid w:val="6ED0363B"/>
    <w:rsid w:val="6ED36C87"/>
    <w:rsid w:val="6EDF73DA"/>
    <w:rsid w:val="6EE40E94"/>
    <w:rsid w:val="6EED5F9B"/>
    <w:rsid w:val="6EEE586F"/>
    <w:rsid w:val="6EF015E7"/>
    <w:rsid w:val="6EF410D7"/>
    <w:rsid w:val="6EF530A1"/>
    <w:rsid w:val="6EF8049C"/>
    <w:rsid w:val="6F082DD5"/>
    <w:rsid w:val="6F0A08FB"/>
    <w:rsid w:val="6F0D2199"/>
    <w:rsid w:val="6F0F6118"/>
    <w:rsid w:val="6F10538F"/>
    <w:rsid w:val="6F1277AF"/>
    <w:rsid w:val="6F171623"/>
    <w:rsid w:val="6F241291"/>
    <w:rsid w:val="6F255735"/>
    <w:rsid w:val="6F262186"/>
    <w:rsid w:val="6F284AA6"/>
    <w:rsid w:val="6F2968A7"/>
    <w:rsid w:val="6F2D283B"/>
    <w:rsid w:val="6F2D6397"/>
    <w:rsid w:val="6F3911E0"/>
    <w:rsid w:val="6F3E01BA"/>
    <w:rsid w:val="6F3E1009"/>
    <w:rsid w:val="6F410095"/>
    <w:rsid w:val="6F481423"/>
    <w:rsid w:val="6F4A519B"/>
    <w:rsid w:val="6F4F27B2"/>
    <w:rsid w:val="6F5002D8"/>
    <w:rsid w:val="6F525DFE"/>
    <w:rsid w:val="6F543924"/>
    <w:rsid w:val="6F55769C"/>
    <w:rsid w:val="6F5B10D8"/>
    <w:rsid w:val="6F5E0C47"/>
    <w:rsid w:val="6F614293"/>
    <w:rsid w:val="6F63000B"/>
    <w:rsid w:val="6F655B31"/>
    <w:rsid w:val="6F6873CF"/>
    <w:rsid w:val="6F747EA8"/>
    <w:rsid w:val="6F751AEC"/>
    <w:rsid w:val="6F7678BA"/>
    <w:rsid w:val="6F810491"/>
    <w:rsid w:val="6F83245B"/>
    <w:rsid w:val="6F8561D3"/>
    <w:rsid w:val="6F865AA7"/>
    <w:rsid w:val="6F881820"/>
    <w:rsid w:val="6F8A5598"/>
    <w:rsid w:val="6F975F07"/>
    <w:rsid w:val="6F977CB5"/>
    <w:rsid w:val="6F9938FE"/>
    <w:rsid w:val="6F993A2D"/>
    <w:rsid w:val="6F9B77A5"/>
    <w:rsid w:val="6FA0300D"/>
    <w:rsid w:val="6FA26D85"/>
    <w:rsid w:val="6FAA3E8C"/>
    <w:rsid w:val="6FAC19B2"/>
    <w:rsid w:val="6FB42615"/>
    <w:rsid w:val="6FB46AB9"/>
    <w:rsid w:val="6FB62831"/>
    <w:rsid w:val="6FB6638D"/>
    <w:rsid w:val="6FB95E7D"/>
    <w:rsid w:val="6FBD3BBF"/>
    <w:rsid w:val="6FC22F83"/>
    <w:rsid w:val="6FC565D0"/>
    <w:rsid w:val="6FCA1E38"/>
    <w:rsid w:val="6FD35191"/>
    <w:rsid w:val="6FD64C81"/>
    <w:rsid w:val="6FD66A2F"/>
    <w:rsid w:val="6FD902CD"/>
    <w:rsid w:val="6FDD7DBD"/>
    <w:rsid w:val="6FE253D4"/>
    <w:rsid w:val="6FEA05B7"/>
    <w:rsid w:val="6FEA24DA"/>
    <w:rsid w:val="6FEC0000"/>
    <w:rsid w:val="6FF46EB5"/>
    <w:rsid w:val="6FF670D1"/>
    <w:rsid w:val="6FF70753"/>
    <w:rsid w:val="6FFB6495"/>
    <w:rsid w:val="6FFD045F"/>
    <w:rsid w:val="6FFD220E"/>
    <w:rsid w:val="6FFE7D34"/>
    <w:rsid w:val="70001CFE"/>
    <w:rsid w:val="70025A76"/>
    <w:rsid w:val="70090BB2"/>
    <w:rsid w:val="70096E04"/>
    <w:rsid w:val="700E61C9"/>
    <w:rsid w:val="70131A31"/>
    <w:rsid w:val="70194B6E"/>
    <w:rsid w:val="7020414E"/>
    <w:rsid w:val="70231149"/>
    <w:rsid w:val="7027728A"/>
    <w:rsid w:val="702A0B29"/>
    <w:rsid w:val="70313C65"/>
    <w:rsid w:val="7036571F"/>
    <w:rsid w:val="703B0F88"/>
    <w:rsid w:val="703D260A"/>
    <w:rsid w:val="70473489"/>
    <w:rsid w:val="704E2A69"/>
    <w:rsid w:val="70514307"/>
    <w:rsid w:val="705160B5"/>
    <w:rsid w:val="7055201D"/>
    <w:rsid w:val="705555C9"/>
    <w:rsid w:val="70587444"/>
    <w:rsid w:val="705C1B51"/>
    <w:rsid w:val="705D4A5A"/>
    <w:rsid w:val="706202C3"/>
    <w:rsid w:val="706933FF"/>
    <w:rsid w:val="706B361B"/>
    <w:rsid w:val="70710506"/>
    <w:rsid w:val="70730722"/>
    <w:rsid w:val="7075449A"/>
    <w:rsid w:val="707B1974"/>
    <w:rsid w:val="707C7654"/>
    <w:rsid w:val="707D6EAA"/>
    <w:rsid w:val="707F3F7B"/>
    <w:rsid w:val="70853FB1"/>
    <w:rsid w:val="708741CD"/>
    <w:rsid w:val="708A15C7"/>
    <w:rsid w:val="7099406B"/>
    <w:rsid w:val="709B5583"/>
    <w:rsid w:val="709C1A26"/>
    <w:rsid w:val="709F32C5"/>
    <w:rsid w:val="709F5073"/>
    <w:rsid w:val="70A66401"/>
    <w:rsid w:val="70A73F27"/>
    <w:rsid w:val="70A95EF1"/>
    <w:rsid w:val="70AE3508"/>
    <w:rsid w:val="70B623BC"/>
    <w:rsid w:val="70B7060E"/>
    <w:rsid w:val="70BD199D"/>
    <w:rsid w:val="70BD3324"/>
    <w:rsid w:val="70C20D61"/>
    <w:rsid w:val="70CB230C"/>
    <w:rsid w:val="70D6480D"/>
    <w:rsid w:val="70DA254F"/>
    <w:rsid w:val="70DA42FD"/>
    <w:rsid w:val="70DF5DB7"/>
    <w:rsid w:val="70E909E4"/>
    <w:rsid w:val="70F8159E"/>
    <w:rsid w:val="70F85622"/>
    <w:rsid w:val="70FB534E"/>
    <w:rsid w:val="71066EA0"/>
    <w:rsid w:val="71105F71"/>
    <w:rsid w:val="7113780F"/>
    <w:rsid w:val="71186BD3"/>
    <w:rsid w:val="711C2B67"/>
    <w:rsid w:val="711C6362"/>
    <w:rsid w:val="711F7F62"/>
    <w:rsid w:val="71265794"/>
    <w:rsid w:val="71267542"/>
    <w:rsid w:val="712E2DAE"/>
    <w:rsid w:val="713779A1"/>
    <w:rsid w:val="714125CE"/>
    <w:rsid w:val="7141612A"/>
    <w:rsid w:val="714300F4"/>
    <w:rsid w:val="71442403"/>
    <w:rsid w:val="714479C8"/>
    <w:rsid w:val="71463740"/>
    <w:rsid w:val="7148570A"/>
    <w:rsid w:val="714874B8"/>
    <w:rsid w:val="714B7705"/>
    <w:rsid w:val="71502811"/>
    <w:rsid w:val="7150636D"/>
    <w:rsid w:val="71506D00"/>
    <w:rsid w:val="71520337"/>
    <w:rsid w:val="71597917"/>
    <w:rsid w:val="71687B5B"/>
    <w:rsid w:val="7169742F"/>
    <w:rsid w:val="716F713B"/>
    <w:rsid w:val="71706A0F"/>
    <w:rsid w:val="71724535"/>
    <w:rsid w:val="71791D68"/>
    <w:rsid w:val="717C1858"/>
    <w:rsid w:val="71827EF7"/>
    <w:rsid w:val="71836742"/>
    <w:rsid w:val="71864485"/>
    <w:rsid w:val="718A7AD1"/>
    <w:rsid w:val="718B55F7"/>
    <w:rsid w:val="718D136F"/>
    <w:rsid w:val="718F3339"/>
    <w:rsid w:val="71902C0D"/>
    <w:rsid w:val="719170B1"/>
    <w:rsid w:val="71940950"/>
    <w:rsid w:val="71970440"/>
    <w:rsid w:val="71A05546"/>
    <w:rsid w:val="71A072F4"/>
    <w:rsid w:val="71A768D5"/>
    <w:rsid w:val="71A843FB"/>
    <w:rsid w:val="71AB7A47"/>
    <w:rsid w:val="71B20DD6"/>
    <w:rsid w:val="71B42DA0"/>
    <w:rsid w:val="71B61295"/>
    <w:rsid w:val="71B903B6"/>
    <w:rsid w:val="71C04A96"/>
    <w:rsid w:val="71C72AD3"/>
    <w:rsid w:val="71C736AA"/>
    <w:rsid w:val="71C823A7"/>
    <w:rsid w:val="71CD5C10"/>
    <w:rsid w:val="71CD79BE"/>
    <w:rsid w:val="71D21478"/>
    <w:rsid w:val="71D451F0"/>
    <w:rsid w:val="71D62D16"/>
    <w:rsid w:val="71D76797"/>
    <w:rsid w:val="71DB20DB"/>
    <w:rsid w:val="71E01DE7"/>
    <w:rsid w:val="71E511AB"/>
    <w:rsid w:val="71E74F23"/>
    <w:rsid w:val="71E96CF5"/>
    <w:rsid w:val="71F437A4"/>
    <w:rsid w:val="71F80EDE"/>
    <w:rsid w:val="71FD65FB"/>
    <w:rsid w:val="72035AD5"/>
    <w:rsid w:val="7205184D"/>
    <w:rsid w:val="720C351F"/>
    <w:rsid w:val="720F447A"/>
    <w:rsid w:val="72113D47"/>
    <w:rsid w:val="72125C50"/>
    <w:rsid w:val="72135D18"/>
    <w:rsid w:val="72225745"/>
    <w:rsid w:val="72227D09"/>
    <w:rsid w:val="722D66AE"/>
    <w:rsid w:val="72330169"/>
    <w:rsid w:val="72361A07"/>
    <w:rsid w:val="723914F7"/>
    <w:rsid w:val="723B0DCB"/>
    <w:rsid w:val="723D0FE7"/>
    <w:rsid w:val="72447E14"/>
    <w:rsid w:val="72505D04"/>
    <w:rsid w:val="725268F2"/>
    <w:rsid w:val="725400DF"/>
    <w:rsid w:val="725B146D"/>
    <w:rsid w:val="725D6F93"/>
    <w:rsid w:val="725E2D0C"/>
    <w:rsid w:val="72606A84"/>
    <w:rsid w:val="72640322"/>
    <w:rsid w:val="72646574"/>
    <w:rsid w:val="7265409A"/>
    <w:rsid w:val="72676064"/>
    <w:rsid w:val="72695938"/>
    <w:rsid w:val="726E2F4F"/>
    <w:rsid w:val="726F4F19"/>
    <w:rsid w:val="727147ED"/>
    <w:rsid w:val="7271666B"/>
    <w:rsid w:val="72734A09"/>
    <w:rsid w:val="7278201F"/>
    <w:rsid w:val="72834520"/>
    <w:rsid w:val="728704B4"/>
    <w:rsid w:val="7289422C"/>
    <w:rsid w:val="728946EE"/>
    <w:rsid w:val="72996FB8"/>
    <w:rsid w:val="729C3F60"/>
    <w:rsid w:val="72A050D2"/>
    <w:rsid w:val="72A42E14"/>
    <w:rsid w:val="72A72905"/>
    <w:rsid w:val="72A9667D"/>
    <w:rsid w:val="72AC7F1B"/>
    <w:rsid w:val="72B34E05"/>
    <w:rsid w:val="72B56DCF"/>
    <w:rsid w:val="72B666A4"/>
    <w:rsid w:val="72BB015E"/>
    <w:rsid w:val="72BD7A32"/>
    <w:rsid w:val="72C00189"/>
    <w:rsid w:val="72C2329A"/>
    <w:rsid w:val="72CB65F3"/>
    <w:rsid w:val="72CE7E91"/>
    <w:rsid w:val="72D07765"/>
    <w:rsid w:val="72DA6836"/>
    <w:rsid w:val="72DD00D4"/>
    <w:rsid w:val="72E871A5"/>
    <w:rsid w:val="72EE51E1"/>
    <w:rsid w:val="72F1592E"/>
    <w:rsid w:val="72F2440B"/>
    <w:rsid w:val="72F53670"/>
    <w:rsid w:val="72F84F0E"/>
    <w:rsid w:val="72FA6ED8"/>
    <w:rsid w:val="72FD2525"/>
    <w:rsid w:val="72FF44EF"/>
    <w:rsid w:val="73005B71"/>
    <w:rsid w:val="73010267"/>
    <w:rsid w:val="73035041"/>
    <w:rsid w:val="73045661"/>
    <w:rsid w:val="7309711B"/>
    <w:rsid w:val="7315786E"/>
    <w:rsid w:val="731735E6"/>
    <w:rsid w:val="7318735E"/>
    <w:rsid w:val="731D4975"/>
    <w:rsid w:val="73223D39"/>
    <w:rsid w:val="73261A7B"/>
    <w:rsid w:val="732950C8"/>
    <w:rsid w:val="73297C92"/>
    <w:rsid w:val="732D2E0A"/>
    <w:rsid w:val="732D4BB8"/>
    <w:rsid w:val="732F1165"/>
    <w:rsid w:val="732F4AE9"/>
    <w:rsid w:val="73335F46"/>
    <w:rsid w:val="733777E5"/>
    <w:rsid w:val="733A72D5"/>
    <w:rsid w:val="73416085"/>
    <w:rsid w:val="73465C7A"/>
    <w:rsid w:val="734B14E2"/>
    <w:rsid w:val="734B1B9C"/>
    <w:rsid w:val="73532145"/>
    <w:rsid w:val="7354438F"/>
    <w:rsid w:val="73577E87"/>
    <w:rsid w:val="73591E51"/>
    <w:rsid w:val="73593BFF"/>
    <w:rsid w:val="735B4806"/>
    <w:rsid w:val="735E1215"/>
    <w:rsid w:val="73614861"/>
    <w:rsid w:val="73634A7D"/>
    <w:rsid w:val="736D1458"/>
    <w:rsid w:val="736FDA3F"/>
    <w:rsid w:val="73734595"/>
    <w:rsid w:val="73740A39"/>
    <w:rsid w:val="737722D7"/>
    <w:rsid w:val="73781BAB"/>
    <w:rsid w:val="737A3B75"/>
    <w:rsid w:val="73830C7C"/>
    <w:rsid w:val="73836ECE"/>
    <w:rsid w:val="73840550"/>
    <w:rsid w:val="73852C46"/>
    <w:rsid w:val="738D5656"/>
    <w:rsid w:val="73922C6D"/>
    <w:rsid w:val="739509AF"/>
    <w:rsid w:val="739C7F8F"/>
    <w:rsid w:val="739E5AB6"/>
    <w:rsid w:val="73A0182E"/>
    <w:rsid w:val="73A155A6"/>
    <w:rsid w:val="73A3131E"/>
    <w:rsid w:val="73A429A0"/>
    <w:rsid w:val="73AA445A"/>
    <w:rsid w:val="73AB01D2"/>
    <w:rsid w:val="73B05D63"/>
    <w:rsid w:val="73B250BD"/>
    <w:rsid w:val="73B34DAA"/>
    <w:rsid w:val="73B61051"/>
    <w:rsid w:val="73B9644B"/>
    <w:rsid w:val="73C66DBA"/>
    <w:rsid w:val="73C96FD0"/>
    <w:rsid w:val="73D239B1"/>
    <w:rsid w:val="73D47729"/>
    <w:rsid w:val="73D6524F"/>
    <w:rsid w:val="73E159A2"/>
    <w:rsid w:val="73E334C8"/>
    <w:rsid w:val="73E86D31"/>
    <w:rsid w:val="73ED07EB"/>
    <w:rsid w:val="73EF1E6D"/>
    <w:rsid w:val="73EF4BCE"/>
    <w:rsid w:val="73F41B79"/>
    <w:rsid w:val="73FB3070"/>
    <w:rsid w:val="73FC27DC"/>
    <w:rsid w:val="74097195"/>
    <w:rsid w:val="74143FCA"/>
    <w:rsid w:val="74145D78"/>
    <w:rsid w:val="74147B26"/>
    <w:rsid w:val="7419338E"/>
    <w:rsid w:val="74212243"/>
    <w:rsid w:val="74257F85"/>
    <w:rsid w:val="742A7349"/>
    <w:rsid w:val="743401C8"/>
    <w:rsid w:val="743957DE"/>
    <w:rsid w:val="743B50B2"/>
    <w:rsid w:val="743E2DF5"/>
    <w:rsid w:val="744228E5"/>
    <w:rsid w:val="744523D5"/>
    <w:rsid w:val="74471CA9"/>
    <w:rsid w:val="7447614D"/>
    <w:rsid w:val="74480466"/>
    <w:rsid w:val="74493C73"/>
    <w:rsid w:val="744A3547"/>
    <w:rsid w:val="745443C6"/>
    <w:rsid w:val="74582108"/>
    <w:rsid w:val="745E5245"/>
    <w:rsid w:val="74600FBD"/>
    <w:rsid w:val="74602D6B"/>
    <w:rsid w:val="74626AE3"/>
    <w:rsid w:val="74640AAD"/>
    <w:rsid w:val="7472484C"/>
    <w:rsid w:val="74784559"/>
    <w:rsid w:val="74836A59"/>
    <w:rsid w:val="748A7DE8"/>
    <w:rsid w:val="749649DF"/>
    <w:rsid w:val="749B3DA3"/>
    <w:rsid w:val="749E5641"/>
    <w:rsid w:val="74A0585D"/>
    <w:rsid w:val="74A25132"/>
    <w:rsid w:val="74A40EAA"/>
    <w:rsid w:val="74A92964"/>
    <w:rsid w:val="74AA2238"/>
    <w:rsid w:val="74B03CF2"/>
    <w:rsid w:val="74B530B7"/>
    <w:rsid w:val="74B9247B"/>
    <w:rsid w:val="74BD1F6B"/>
    <w:rsid w:val="74C257D4"/>
    <w:rsid w:val="74C4779E"/>
    <w:rsid w:val="74C755EA"/>
    <w:rsid w:val="74C96B62"/>
    <w:rsid w:val="74D06143"/>
    <w:rsid w:val="74D07EF1"/>
    <w:rsid w:val="74D84FF7"/>
    <w:rsid w:val="74D86DA5"/>
    <w:rsid w:val="74DA48CB"/>
    <w:rsid w:val="74DC4AE7"/>
    <w:rsid w:val="74DF0134"/>
    <w:rsid w:val="74E05E61"/>
    <w:rsid w:val="74E13933"/>
    <w:rsid w:val="74E514C2"/>
    <w:rsid w:val="74EB75B6"/>
    <w:rsid w:val="74EC0AA3"/>
    <w:rsid w:val="74EE0377"/>
    <w:rsid w:val="74EF5F37"/>
    <w:rsid w:val="74F1677E"/>
    <w:rsid w:val="74F72914"/>
    <w:rsid w:val="74F811F5"/>
    <w:rsid w:val="74F82FA3"/>
    <w:rsid w:val="74FA31C0"/>
    <w:rsid w:val="74FA6D1C"/>
    <w:rsid w:val="74FF4332"/>
    <w:rsid w:val="75023E22"/>
    <w:rsid w:val="75047B9A"/>
    <w:rsid w:val="750722DF"/>
    <w:rsid w:val="75097F6E"/>
    <w:rsid w:val="75134281"/>
    <w:rsid w:val="75151DA7"/>
    <w:rsid w:val="751A116C"/>
    <w:rsid w:val="751C3136"/>
    <w:rsid w:val="751F2C26"/>
    <w:rsid w:val="7521699E"/>
    <w:rsid w:val="75220020"/>
    <w:rsid w:val="75232716"/>
    <w:rsid w:val="7524023C"/>
    <w:rsid w:val="75257746"/>
    <w:rsid w:val="752913AF"/>
    <w:rsid w:val="75295853"/>
    <w:rsid w:val="7530273D"/>
    <w:rsid w:val="75371D1E"/>
    <w:rsid w:val="75383CE8"/>
    <w:rsid w:val="753C37D8"/>
    <w:rsid w:val="753C5952"/>
    <w:rsid w:val="753D30AC"/>
    <w:rsid w:val="753F5076"/>
    <w:rsid w:val="754461E9"/>
    <w:rsid w:val="75466405"/>
    <w:rsid w:val="7548217D"/>
    <w:rsid w:val="754B7577"/>
    <w:rsid w:val="754E350B"/>
    <w:rsid w:val="754E7067"/>
    <w:rsid w:val="75502702"/>
    <w:rsid w:val="75530B22"/>
    <w:rsid w:val="75575F1C"/>
    <w:rsid w:val="755C1784"/>
    <w:rsid w:val="75610B49"/>
    <w:rsid w:val="75660855"/>
    <w:rsid w:val="75680129"/>
    <w:rsid w:val="756B5E6B"/>
    <w:rsid w:val="75742F72"/>
    <w:rsid w:val="757A3B09"/>
    <w:rsid w:val="757D16FB"/>
    <w:rsid w:val="75812F99"/>
    <w:rsid w:val="75846F2D"/>
    <w:rsid w:val="758614DD"/>
    <w:rsid w:val="75874327"/>
    <w:rsid w:val="7589009F"/>
    <w:rsid w:val="758B02BC"/>
    <w:rsid w:val="75947170"/>
    <w:rsid w:val="75950E36"/>
    <w:rsid w:val="759727BC"/>
    <w:rsid w:val="759A22AD"/>
    <w:rsid w:val="75A1188D"/>
    <w:rsid w:val="75A1363B"/>
    <w:rsid w:val="75A35605"/>
    <w:rsid w:val="75A650F5"/>
    <w:rsid w:val="75A82C1C"/>
    <w:rsid w:val="75A849CA"/>
    <w:rsid w:val="75AE09DC"/>
    <w:rsid w:val="75B50E95"/>
    <w:rsid w:val="75BE5F9B"/>
    <w:rsid w:val="75C537CD"/>
    <w:rsid w:val="75D94B83"/>
    <w:rsid w:val="75DA08FB"/>
    <w:rsid w:val="75DA6B4D"/>
    <w:rsid w:val="75E023B5"/>
    <w:rsid w:val="75E83018"/>
    <w:rsid w:val="75E874BC"/>
    <w:rsid w:val="75EA6D90"/>
    <w:rsid w:val="75F45E61"/>
    <w:rsid w:val="75F66D26"/>
    <w:rsid w:val="75F95225"/>
    <w:rsid w:val="75FA2D4B"/>
    <w:rsid w:val="75FC2F67"/>
    <w:rsid w:val="75FE0A8D"/>
    <w:rsid w:val="75FE45EA"/>
    <w:rsid w:val="75FF0362"/>
    <w:rsid w:val="760140DA"/>
    <w:rsid w:val="760836BA"/>
    <w:rsid w:val="7608782C"/>
    <w:rsid w:val="760A5684"/>
    <w:rsid w:val="76125EAA"/>
    <w:rsid w:val="761262E7"/>
    <w:rsid w:val="76165DD7"/>
    <w:rsid w:val="76191423"/>
    <w:rsid w:val="761B163F"/>
    <w:rsid w:val="761C7166"/>
    <w:rsid w:val="762027B2"/>
    <w:rsid w:val="762322A2"/>
    <w:rsid w:val="762A53DF"/>
    <w:rsid w:val="762A7AD4"/>
    <w:rsid w:val="762B73A9"/>
    <w:rsid w:val="76312C11"/>
    <w:rsid w:val="763444AF"/>
    <w:rsid w:val="76352D46"/>
    <w:rsid w:val="76366479"/>
    <w:rsid w:val="763A5B30"/>
    <w:rsid w:val="763B75EC"/>
    <w:rsid w:val="763C5112"/>
    <w:rsid w:val="76426BCC"/>
    <w:rsid w:val="764861AD"/>
    <w:rsid w:val="764A3CD3"/>
    <w:rsid w:val="764A5A81"/>
    <w:rsid w:val="764C7A4B"/>
    <w:rsid w:val="764D731F"/>
    <w:rsid w:val="76564426"/>
    <w:rsid w:val="7662101C"/>
    <w:rsid w:val="76634D94"/>
    <w:rsid w:val="766905FD"/>
    <w:rsid w:val="766B09DE"/>
    <w:rsid w:val="76780840"/>
    <w:rsid w:val="768216BE"/>
    <w:rsid w:val="76880357"/>
    <w:rsid w:val="768865A9"/>
    <w:rsid w:val="768A40CF"/>
    <w:rsid w:val="7691545E"/>
    <w:rsid w:val="769413F2"/>
    <w:rsid w:val="769D4813"/>
    <w:rsid w:val="76A258BD"/>
    <w:rsid w:val="76A2766B"/>
    <w:rsid w:val="76A827A7"/>
    <w:rsid w:val="76AA29C3"/>
    <w:rsid w:val="76AD23E7"/>
    <w:rsid w:val="76AF3B36"/>
    <w:rsid w:val="76B64EC4"/>
    <w:rsid w:val="76B7099E"/>
    <w:rsid w:val="76BD26F7"/>
    <w:rsid w:val="76BD44A5"/>
    <w:rsid w:val="76C27D0D"/>
    <w:rsid w:val="76C479BE"/>
    <w:rsid w:val="76C75323"/>
    <w:rsid w:val="76CA4E14"/>
    <w:rsid w:val="76CA6BC2"/>
    <w:rsid w:val="76D511CA"/>
    <w:rsid w:val="76D812DE"/>
    <w:rsid w:val="76DD68F5"/>
    <w:rsid w:val="76DE441B"/>
    <w:rsid w:val="76E557A9"/>
    <w:rsid w:val="76E61C4D"/>
    <w:rsid w:val="76EE2C2B"/>
    <w:rsid w:val="76F1414E"/>
    <w:rsid w:val="76F36118"/>
    <w:rsid w:val="76F679B7"/>
    <w:rsid w:val="76FE0619"/>
    <w:rsid w:val="77057BFA"/>
    <w:rsid w:val="77062342"/>
    <w:rsid w:val="77071BC4"/>
    <w:rsid w:val="770976EA"/>
    <w:rsid w:val="770C71DA"/>
    <w:rsid w:val="770E0614"/>
    <w:rsid w:val="770E7A76"/>
    <w:rsid w:val="771340C5"/>
    <w:rsid w:val="77170059"/>
    <w:rsid w:val="771B741D"/>
    <w:rsid w:val="771D3195"/>
    <w:rsid w:val="7726029C"/>
    <w:rsid w:val="772C5186"/>
    <w:rsid w:val="772E53A2"/>
    <w:rsid w:val="773109EF"/>
    <w:rsid w:val="77316C41"/>
    <w:rsid w:val="77364257"/>
    <w:rsid w:val="773F0BD2"/>
    <w:rsid w:val="77493F8A"/>
    <w:rsid w:val="774A385E"/>
    <w:rsid w:val="774B7D02"/>
    <w:rsid w:val="7755292F"/>
    <w:rsid w:val="775C3CBE"/>
    <w:rsid w:val="776808B4"/>
    <w:rsid w:val="776E579F"/>
    <w:rsid w:val="777032C5"/>
    <w:rsid w:val="77744684"/>
    <w:rsid w:val="77754D7F"/>
    <w:rsid w:val="777803CC"/>
    <w:rsid w:val="77786603"/>
    <w:rsid w:val="77860D3A"/>
    <w:rsid w:val="77862AE9"/>
    <w:rsid w:val="7789082B"/>
    <w:rsid w:val="778E5E41"/>
    <w:rsid w:val="778F813D"/>
    <w:rsid w:val="77903967"/>
    <w:rsid w:val="77933457"/>
    <w:rsid w:val="7798281C"/>
    <w:rsid w:val="77A2369A"/>
    <w:rsid w:val="77A64F39"/>
    <w:rsid w:val="77A86F03"/>
    <w:rsid w:val="77A967D7"/>
    <w:rsid w:val="77AA4F8E"/>
    <w:rsid w:val="77AB254F"/>
    <w:rsid w:val="77B17ACF"/>
    <w:rsid w:val="77B5517C"/>
    <w:rsid w:val="77BC650A"/>
    <w:rsid w:val="77C11D73"/>
    <w:rsid w:val="77C35AEB"/>
    <w:rsid w:val="77C56C4E"/>
    <w:rsid w:val="77CB52DC"/>
    <w:rsid w:val="77D01FB6"/>
    <w:rsid w:val="77D5581E"/>
    <w:rsid w:val="77E15F71"/>
    <w:rsid w:val="77EA18BC"/>
    <w:rsid w:val="77EB5041"/>
    <w:rsid w:val="77EB6DF0"/>
    <w:rsid w:val="77ED199A"/>
    <w:rsid w:val="77ED2B68"/>
    <w:rsid w:val="77EE068E"/>
    <w:rsid w:val="77EF1307"/>
    <w:rsid w:val="77F24622"/>
    <w:rsid w:val="77F4102D"/>
    <w:rsid w:val="77FA7033"/>
    <w:rsid w:val="77FE2FC7"/>
    <w:rsid w:val="780A196C"/>
    <w:rsid w:val="78126A72"/>
    <w:rsid w:val="78210A63"/>
    <w:rsid w:val="78232A2D"/>
    <w:rsid w:val="782D11B6"/>
    <w:rsid w:val="782F4F2E"/>
    <w:rsid w:val="783267CC"/>
    <w:rsid w:val="783C3009"/>
    <w:rsid w:val="783C764B"/>
    <w:rsid w:val="783E33C3"/>
    <w:rsid w:val="78436C2C"/>
    <w:rsid w:val="784604CA"/>
    <w:rsid w:val="78462278"/>
    <w:rsid w:val="78484242"/>
    <w:rsid w:val="784C1F84"/>
    <w:rsid w:val="784E2738"/>
    <w:rsid w:val="78571E88"/>
    <w:rsid w:val="785B21C7"/>
    <w:rsid w:val="785E3A65"/>
    <w:rsid w:val="785E5813"/>
    <w:rsid w:val="786170B2"/>
    <w:rsid w:val="786372CE"/>
    <w:rsid w:val="786848E4"/>
    <w:rsid w:val="786C6182"/>
    <w:rsid w:val="786D3CA8"/>
    <w:rsid w:val="787119EB"/>
    <w:rsid w:val="7872306D"/>
    <w:rsid w:val="78770683"/>
    <w:rsid w:val="787D213D"/>
    <w:rsid w:val="7880578A"/>
    <w:rsid w:val="78857244"/>
    <w:rsid w:val="78866B18"/>
    <w:rsid w:val="788D60F9"/>
    <w:rsid w:val="78940AB5"/>
    <w:rsid w:val="789E3E62"/>
    <w:rsid w:val="78A3680A"/>
    <w:rsid w:val="78A43B6E"/>
    <w:rsid w:val="78A551F0"/>
    <w:rsid w:val="78A771BA"/>
    <w:rsid w:val="78A84CE1"/>
    <w:rsid w:val="78AA6CAB"/>
    <w:rsid w:val="78AC25B5"/>
    <w:rsid w:val="78B13B95"/>
    <w:rsid w:val="78B43685"/>
    <w:rsid w:val="78B673FD"/>
    <w:rsid w:val="78B96EEE"/>
    <w:rsid w:val="78BB0EB8"/>
    <w:rsid w:val="78BD078C"/>
    <w:rsid w:val="78BE4504"/>
    <w:rsid w:val="78C55892"/>
    <w:rsid w:val="78C733B9"/>
    <w:rsid w:val="78D43D28"/>
    <w:rsid w:val="78D45AD6"/>
    <w:rsid w:val="78DB6E64"/>
    <w:rsid w:val="78DF4BA6"/>
    <w:rsid w:val="78E0091E"/>
    <w:rsid w:val="78E026CC"/>
    <w:rsid w:val="78E0447A"/>
    <w:rsid w:val="78E63D5F"/>
    <w:rsid w:val="78E977D3"/>
    <w:rsid w:val="78EE24F1"/>
    <w:rsid w:val="78F85C68"/>
    <w:rsid w:val="78FA19E0"/>
    <w:rsid w:val="78FB12B4"/>
    <w:rsid w:val="79020895"/>
    <w:rsid w:val="79073098"/>
    <w:rsid w:val="79077C59"/>
    <w:rsid w:val="790C1713"/>
    <w:rsid w:val="790C526F"/>
    <w:rsid w:val="7914060D"/>
    <w:rsid w:val="791A3E30"/>
    <w:rsid w:val="791B1956"/>
    <w:rsid w:val="791F31F5"/>
    <w:rsid w:val="79202AC9"/>
    <w:rsid w:val="79254583"/>
    <w:rsid w:val="79270F41"/>
    <w:rsid w:val="79272A8A"/>
    <w:rsid w:val="792A3948"/>
    <w:rsid w:val="792C3B64"/>
    <w:rsid w:val="792E168A"/>
    <w:rsid w:val="79330A4E"/>
    <w:rsid w:val="793547C6"/>
    <w:rsid w:val="793842B6"/>
    <w:rsid w:val="793D7B1F"/>
    <w:rsid w:val="793F7353"/>
    <w:rsid w:val="79411767"/>
    <w:rsid w:val="79464C25"/>
    <w:rsid w:val="794B3FEA"/>
    <w:rsid w:val="79501600"/>
    <w:rsid w:val="795135CA"/>
    <w:rsid w:val="79532E9E"/>
    <w:rsid w:val="79553815"/>
    <w:rsid w:val="7956298E"/>
    <w:rsid w:val="7956473D"/>
    <w:rsid w:val="795B1D53"/>
    <w:rsid w:val="795C61F7"/>
    <w:rsid w:val="79621333"/>
    <w:rsid w:val="796432FD"/>
    <w:rsid w:val="79660E24"/>
    <w:rsid w:val="79667075"/>
    <w:rsid w:val="796706F8"/>
    <w:rsid w:val="796B643A"/>
    <w:rsid w:val="797057FE"/>
    <w:rsid w:val="79733540"/>
    <w:rsid w:val="79751067"/>
    <w:rsid w:val="79766B8D"/>
    <w:rsid w:val="798474FC"/>
    <w:rsid w:val="79856DD0"/>
    <w:rsid w:val="79863274"/>
    <w:rsid w:val="798B4E50"/>
    <w:rsid w:val="79964022"/>
    <w:rsid w:val="799A0ACD"/>
    <w:rsid w:val="799B65F3"/>
    <w:rsid w:val="79A90D10"/>
    <w:rsid w:val="79AB4A88"/>
    <w:rsid w:val="79B17BC5"/>
    <w:rsid w:val="79BA116F"/>
    <w:rsid w:val="79C36276"/>
    <w:rsid w:val="79C50530"/>
    <w:rsid w:val="79C618C2"/>
    <w:rsid w:val="79CD0EA3"/>
    <w:rsid w:val="79D33FDF"/>
    <w:rsid w:val="79D7587D"/>
    <w:rsid w:val="79D7762B"/>
    <w:rsid w:val="79DA536E"/>
    <w:rsid w:val="79DF2984"/>
    <w:rsid w:val="79E1716A"/>
    <w:rsid w:val="79E61F64"/>
    <w:rsid w:val="79EB757B"/>
    <w:rsid w:val="79F24465"/>
    <w:rsid w:val="79F91F7E"/>
    <w:rsid w:val="7A0128FA"/>
    <w:rsid w:val="7A012FE1"/>
    <w:rsid w:val="7A0643B5"/>
    <w:rsid w:val="7A066163"/>
    <w:rsid w:val="7A0B19CB"/>
    <w:rsid w:val="7A0B5527"/>
    <w:rsid w:val="7A0C5110"/>
    <w:rsid w:val="7A0E5017"/>
    <w:rsid w:val="7A100572"/>
    <w:rsid w:val="7A122D59"/>
    <w:rsid w:val="7A141457"/>
    <w:rsid w:val="7A1750A9"/>
    <w:rsid w:val="7A1C14E2"/>
    <w:rsid w:val="7A1E16FE"/>
    <w:rsid w:val="7A205476"/>
    <w:rsid w:val="7A2111EE"/>
    <w:rsid w:val="7A232871"/>
    <w:rsid w:val="7A23637B"/>
    <w:rsid w:val="7A236D15"/>
    <w:rsid w:val="7A24483B"/>
    <w:rsid w:val="7A252A8D"/>
    <w:rsid w:val="7A2860D9"/>
    <w:rsid w:val="7A2F56B9"/>
    <w:rsid w:val="7A301431"/>
    <w:rsid w:val="7A37456E"/>
    <w:rsid w:val="7A3F5B54"/>
    <w:rsid w:val="7A432F13"/>
    <w:rsid w:val="7A456C8B"/>
    <w:rsid w:val="7A48677B"/>
    <w:rsid w:val="7A490096"/>
    <w:rsid w:val="7A4A24F3"/>
    <w:rsid w:val="7A4B1DC7"/>
    <w:rsid w:val="7A4D38E8"/>
    <w:rsid w:val="7A58060A"/>
    <w:rsid w:val="7A5E5F9F"/>
    <w:rsid w:val="7A601D17"/>
    <w:rsid w:val="7A6335B5"/>
    <w:rsid w:val="7A6510DB"/>
    <w:rsid w:val="7A65732D"/>
    <w:rsid w:val="7A703241"/>
    <w:rsid w:val="7A721A4A"/>
    <w:rsid w:val="7A772BBC"/>
    <w:rsid w:val="7A7E3F4B"/>
    <w:rsid w:val="7A807CC3"/>
    <w:rsid w:val="7A813A3B"/>
    <w:rsid w:val="7A88301C"/>
    <w:rsid w:val="7A884DCA"/>
    <w:rsid w:val="7A886B78"/>
    <w:rsid w:val="7A8D0632"/>
    <w:rsid w:val="7A903C7E"/>
    <w:rsid w:val="7A910122"/>
    <w:rsid w:val="7A9419C0"/>
    <w:rsid w:val="7A94551C"/>
    <w:rsid w:val="7AA17C39"/>
    <w:rsid w:val="7AA339B1"/>
    <w:rsid w:val="7AA716F4"/>
    <w:rsid w:val="7AB636E5"/>
    <w:rsid w:val="7AB756AF"/>
    <w:rsid w:val="7AB7745D"/>
    <w:rsid w:val="7AB91427"/>
    <w:rsid w:val="7ABB0CFB"/>
    <w:rsid w:val="7ABD2CC5"/>
    <w:rsid w:val="7ABE2599"/>
    <w:rsid w:val="7AC06311"/>
    <w:rsid w:val="7AC51B7A"/>
    <w:rsid w:val="7AC83418"/>
    <w:rsid w:val="7ACA53E2"/>
    <w:rsid w:val="7AD1114E"/>
    <w:rsid w:val="7AD24297"/>
    <w:rsid w:val="7AD26045"/>
    <w:rsid w:val="7AE52C2E"/>
    <w:rsid w:val="7AE71AF0"/>
    <w:rsid w:val="7AE77D42"/>
    <w:rsid w:val="7AEA338E"/>
    <w:rsid w:val="7AF16E13"/>
    <w:rsid w:val="7AF406B1"/>
    <w:rsid w:val="7AF62E6A"/>
    <w:rsid w:val="7AF75AAB"/>
    <w:rsid w:val="7B0C59FB"/>
    <w:rsid w:val="7B1D19B6"/>
    <w:rsid w:val="7B22521E"/>
    <w:rsid w:val="7B2368A0"/>
    <w:rsid w:val="7B256ABC"/>
    <w:rsid w:val="7B2745E3"/>
    <w:rsid w:val="7B2E4391"/>
    <w:rsid w:val="7B2E5B08"/>
    <w:rsid w:val="7B2F16E9"/>
    <w:rsid w:val="7B340AAD"/>
    <w:rsid w:val="7B346052"/>
    <w:rsid w:val="7B3B1E3C"/>
    <w:rsid w:val="7B4038F6"/>
    <w:rsid w:val="7B42766E"/>
    <w:rsid w:val="7B476A33"/>
    <w:rsid w:val="7B4B6523"/>
    <w:rsid w:val="7B51165F"/>
    <w:rsid w:val="7B560A24"/>
    <w:rsid w:val="7B566C76"/>
    <w:rsid w:val="7B5A6766"/>
    <w:rsid w:val="7B5D6256"/>
    <w:rsid w:val="7B6770D5"/>
    <w:rsid w:val="7B71585E"/>
    <w:rsid w:val="7B735A7A"/>
    <w:rsid w:val="7B737828"/>
    <w:rsid w:val="7B7406C4"/>
    <w:rsid w:val="7B75029D"/>
    <w:rsid w:val="7B7F441F"/>
    <w:rsid w:val="7B7F7F7B"/>
    <w:rsid w:val="7B8437E3"/>
    <w:rsid w:val="7B8732D3"/>
    <w:rsid w:val="7B897BA3"/>
    <w:rsid w:val="7B8C31E4"/>
    <w:rsid w:val="7B9B4B89"/>
    <w:rsid w:val="7B9D2AF7"/>
    <w:rsid w:val="7B9F47D4"/>
    <w:rsid w:val="7BB120FE"/>
    <w:rsid w:val="7BB340C8"/>
    <w:rsid w:val="7BB37C24"/>
    <w:rsid w:val="7BBA5457"/>
    <w:rsid w:val="7BBA7205"/>
    <w:rsid w:val="7BC167E5"/>
    <w:rsid w:val="7BC57958"/>
    <w:rsid w:val="7BC63E78"/>
    <w:rsid w:val="7BC65BA9"/>
    <w:rsid w:val="7BC83A0E"/>
    <w:rsid w:val="7BCC6F38"/>
    <w:rsid w:val="7BCD518A"/>
    <w:rsid w:val="7BD04C7A"/>
    <w:rsid w:val="7BE14791"/>
    <w:rsid w:val="7BF070CA"/>
    <w:rsid w:val="7BFA3AA5"/>
    <w:rsid w:val="7BFF730D"/>
    <w:rsid w:val="7C036DFE"/>
    <w:rsid w:val="7C0469D6"/>
    <w:rsid w:val="7C070AEE"/>
    <w:rsid w:val="7C0B180E"/>
    <w:rsid w:val="7C0E12FE"/>
    <w:rsid w:val="7C10151B"/>
    <w:rsid w:val="7C122B9D"/>
    <w:rsid w:val="7C183F2B"/>
    <w:rsid w:val="7C1A5EF5"/>
    <w:rsid w:val="7C1D1542"/>
    <w:rsid w:val="7C26489A"/>
    <w:rsid w:val="7C305719"/>
    <w:rsid w:val="7C32323F"/>
    <w:rsid w:val="7C350F81"/>
    <w:rsid w:val="7C372603"/>
    <w:rsid w:val="7C374CF9"/>
    <w:rsid w:val="7C3C5E6C"/>
    <w:rsid w:val="7C4371FA"/>
    <w:rsid w:val="7C4D6CFD"/>
    <w:rsid w:val="7C4E5B9F"/>
    <w:rsid w:val="7C5331B5"/>
    <w:rsid w:val="7C594C70"/>
    <w:rsid w:val="7C5A2796"/>
    <w:rsid w:val="7C5F1B5A"/>
    <w:rsid w:val="7C6D5C33"/>
    <w:rsid w:val="7C701FB9"/>
    <w:rsid w:val="7C741AA9"/>
    <w:rsid w:val="7C790E6E"/>
    <w:rsid w:val="7C7A4BE6"/>
    <w:rsid w:val="7C7E056D"/>
    <w:rsid w:val="7C8B5A98"/>
    <w:rsid w:val="7C8D4919"/>
    <w:rsid w:val="7C8F0691"/>
    <w:rsid w:val="7C947A56"/>
    <w:rsid w:val="7C977546"/>
    <w:rsid w:val="7C99506C"/>
    <w:rsid w:val="7C9C690A"/>
    <w:rsid w:val="7C9E2682"/>
    <w:rsid w:val="7C9F63FA"/>
    <w:rsid w:val="7CA3413D"/>
    <w:rsid w:val="7CA35EEB"/>
    <w:rsid w:val="7CAB4D9F"/>
    <w:rsid w:val="7CAD6D69"/>
    <w:rsid w:val="7CB023B6"/>
    <w:rsid w:val="7CBA4472"/>
    <w:rsid w:val="7CBB1486"/>
    <w:rsid w:val="7CBE4AD3"/>
    <w:rsid w:val="7CC320E9"/>
    <w:rsid w:val="7CC52305"/>
    <w:rsid w:val="7CC876FF"/>
    <w:rsid w:val="7CCB2214"/>
    <w:rsid w:val="7CCD4D16"/>
    <w:rsid w:val="7CCF0A8E"/>
    <w:rsid w:val="7CCF4B78"/>
    <w:rsid w:val="7CD10CAA"/>
    <w:rsid w:val="7CD75B94"/>
    <w:rsid w:val="7CD97B5E"/>
    <w:rsid w:val="7CDE33C7"/>
    <w:rsid w:val="7CE34539"/>
    <w:rsid w:val="7CE704CD"/>
    <w:rsid w:val="7CEA3B1A"/>
    <w:rsid w:val="7CEC1640"/>
    <w:rsid w:val="7CF404F4"/>
    <w:rsid w:val="7CF6426C"/>
    <w:rsid w:val="7D060D93"/>
    <w:rsid w:val="7D067652"/>
    <w:rsid w:val="7D083FA0"/>
    <w:rsid w:val="7D1666BD"/>
    <w:rsid w:val="7D1861B1"/>
    <w:rsid w:val="7D1961AD"/>
    <w:rsid w:val="7D1B0177"/>
    <w:rsid w:val="7D23702C"/>
    <w:rsid w:val="7D2D1C58"/>
    <w:rsid w:val="7D3E5C13"/>
    <w:rsid w:val="7D40373A"/>
    <w:rsid w:val="7D416415"/>
    <w:rsid w:val="7D43322A"/>
    <w:rsid w:val="7D511DEB"/>
    <w:rsid w:val="7D515947"/>
    <w:rsid w:val="7D584F27"/>
    <w:rsid w:val="7D592A4D"/>
    <w:rsid w:val="7D5B4A17"/>
    <w:rsid w:val="7D6513F2"/>
    <w:rsid w:val="7D733B0F"/>
    <w:rsid w:val="7D741635"/>
    <w:rsid w:val="7D7F0706"/>
    <w:rsid w:val="7D8201F6"/>
    <w:rsid w:val="7D87580C"/>
    <w:rsid w:val="7D8E6B9B"/>
    <w:rsid w:val="7D910439"/>
    <w:rsid w:val="7D9F66B2"/>
    <w:rsid w:val="7DA0242A"/>
    <w:rsid w:val="7DA22646"/>
    <w:rsid w:val="7DA270F0"/>
    <w:rsid w:val="7DA41F1A"/>
    <w:rsid w:val="7DA57A41"/>
    <w:rsid w:val="7DA77C5D"/>
    <w:rsid w:val="7DB06B11"/>
    <w:rsid w:val="7DB3215D"/>
    <w:rsid w:val="7DB639FC"/>
    <w:rsid w:val="7DBA173E"/>
    <w:rsid w:val="7DBD4D8A"/>
    <w:rsid w:val="7DCA74A7"/>
    <w:rsid w:val="7DCB394B"/>
    <w:rsid w:val="7DD10836"/>
    <w:rsid w:val="7DD24CD9"/>
    <w:rsid w:val="7DD338F9"/>
    <w:rsid w:val="7DD547CA"/>
    <w:rsid w:val="7DD56578"/>
    <w:rsid w:val="7DDA1DE0"/>
    <w:rsid w:val="7DDA3B8E"/>
    <w:rsid w:val="7DDF2F52"/>
    <w:rsid w:val="7DE1AFFC"/>
    <w:rsid w:val="7DE71EDA"/>
    <w:rsid w:val="7DE762AB"/>
    <w:rsid w:val="7DE844FD"/>
    <w:rsid w:val="7DEF71FD"/>
    <w:rsid w:val="7DF32EA2"/>
    <w:rsid w:val="7DF34C50"/>
    <w:rsid w:val="7DF54524"/>
    <w:rsid w:val="7DF74740"/>
    <w:rsid w:val="7DFC19E1"/>
    <w:rsid w:val="7E0046E9"/>
    <w:rsid w:val="7E021579"/>
    <w:rsid w:val="7E0429B9"/>
    <w:rsid w:val="7E0B1F99"/>
    <w:rsid w:val="7E152E18"/>
    <w:rsid w:val="7E1D1CCD"/>
    <w:rsid w:val="7E2B263C"/>
    <w:rsid w:val="7E301A00"/>
    <w:rsid w:val="7E3314F0"/>
    <w:rsid w:val="7E355268"/>
    <w:rsid w:val="7E3A63DB"/>
    <w:rsid w:val="7E3E236F"/>
    <w:rsid w:val="7E413C0D"/>
    <w:rsid w:val="7E431733"/>
    <w:rsid w:val="7E437985"/>
    <w:rsid w:val="7E4436FD"/>
    <w:rsid w:val="7E467DAF"/>
    <w:rsid w:val="7E494870"/>
    <w:rsid w:val="7E4E3093"/>
    <w:rsid w:val="7E4F632A"/>
    <w:rsid w:val="7E551467"/>
    <w:rsid w:val="7E584AB3"/>
    <w:rsid w:val="7E5971A9"/>
    <w:rsid w:val="7E5A6A7D"/>
    <w:rsid w:val="7E5D6B27"/>
    <w:rsid w:val="7E611BB9"/>
    <w:rsid w:val="7E631DD5"/>
    <w:rsid w:val="7E6B0C8A"/>
    <w:rsid w:val="7E714CEC"/>
    <w:rsid w:val="7E7A0ECD"/>
    <w:rsid w:val="7E7E6C0F"/>
    <w:rsid w:val="7E88183C"/>
    <w:rsid w:val="7E8B30DA"/>
    <w:rsid w:val="7E941F8F"/>
    <w:rsid w:val="7E97382D"/>
    <w:rsid w:val="7EA45F4A"/>
    <w:rsid w:val="7EA47CF8"/>
    <w:rsid w:val="7EAA7A04"/>
    <w:rsid w:val="7EAE37FE"/>
    <w:rsid w:val="7EB02B41"/>
    <w:rsid w:val="7EB0669D"/>
    <w:rsid w:val="7EB73ECF"/>
    <w:rsid w:val="7EB75C7D"/>
    <w:rsid w:val="7EBF5EC4"/>
    <w:rsid w:val="7EC108AA"/>
    <w:rsid w:val="7EC47257"/>
    <w:rsid w:val="7ECA59B1"/>
    <w:rsid w:val="7ECC04C8"/>
    <w:rsid w:val="7ECD724F"/>
    <w:rsid w:val="7ED22AB7"/>
    <w:rsid w:val="7ED54355"/>
    <w:rsid w:val="7ED625A7"/>
    <w:rsid w:val="7ED93E46"/>
    <w:rsid w:val="7EDB979F"/>
    <w:rsid w:val="7EDE76AE"/>
    <w:rsid w:val="7EEC1DCB"/>
    <w:rsid w:val="7EF0118F"/>
    <w:rsid w:val="7EF24F07"/>
    <w:rsid w:val="7EF40C80"/>
    <w:rsid w:val="7EF71D24"/>
    <w:rsid w:val="7EF7251E"/>
    <w:rsid w:val="7EFE1EC7"/>
    <w:rsid w:val="7F016EF9"/>
    <w:rsid w:val="7F0C1437"/>
    <w:rsid w:val="7F0C421B"/>
    <w:rsid w:val="7F0D1D41"/>
    <w:rsid w:val="7F0F1615"/>
    <w:rsid w:val="7F1255AA"/>
    <w:rsid w:val="7F1B7FBA"/>
    <w:rsid w:val="7F1E7AAB"/>
    <w:rsid w:val="7F211349"/>
    <w:rsid w:val="7F227B81"/>
    <w:rsid w:val="7F2552DD"/>
    <w:rsid w:val="7F2C0C33"/>
    <w:rsid w:val="7F3E014D"/>
    <w:rsid w:val="7F413799"/>
    <w:rsid w:val="7F437511"/>
    <w:rsid w:val="7F4A08A0"/>
    <w:rsid w:val="7F5300F0"/>
    <w:rsid w:val="7F547970"/>
    <w:rsid w:val="7F5563EB"/>
    <w:rsid w:val="7F5636E8"/>
    <w:rsid w:val="7F567244"/>
    <w:rsid w:val="7F5E434B"/>
    <w:rsid w:val="7F613B2C"/>
    <w:rsid w:val="7F623E3B"/>
    <w:rsid w:val="7F686F78"/>
    <w:rsid w:val="7F69341C"/>
    <w:rsid w:val="7F6A0F42"/>
    <w:rsid w:val="7F6F47AA"/>
    <w:rsid w:val="7F73429A"/>
    <w:rsid w:val="7F736048"/>
    <w:rsid w:val="7F74591C"/>
    <w:rsid w:val="7F765B38"/>
    <w:rsid w:val="7F770242"/>
    <w:rsid w:val="7F791185"/>
    <w:rsid w:val="7F7973D7"/>
    <w:rsid w:val="7F800765"/>
    <w:rsid w:val="7F8042C1"/>
    <w:rsid w:val="7F820039"/>
    <w:rsid w:val="7F857B2A"/>
    <w:rsid w:val="7F8813C8"/>
    <w:rsid w:val="7F923FF5"/>
    <w:rsid w:val="7F9B10FB"/>
    <w:rsid w:val="7F9D4E73"/>
    <w:rsid w:val="7FA91A6A"/>
    <w:rsid w:val="7FB0104A"/>
    <w:rsid w:val="7FBE4DEA"/>
    <w:rsid w:val="7FBF128D"/>
    <w:rsid w:val="7FC44AF6"/>
    <w:rsid w:val="7FCA0930"/>
    <w:rsid w:val="7FD01529"/>
    <w:rsid w:val="7FD4460D"/>
    <w:rsid w:val="7FDC6DE5"/>
    <w:rsid w:val="7FDD34C2"/>
    <w:rsid w:val="7FE02FB2"/>
    <w:rsid w:val="7FE164A9"/>
    <w:rsid w:val="7FE42AA2"/>
    <w:rsid w:val="7FE5681A"/>
    <w:rsid w:val="7FE8D096"/>
    <w:rsid w:val="7FE900B8"/>
    <w:rsid w:val="7FEC5DFB"/>
    <w:rsid w:val="7FEE56CF"/>
    <w:rsid w:val="7FF32CE5"/>
    <w:rsid w:val="7FF36FD3"/>
    <w:rsid w:val="7FF64583"/>
    <w:rsid w:val="7FF8654D"/>
    <w:rsid w:val="8FBFBED1"/>
    <w:rsid w:val="B7D56ED6"/>
    <w:rsid w:val="BFA7CC54"/>
    <w:rsid w:val="CF7F49B4"/>
    <w:rsid w:val="D7CE154E"/>
    <w:rsid w:val="DF5C883E"/>
    <w:rsid w:val="EA6F86C8"/>
    <w:rsid w:val="F3FFB899"/>
    <w:rsid w:val="F6E7D691"/>
    <w:rsid w:val="F973DA9E"/>
    <w:rsid w:val="FBC6151C"/>
    <w:rsid w:val="FBE21102"/>
    <w:rsid w:val="FDFDFCB1"/>
    <w:rsid w:val="FF5F3E7A"/>
    <w:rsid w:val="FF6B7EA1"/>
    <w:rsid w:val="FFAF514A"/>
    <w:rsid w:val="FFBD0883"/>
    <w:rsid w:val="FFF7A5BF"/>
    <w:rsid w:val="FFFFFA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djustRightInd w:val="0"/>
      <w:snapToGrid w:val="0"/>
      <w:spacing w:after="312" w:afterLines="100" w:line="400" w:lineRule="exact"/>
      <w:ind w:firstLine="480" w:firstLineChars="200"/>
      <w:jc w:val="both"/>
    </w:pPr>
    <w:rPr>
      <w:rFonts w:ascii="Times New Roman" w:hAnsi="Times New Roman" w:eastAsia="宋体" w:cs="Times New Roman"/>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21"/>
    <w:autoRedefine/>
    <w:qFormat/>
    <w:uiPriority w:val="0"/>
  </w:style>
  <w:style w:type="paragraph" w:styleId="3">
    <w:name w:val="endnote text"/>
    <w:basedOn w:val="1"/>
    <w:autoRedefine/>
    <w:qFormat/>
    <w:uiPriority w:val="0"/>
    <w:pPr>
      <w:jc w:val="left"/>
    </w:pPr>
  </w:style>
  <w:style w:type="paragraph" w:styleId="4">
    <w:name w:val="Balloon Text"/>
    <w:basedOn w:val="1"/>
    <w:link w:val="35"/>
    <w:qFormat/>
    <w:uiPriority w:val="0"/>
    <w:rPr>
      <w:sz w:val="18"/>
      <w:szCs w:val="18"/>
    </w:rPr>
  </w:style>
  <w:style w:type="paragraph" w:styleId="5">
    <w:name w:val="footer"/>
    <w:basedOn w:val="1"/>
    <w:autoRedefine/>
    <w:qFormat/>
    <w:uiPriority w:val="0"/>
    <w:pPr>
      <w:tabs>
        <w:tab w:val="center" w:pos="4153"/>
        <w:tab w:val="right" w:pos="8306"/>
      </w:tabs>
      <w:jc w:val="left"/>
    </w:pPr>
    <w:rPr>
      <w:sz w:val="18"/>
    </w:rPr>
  </w:style>
  <w:style w:type="paragraph" w:styleId="6">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pPr>
    <w:rPr>
      <w:sz w:val="18"/>
    </w:rPr>
  </w:style>
  <w:style w:type="paragraph" w:styleId="7">
    <w:name w:val="Normal (Web)"/>
    <w:basedOn w:val="1"/>
    <w:autoRedefine/>
    <w:qFormat/>
    <w:uiPriority w:val="99"/>
    <w:rPr>
      <w:sz w:val="24"/>
    </w:rPr>
  </w:style>
  <w:style w:type="paragraph" w:styleId="8">
    <w:name w:val="annotation subject"/>
    <w:basedOn w:val="2"/>
    <w:next w:val="2"/>
    <w:link w:val="22"/>
    <w:autoRedefine/>
    <w:qFormat/>
    <w:uiPriority w:val="0"/>
    <w:rPr>
      <w:b/>
      <w:bCs/>
    </w:rPr>
  </w:style>
  <w:style w:type="character" w:styleId="11">
    <w:name w:val="endnote reference"/>
    <w:basedOn w:val="10"/>
    <w:autoRedefine/>
    <w:qFormat/>
    <w:uiPriority w:val="0"/>
    <w:rPr>
      <w:vertAlign w:val="superscript"/>
    </w:rPr>
  </w:style>
  <w:style w:type="character" w:styleId="12">
    <w:name w:val="Emphasis"/>
    <w:basedOn w:val="10"/>
    <w:autoRedefine/>
    <w:qFormat/>
    <w:uiPriority w:val="0"/>
    <w:rPr>
      <w:i/>
    </w:rPr>
  </w:style>
  <w:style w:type="character" w:styleId="13">
    <w:name w:val="Hyperlink"/>
    <w:basedOn w:val="10"/>
    <w:autoRedefine/>
    <w:qFormat/>
    <w:uiPriority w:val="0"/>
    <w:rPr>
      <w:color w:val="0000FF"/>
      <w:u w:val="single"/>
    </w:rPr>
  </w:style>
  <w:style w:type="character" w:styleId="14">
    <w:name w:val="annotation reference"/>
    <w:basedOn w:val="10"/>
    <w:autoRedefine/>
    <w:qFormat/>
    <w:uiPriority w:val="0"/>
    <w:rPr>
      <w:sz w:val="16"/>
      <w:szCs w:val="16"/>
    </w:rPr>
  </w:style>
  <w:style w:type="paragraph" w:customStyle="1" w:styleId="15">
    <w:name w:val="Revision1"/>
    <w:autoRedefine/>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16">
    <w:name w:val="Comment Text Char"/>
    <w:basedOn w:val="10"/>
    <w:autoRedefine/>
    <w:qFormat/>
    <w:uiPriority w:val="0"/>
    <w:rPr>
      <w:rFonts w:asciiTheme="minorHAnsi" w:hAnsiTheme="minorHAnsi" w:eastAsiaTheme="minorEastAsia" w:cstheme="minorBidi"/>
      <w:kern w:val="2"/>
      <w:lang w:val="en-US"/>
    </w:rPr>
  </w:style>
  <w:style w:type="character" w:customStyle="1" w:styleId="17">
    <w:name w:val="Comment Subject Char"/>
    <w:basedOn w:val="16"/>
    <w:autoRedefine/>
    <w:qFormat/>
    <w:uiPriority w:val="0"/>
    <w:rPr>
      <w:rFonts w:asciiTheme="minorHAnsi" w:hAnsiTheme="minorHAnsi" w:eastAsiaTheme="minorEastAsia" w:cstheme="minorBidi"/>
      <w:b/>
      <w:bCs/>
      <w:kern w:val="2"/>
      <w:lang w:val="en-US"/>
    </w:rPr>
  </w:style>
  <w:style w:type="paragraph" w:customStyle="1" w:styleId="18">
    <w:name w:val="修订1"/>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19">
    <w:name w:val="Revision2"/>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0">
    <w:name w:val="Revision3"/>
    <w:autoRedefine/>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1">
    <w:name w:val="Comment Text Char1"/>
    <w:basedOn w:val="10"/>
    <w:link w:val="2"/>
    <w:autoRedefine/>
    <w:qFormat/>
    <w:uiPriority w:val="0"/>
    <w:rPr>
      <w:rFonts w:asciiTheme="minorHAnsi" w:hAnsiTheme="minorHAnsi" w:eastAsiaTheme="minorEastAsia" w:cstheme="minorBidi"/>
      <w:kern w:val="2"/>
      <w:lang w:val="en-US"/>
    </w:rPr>
  </w:style>
  <w:style w:type="character" w:customStyle="1" w:styleId="22">
    <w:name w:val="Comment Subject Char1"/>
    <w:basedOn w:val="21"/>
    <w:link w:val="8"/>
    <w:autoRedefine/>
    <w:qFormat/>
    <w:uiPriority w:val="0"/>
    <w:rPr>
      <w:rFonts w:asciiTheme="minorHAnsi" w:hAnsiTheme="minorHAnsi" w:eastAsiaTheme="minorEastAsia" w:cstheme="minorBidi"/>
      <w:b/>
      <w:bCs/>
      <w:kern w:val="2"/>
      <w:lang w:val="en-US"/>
    </w:rPr>
  </w:style>
  <w:style w:type="paragraph" w:customStyle="1" w:styleId="23">
    <w:name w:val="修订2"/>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4">
    <w:name w:val="Revision4"/>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5">
    <w:name w:val="Revision5"/>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6">
    <w:name w:val="Revision6"/>
    <w:autoRedefine/>
    <w:hidden/>
    <w:unhideWhenUsed/>
    <w:qFormat/>
    <w:uiPriority w:val="99"/>
    <w:rPr>
      <w:rFonts w:asciiTheme="minorHAnsi" w:hAnsiTheme="minorHAnsi" w:eastAsiaTheme="minorEastAsia" w:cstheme="minorBidi"/>
      <w:kern w:val="2"/>
      <w:sz w:val="21"/>
      <w:szCs w:val="24"/>
      <w:lang w:val="en-US" w:eastAsia="zh-CN" w:bidi="ar-SA"/>
    </w:rPr>
  </w:style>
  <w:style w:type="paragraph" w:customStyle="1" w:styleId="27">
    <w:name w:val="Revision7"/>
    <w:autoRedefine/>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28">
    <w:name w:val="font71"/>
    <w:basedOn w:val="10"/>
    <w:autoRedefine/>
    <w:qFormat/>
    <w:uiPriority w:val="0"/>
    <w:rPr>
      <w:rFonts w:hint="default" w:ascii="Times New Roman" w:hAnsi="Times New Roman" w:cs="Times New Roman"/>
      <w:color w:val="000000"/>
      <w:sz w:val="28"/>
      <w:szCs w:val="28"/>
      <w:u w:val="none"/>
    </w:rPr>
  </w:style>
  <w:style w:type="character" w:customStyle="1" w:styleId="29">
    <w:name w:val="font81"/>
    <w:basedOn w:val="10"/>
    <w:autoRedefine/>
    <w:qFormat/>
    <w:uiPriority w:val="0"/>
    <w:rPr>
      <w:rFonts w:hint="eastAsia" w:ascii="宋体" w:hAnsi="宋体" w:eastAsia="宋体" w:cs="宋体"/>
      <w:b/>
      <w:bCs/>
      <w:color w:val="000000"/>
      <w:sz w:val="28"/>
      <w:szCs w:val="28"/>
      <w:u w:val="none"/>
    </w:rPr>
  </w:style>
  <w:style w:type="character" w:customStyle="1" w:styleId="30">
    <w:name w:val="font41"/>
    <w:basedOn w:val="10"/>
    <w:autoRedefine/>
    <w:qFormat/>
    <w:uiPriority w:val="0"/>
    <w:rPr>
      <w:rFonts w:hint="default" w:ascii="Times New Roman" w:hAnsi="Times New Roman" w:cs="Times New Roman"/>
      <w:b/>
      <w:bCs/>
      <w:color w:val="000000"/>
      <w:sz w:val="28"/>
      <w:szCs w:val="28"/>
      <w:u w:val="none"/>
    </w:rPr>
  </w:style>
  <w:style w:type="character" w:customStyle="1" w:styleId="31">
    <w:name w:val="font31"/>
    <w:basedOn w:val="10"/>
    <w:autoRedefine/>
    <w:qFormat/>
    <w:uiPriority w:val="0"/>
    <w:rPr>
      <w:rFonts w:hint="default" w:ascii="Times New Roman" w:hAnsi="Times New Roman" w:eastAsia="宋体" w:cs="Times New Roman"/>
      <w:b/>
      <w:bCs/>
      <w:i/>
      <w:iCs/>
      <w:color w:val="000000"/>
      <w:sz w:val="22"/>
      <w:szCs w:val="22"/>
      <w:u w:val="none"/>
    </w:rPr>
  </w:style>
  <w:style w:type="character" w:customStyle="1" w:styleId="32">
    <w:name w:val="font21"/>
    <w:basedOn w:val="10"/>
    <w:autoRedefine/>
    <w:qFormat/>
    <w:uiPriority w:val="0"/>
    <w:rPr>
      <w:rFonts w:hint="default" w:ascii="Times New Roman" w:hAnsi="Times New Roman" w:eastAsia="宋体" w:cs="Times New Roman"/>
      <w:b/>
      <w:bCs/>
      <w:color w:val="000000"/>
      <w:sz w:val="22"/>
      <w:szCs w:val="22"/>
      <w:u w:val="none"/>
    </w:rPr>
  </w:style>
  <w:style w:type="character" w:customStyle="1" w:styleId="33">
    <w:name w:val="font11"/>
    <w:basedOn w:val="10"/>
    <w:autoRedefine/>
    <w:qFormat/>
    <w:uiPriority w:val="0"/>
    <w:rPr>
      <w:rFonts w:hint="default" w:ascii="Times New Roman" w:hAnsi="Times New Roman" w:eastAsia="宋体" w:cs="Times New Roman"/>
      <w:b/>
      <w:bCs/>
      <w:color w:val="000000"/>
      <w:sz w:val="16"/>
      <w:szCs w:val="16"/>
      <w:u w:val="none"/>
    </w:rPr>
  </w:style>
  <w:style w:type="paragraph" w:customStyle="1" w:styleId="34">
    <w:name w:val="修订3"/>
    <w:hidden/>
    <w:unhideWhenUsed/>
    <w:qFormat/>
    <w:uiPriority w:val="99"/>
    <w:rPr>
      <w:rFonts w:asciiTheme="minorHAnsi" w:hAnsiTheme="minorHAnsi" w:eastAsiaTheme="minorEastAsia" w:cstheme="minorBidi"/>
      <w:kern w:val="2"/>
      <w:sz w:val="21"/>
      <w:szCs w:val="24"/>
      <w:lang w:val="en-US" w:eastAsia="zh-CN" w:bidi="ar-SA"/>
    </w:rPr>
  </w:style>
  <w:style w:type="character" w:customStyle="1" w:styleId="35">
    <w:name w:val="Balloon Text Char"/>
    <w:basedOn w:val="10"/>
    <w:link w:val="4"/>
    <w:qFormat/>
    <w:uiPriority w:val="0"/>
    <w:rPr>
      <w:rFonts w:asciiTheme="minorHAnsi" w:hAnsiTheme="minorHAnsi" w:eastAsiaTheme="minorEastAsia" w:cstheme="minorBidi"/>
      <w:kern w:val="2"/>
      <w:sz w:val="18"/>
      <w:szCs w:val="18"/>
      <w:lang w:val="en-US"/>
    </w:rPr>
  </w:style>
  <w:style w:type="paragraph" w:customStyle="1" w:styleId="36">
    <w:name w:val="Revision8"/>
    <w:hidden/>
    <w:semiHidden/>
    <w:qFormat/>
    <w:uiPriority w:val="99"/>
    <w:rPr>
      <w:rFonts w:asciiTheme="minorHAnsi" w:hAnsiTheme="minorHAnsi" w:eastAsiaTheme="minorEastAsia" w:cstheme="minorBidi"/>
      <w:kern w:val="2"/>
      <w:sz w:val="21"/>
      <w:szCs w:val="24"/>
      <w:lang w:val="en-US" w:eastAsia="zh-CN" w:bidi="ar-SA"/>
    </w:rPr>
  </w:style>
  <w:style w:type="paragraph" w:customStyle="1" w:styleId="37">
    <w:name w:val="Revision9"/>
    <w:hidden/>
    <w:unhideWhenUsed/>
    <w:qFormat/>
    <w:uiPriority w:val="99"/>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87B691A-1DB6-4995-A3DF-AD58F3D86766}">
  <ds:schemaRefs/>
</ds:datastoreItem>
</file>

<file path=docProps/app.xml><?xml version="1.0" encoding="utf-8"?>
<Properties xmlns="http://schemas.openxmlformats.org/officeDocument/2006/extended-properties" xmlns:vt="http://schemas.openxmlformats.org/officeDocument/2006/docPropsVTypes">
  <Template>Normal</Template>
  <Pages>17</Pages>
  <Words>2703</Words>
  <Characters>16714</Characters>
  <Lines>306</Lines>
  <Paragraphs>84</Paragraphs>
  <TotalTime>2</TotalTime>
  <ScaleCrop>false</ScaleCrop>
  <LinksUpToDate>false</LinksUpToDate>
  <CharactersWithSpaces>19358</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2025-05-04T17:54:00Z</dcterms:created>
  <dc:creator>Qiuyu Guo</dc:creator>
  <cp:lastModifiedBy>Qiuyu Guo</cp:lastModifiedBy>
  <dcterms:modified xsi:type="dcterms:W3CDTF">2025-10-10T04:15:25Z</dcterms:modified>
  <cp:revision>52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251581390282462485CB4F0AB1D0B4DF_13</vt:lpwstr>
  </property>
  <property fmtid="{D5CDD505-2E9C-101B-9397-08002B2CF9AE}" pid="4" name="GrammarlyDocumentId">
    <vt:lpwstr>d8a8b5653b5cd1dc000e1fd6d4fbae31482ef498686e69caa089b63b7279382b</vt:lpwstr>
  </property>
  <property fmtid="{D5CDD505-2E9C-101B-9397-08002B2CF9AE}" pid="5" name="KSOTemplateDocerSaveRecord">
    <vt:lpwstr>eyJoZGlkIjoiZGRhZDZhM2I1YmM5MzMzZGE5ZTgwOGJkMDMyNTczMWMiLCJ1c2VySWQiOiIzOTUyNDMwMjEifQ==</vt:lpwstr>
  </property>
</Properties>
</file>