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BA13" w14:textId="6D0C5AD0" w:rsidR="00A1610C" w:rsidRDefault="004811C2">
      <w:r>
        <w:rPr>
          <w:rFonts w:hint="eastAsia"/>
        </w:rPr>
        <w:t>大家好，</w:t>
      </w:r>
      <w:r w:rsidR="00CD5FFC">
        <w:rPr>
          <w:rFonts w:hint="eastAsia"/>
        </w:rPr>
        <w:t>我是陈帅华，我们这一小组的组员有陈锦生同学和陈烁同学</w:t>
      </w:r>
      <w:r w:rsidR="00D943D7">
        <w:rPr>
          <w:rFonts w:hint="eastAsia"/>
        </w:rPr>
        <w:t>。</w:t>
      </w:r>
      <w:r w:rsidR="000B251F">
        <w:rPr>
          <w:rFonts w:hint="eastAsia"/>
        </w:rPr>
        <w:t>那</w:t>
      </w:r>
      <w:r w:rsidR="004B7421">
        <w:rPr>
          <w:rFonts w:hint="eastAsia"/>
        </w:rPr>
        <w:t>么</w:t>
      </w:r>
      <w:r>
        <w:rPr>
          <w:rFonts w:hint="eastAsia"/>
        </w:rPr>
        <w:t>接下来就由我</w:t>
      </w:r>
      <w:r w:rsidR="00AD54AD">
        <w:rPr>
          <w:rFonts w:hint="eastAsia"/>
        </w:rPr>
        <w:t>介绍一下同行评审的优点</w:t>
      </w:r>
      <w:r w:rsidR="002702D3">
        <w:rPr>
          <w:rFonts w:hint="eastAsia"/>
        </w:rPr>
        <w:t>。</w:t>
      </w:r>
    </w:p>
    <w:p w14:paraId="0E04D0E1" w14:textId="39AA9E91" w:rsidR="002702D3" w:rsidRDefault="002702D3">
      <w:r>
        <w:rPr>
          <w:rFonts w:hint="eastAsia"/>
        </w:rPr>
        <w:t>首先</w:t>
      </w:r>
      <w:r w:rsidR="00F86EBE">
        <w:rPr>
          <w:rFonts w:hint="eastAsia"/>
        </w:rPr>
        <w:t>，</w:t>
      </w:r>
      <w:r w:rsidR="006E7B05">
        <w:rPr>
          <w:rFonts w:hint="eastAsia"/>
        </w:rPr>
        <w:t>根据胡可兴等人</w:t>
      </w:r>
      <w:r w:rsidR="008D34D0">
        <w:rPr>
          <w:rFonts w:hint="eastAsia"/>
        </w:rPr>
        <w:t>在2019年</w:t>
      </w:r>
      <w:r w:rsidR="00142CD5">
        <w:rPr>
          <w:rFonts w:hint="eastAsia"/>
        </w:rPr>
        <w:t>对科技期刊编辑</w:t>
      </w:r>
      <w:r w:rsidR="00054303">
        <w:rPr>
          <w:rFonts w:hint="eastAsia"/>
        </w:rPr>
        <w:t>的</w:t>
      </w:r>
      <w:r w:rsidR="008D4248">
        <w:rPr>
          <w:rFonts w:hint="eastAsia"/>
        </w:rPr>
        <w:t>问卷</w:t>
      </w:r>
      <w:r w:rsidR="00A37B5B">
        <w:rPr>
          <w:rFonts w:hint="eastAsia"/>
        </w:rPr>
        <w:t>统计</w:t>
      </w:r>
      <w:r w:rsidR="008D4248">
        <w:rPr>
          <w:rFonts w:hint="eastAsia"/>
        </w:rPr>
        <w:t>结果，</w:t>
      </w:r>
      <w:r w:rsidR="00B63AEE">
        <w:rPr>
          <w:rFonts w:hint="eastAsia"/>
        </w:rPr>
        <w:t>如图1所示</w:t>
      </w:r>
      <w:r w:rsidR="00132464">
        <w:rPr>
          <w:rFonts w:hint="eastAsia"/>
        </w:rPr>
        <w:t>，</w:t>
      </w:r>
      <w:r w:rsidR="005602E8">
        <w:rPr>
          <w:rFonts w:hint="eastAsia"/>
        </w:rPr>
        <w:t>可知，</w:t>
      </w:r>
      <w:r w:rsidR="00CE7FDF">
        <w:rPr>
          <w:rFonts w:hint="eastAsia"/>
        </w:rPr>
        <w:t>目前我们国内的</w:t>
      </w:r>
      <w:r w:rsidR="00790604">
        <w:rPr>
          <w:rFonts w:hint="eastAsia"/>
        </w:rPr>
        <w:t>绝大多数期刊选择的仍然是</w:t>
      </w:r>
      <w:r w:rsidR="007405A7">
        <w:rPr>
          <w:rFonts w:hint="eastAsia"/>
        </w:rPr>
        <w:t>盲审</w:t>
      </w:r>
      <w:r w:rsidR="00D21BF8">
        <w:rPr>
          <w:rFonts w:hint="eastAsia"/>
        </w:rPr>
        <w:t>，其中单盲占比</w:t>
      </w:r>
      <w:r w:rsidR="00652C7D">
        <w:rPr>
          <w:rFonts w:hint="eastAsia"/>
        </w:rPr>
        <w:t>53.02%，双盲占比41.38%</w:t>
      </w:r>
      <w:r w:rsidR="00B05841">
        <w:rPr>
          <w:rFonts w:hint="eastAsia"/>
        </w:rPr>
        <w:t>，三盲占比3.02%，</w:t>
      </w:r>
      <w:r w:rsidR="004E3A24">
        <w:rPr>
          <w:rFonts w:hint="eastAsia"/>
        </w:rPr>
        <w:t>这三者相加，总计比例超过</w:t>
      </w:r>
      <w:r w:rsidR="002E34C4">
        <w:rPr>
          <w:rFonts w:hint="eastAsia"/>
        </w:rPr>
        <w:t>97%</w:t>
      </w:r>
      <w:r w:rsidR="00131659">
        <w:rPr>
          <w:rFonts w:hint="eastAsia"/>
        </w:rPr>
        <w:t>。而采用</w:t>
      </w:r>
      <w:r w:rsidR="004978F7">
        <w:rPr>
          <w:rFonts w:hint="eastAsia"/>
        </w:rPr>
        <w:t>开放评议模式或混合模式的</w:t>
      </w:r>
      <w:r w:rsidR="00237BCE">
        <w:rPr>
          <w:rFonts w:hint="eastAsia"/>
        </w:rPr>
        <w:t>期刊比例则非常低，</w:t>
      </w:r>
      <w:r w:rsidR="00F05BC4">
        <w:rPr>
          <w:rFonts w:hint="eastAsia"/>
        </w:rPr>
        <w:t>仅占2.58%</w:t>
      </w:r>
      <w:r w:rsidR="00905137">
        <w:rPr>
          <w:rFonts w:hint="eastAsia"/>
        </w:rPr>
        <w:t>。</w:t>
      </w:r>
      <w:r w:rsidR="00A03ADD">
        <w:rPr>
          <w:rFonts w:hint="eastAsia"/>
        </w:rPr>
        <w:t>那么从这张饼状图中，我可以得出一个这样的结论，</w:t>
      </w:r>
      <w:r w:rsidR="00B63B28">
        <w:rPr>
          <w:rFonts w:hint="eastAsia"/>
        </w:rPr>
        <w:t>目前盲审仍是国内科技文献期刊同行评议的主流方式</w:t>
      </w:r>
      <w:r w:rsidR="00EA54A2">
        <w:rPr>
          <w:rFonts w:hint="eastAsia"/>
        </w:rPr>
        <w:t>。</w:t>
      </w:r>
      <w:r w:rsidR="00080CDC">
        <w:rPr>
          <w:rFonts w:hint="eastAsia"/>
        </w:rPr>
        <w:t>这是我们国内的同行评议现状</w:t>
      </w:r>
      <w:r w:rsidR="00146481">
        <w:rPr>
          <w:rFonts w:hint="eastAsia"/>
        </w:rPr>
        <w:t>。那么接下来让我们看看国外的情况</w:t>
      </w:r>
      <w:r w:rsidR="00492F39">
        <w:rPr>
          <w:rFonts w:hint="eastAsia"/>
        </w:rPr>
        <w:t>。</w:t>
      </w:r>
    </w:p>
    <w:p w14:paraId="5A5601CC" w14:textId="4AB157F6" w:rsidR="00921B2A" w:rsidRDefault="00921B2A">
      <w:r>
        <w:rPr>
          <w:rFonts w:hint="eastAsia"/>
        </w:rPr>
        <w:t>根据</w:t>
      </w:r>
      <w:r w:rsidR="007A39B0" w:rsidRPr="007A39B0">
        <w:t xml:space="preserve">McGillivray </w:t>
      </w:r>
      <w:r w:rsidR="00BD5D78">
        <w:rPr>
          <w:rFonts w:hint="eastAsia"/>
        </w:rPr>
        <w:t>等人对</w:t>
      </w:r>
      <w:r w:rsidR="009204F0">
        <w:rPr>
          <w:rFonts w:hint="eastAsia"/>
        </w:rPr>
        <w:t>2015年</w:t>
      </w:r>
      <w:r w:rsidR="007F60EB">
        <w:rPr>
          <w:rFonts w:hint="eastAsia"/>
        </w:rPr>
        <w:t>到</w:t>
      </w:r>
      <w:r w:rsidR="0048224B" w:rsidRPr="0048224B">
        <w:t>2017</w:t>
      </w:r>
      <w:r w:rsidR="0048224B" w:rsidRPr="0048224B">
        <w:rPr>
          <w:rFonts w:hint="eastAsia"/>
        </w:rPr>
        <w:t>年</w:t>
      </w:r>
      <w:r w:rsidR="0075556B">
        <w:rPr>
          <w:rFonts w:hint="eastAsia"/>
        </w:rPr>
        <w:t>间</w:t>
      </w:r>
      <w:r w:rsidR="0048224B" w:rsidRPr="0048224B">
        <w:rPr>
          <w:rFonts w:hint="eastAsia"/>
        </w:rPr>
        <w:t>《Nature》及其旗下子刊发表的</w:t>
      </w:r>
      <w:r w:rsidR="0048224B" w:rsidRPr="0048224B">
        <w:rPr>
          <w:b/>
          <w:bCs/>
        </w:rPr>
        <w:t>12</w:t>
      </w:r>
      <w:r w:rsidR="0048224B" w:rsidRPr="0048224B">
        <w:rPr>
          <w:rFonts w:hint="eastAsia"/>
          <w:b/>
          <w:bCs/>
        </w:rPr>
        <w:t>万</w:t>
      </w:r>
      <w:r w:rsidR="0048224B" w:rsidRPr="0048224B">
        <w:rPr>
          <w:b/>
          <w:bCs/>
        </w:rPr>
        <w:t>8454</w:t>
      </w:r>
      <w:r w:rsidR="0048224B" w:rsidRPr="0048224B">
        <w:rPr>
          <w:rFonts w:hint="eastAsia"/>
        </w:rPr>
        <w:t>篇文章进行</w:t>
      </w:r>
      <w:r w:rsidR="00132464">
        <w:rPr>
          <w:rFonts w:hint="eastAsia"/>
        </w:rPr>
        <w:t>的</w:t>
      </w:r>
      <w:r w:rsidR="0048224B" w:rsidRPr="0048224B">
        <w:rPr>
          <w:rFonts w:hint="eastAsia"/>
        </w:rPr>
        <w:t>同行评</w:t>
      </w:r>
      <w:r w:rsidR="00124633">
        <w:rPr>
          <w:rFonts w:hint="eastAsia"/>
        </w:rPr>
        <w:t>议</w:t>
      </w:r>
      <w:r w:rsidR="0048224B" w:rsidRPr="0048224B">
        <w:rPr>
          <w:rFonts w:hint="eastAsia"/>
        </w:rPr>
        <w:t>研究</w:t>
      </w:r>
      <w:r w:rsidR="00C44F54">
        <w:rPr>
          <w:rFonts w:hint="eastAsia"/>
        </w:rPr>
        <w:t>，</w:t>
      </w:r>
      <w:r w:rsidR="0058200A">
        <w:rPr>
          <w:rFonts w:hint="eastAsia"/>
        </w:rPr>
        <w:t>单盲审稿93742篇</w:t>
      </w:r>
      <w:r w:rsidR="00427148">
        <w:rPr>
          <w:rFonts w:hint="eastAsia"/>
        </w:rPr>
        <w:t>，占总文献的73%</w:t>
      </w:r>
      <w:r w:rsidR="00C32F25">
        <w:rPr>
          <w:rFonts w:hint="eastAsia"/>
        </w:rPr>
        <w:t>，而双盲审稿</w:t>
      </w:r>
      <w:r w:rsidR="00087FEC">
        <w:rPr>
          <w:rFonts w:hint="eastAsia"/>
        </w:rPr>
        <w:t>约占总文献10%</w:t>
      </w:r>
      <w:r w:rsidR="007E6B76">
        <w:rPr>
          <w:rFonts w:hint="eastAsia"/>
        </w:rPr>
        <w:t>，</w:t>
      </w:r>
      <w:r w:rsidR="00B342C2">
        <w:rPr>
          <w:rFonts w:hint="eastAsia"/>
        </w:rPr>
        <w:t>那么由此我们可</w:t>
      </w:r>
      <w:r w:rsidR="00F02FFA">
        <w:rPr>
          <w:rFonts w:hint="eastAsia"/>
        </w:rPr>
        <w:t>推断得出</w:t>
      </w:r>
      <w:r w:rsidR="00F259A4">
        <w:rPr>
          <w:rFonts w:hint="eastAsia"/>
        </w:rPr>
        <w:t>目前</w:t>
      </w:r>
      <w:r w:rsidR="004E7A6D">
        <w:rPr>
          <w:rFonts w:hint="eastAsia"/>
        </w:rPr>
        <w:t>盲审</w:t>
      </w:r>
      <w:r w:rsidR="008D5616">
        <w:rPr>
          <w:rFonts w:hint="eastAsia"/>
        </w:rPr>
        <w:t>是国内外</w:t>
      </w:r>
      <w:r w:rsidR="0005783D">
        <w:rPr>
          <w:rFonts w:hint="eastAsia"/>
        </w:rPr>
        <w:t>科技期刊同行评议的主流方式</w:t>
      </w:r>
      <w:r w:rsidR="009C175A">
        <w:rPr>
          <w:rFonts w:hint="eastAsia"/>
        </w:rPr>
        <w:t>，</w:t>
      </w:r>
      <w:r w:rsidR="000466AC">
        <w:rPr>
          <w:rFonts w:hint="eastAsia"/>
        </w:rPr>
        <w:t>而像开放同行评</w:t>
      </w:r>
      <w:r w:rsidR="008A0C21">
        <w:rPr>
          <w:rFonts w:hint="eastAsia"/>
        </w:rPr>
        <w:t>议</w:t>
      </w:r>
      <w:r w:rsidR="00D87718">
        <w:rPr>
          <w:rFonts w:hint="eastAsia"/>
        </w:rPr>
        <w:t>采用的比例则非常低</w:t>
      </w:r>
      <w:r w:rsidR="008A0451">
        <w:rPr>
          <w:rFonts w:hint="eastAsia"/>
        </w:rPr>
        <w:t>。</w:t>
      </w:r>
    </w:p>
    <w:p w14:paraId="471509E4" w14:textId="3BF48948" w:rsidR="002C6A12" w:rsidRDefault="002C6A12">
      <w:r>
        <w:rPr>
          <w:rFonts w:hint="eastAsia"/>
        </w:rPr>
        <w:t>那么</w:t>
      </w:r>
      <w:r w:rsidR="003B64D4">
        <w:rPr>
          <w:rFonts w:hint="eastAsia"/>
        </w:rPr>
        <w:t>根据查阅资料，我们可以得</w:t>
      </w:r>
      <w:r w:rsidR="00D90659">
        <w:rPr>
          <w:rFonts w:hint="eastAsia"/>
        </w:rPr>
        <w:t>到包括盲审在内的同行评议</w:t>
      </w:r>
      <w:r w:rsidR="00AE16EA">
        <w:rPr>
          <w:rFonts w:hint="eastAsia"/>
        </w:rPr>
        <w:t>有以下几点优点</w:t>
      </w:r>
    </w:p>
    <w:p w14:paraId="5EA347DB" w14:textId="21BE5179" w:rsidR="00110F3A" w:rsidRPr="00110F3A" w:rsidRDefault="00E44C56" w:rsidP="00110F3A">
      <w:r>
        <w:rPr>
          <w:rFonts w:hint="eastAsia"/>
        </w:rPr>
        <w:t>1.</w:t>
      </w:r>
      <w:r w:rsidR="00110F3A" w:rsidRPr="00110F3A">
        <w:rPr>
          <w:rFonts w:hint="eastAsia"/>
          <w:b/>
          <w:bCs/>
        </w:rPr>
        <w:t>维持科学交流和传播水准</w:t>
      </w:r>
    </w:p>
    <w:p w14:paraId="390876B3" w14:textId="6542539A" w:rsidR="00110F3A" w:rsidRPr="00110F3A" w:rsidRDefault="00110F3A" w:rsidP="00110F3A">
      <w:r>
        <w:rPr>
          <w:rFonts w:hint="eastAsia"/>
          <w:b/>
          <w:bCs/>
        </w:rPr>
        <w:t>2.</w:t>
      </w:r>
      <w:r w:rsidRPr="00110F3A">
        <w:rPr>
          <w:rFonts w:hint="eastAsia"/>
          <w:b/>
          <w:bCs/>
        </w:rPr>
        <w:t>维持和提高科技工作的质量和进步</w:t>
      </w:r>
    </w:p>
    <w:p w14:paraId="14BE7836" w14:textId="5F2187D0" w:rsidR="00110F3A" w:rsidRPr="00110F3A" w:rsidRDefault="00D04088" w:rsidP="00D04088">
      <w:r>
        <w:rPr>
          <w:rFonts w:hint="eastAsia"/>
          <w:b/>
          <w:bCs/>
        </w:rPr>
        <w:t>3.</w:t>
      </w:r>
      <w:r w:rsidR="00110F3A" w:rsidRPr="00110F3A">
        <w:rPr>
          <w:rFonts w:hint="eastAsia"/>
          <w:b/>
          <w:bCs/>
        </w:rPr>
        <w:t>对提高学术期刊的整体发展水平大有裨益</w:t>
      </w:r>
    </w:p>
    <w:p w14:paraId="6A167885" w14:textId="3B63CB20" w:rsidR="00110F3A" w:rsidRPr="00110F3A" w:rsidRDefault="00E17FEC" w:rsidP="00E17FEC">
      <w:r>
        <w:rPr>
          <w:rFonts w:hint="eastAsia"/>
        </w:rPr>
        <w:t>4.</w:t>
      </w:r>
      <w:r w:rsidR="00110F3A" w:rsidRPr="00110F3A">
        <w:rPr>
          <w:rFonts w:hint="eastAsia"/>
        </w:rPr>
        <w:t>很大程度上保证了对科技劳动结果的价值确认、分配稀资源等方面的</w:t>
      </w:r>
      <w:r w:rsidR="00110F3A" w:rsidRPr="00110F3A">
        <w:rPr>
          <w:rFonts w:hint="eastAsia"/>
          <w:b/>
          <w:bCs/>
        </w:rPr>
        <w:t>相对公正性和客观性</w:t>
      </w:r>
      <w:r w:rsidR="00110F3A" w:rsidRPr="00110F3A">
        <w:rPr>
          <w:rFonts w:hint="eastAsia"/>
        </w:rPr>
        <w:t>。</w:t>
      </w:r>
    </w:p>
    <w:p w14:paraId="31BA7822" w14:textId="0E5349DA" w:rsidR="00E44C56" w:rsidRDefault="00E44C56"/>
    <w:p w14:paraId="059396DB" w14:textId="77777777" w:rsidR="0099778B" w:rsidRDefault="008E36E9" w:rsidP="00D15443">
      <w:r>
        <w:rPr>
          <w:rFonts w:hint="eastAsia"/>
        </w:rPr>
        <w:t>而盲审也有它自己的弊端，此处呢，我们就不再详细介绍，</w:t>
      </w:r>
      <w:r w:rsidR="006E1A97">
        <w:rPr>
          <w:rFonts w:hint="eastAsia"/>
        </w:rPr>
        <w:t>接下来我们就来聊一下开放</w:t>
      </w:r>
      <w:r w:rsidR="00F845C8">
        <w:rPr>
          <w:rFonts w:hint="eastAsia"/>
        </w:rPr>
        <w:t>同行评审</w:t>
      </w:r>
      <w:r w:rsidR="00E941DF">
        <w:rPr>
          <w:rFonts w:hint="eastAsia"/>
        </w:rPr>
        <w:t>。</w:t>
      </w:r>
      <w:r w:rsidR="007B3925">
        <w:rPr>
          <w:rFonts w:hint="eastAsia"/>
        </w:rPr>
        <w:t>开放同行评审出现于20世纪末（1999年）</w:t>
      </w:r>
      <w:r w:rsidR="00847819">
        <w:rPr>
          <w:rFonts w:hint="eastAsia"/>
        </w:rPr>
        <w:t>，</w:t>
      </w:r>
      <w:r w:rsidR="00DA3765">
        <w:rPr>
          <w:rFonts w:hint="eastAsia"/>
        </w:rPr>
        <w:t>根据</w:t>
      </w:r>
      <w:r w:rsidR="00D15443">
        <w:rPr>
          <w:rFonts w:hint="eastAsia"/>
        </w:rPr>
        <w:t>根据其开放程度不同大致可归为以下</w:t>
      </w:r>
      <w:r w:rsidR="00C32C9A">
        <w:rPr>
          <w:rFonts w:hint="eastAsia"/>
        </w:rPr>
        <w:t>三</w:t>
      </w:r>
      <w:r w:rsidR="00D15443">
        <w:rPr>
          <w:rFonts w:hint="eastAsia"/>
        </w:rPr>
        <w:t>种形式</w:t>
      </w:r>
      <w:r w:rsidR="00D15443">
        <w:t>:</w:t>
      </w:r>
    </w:p>
    <w:p w14:paraId="7DF9D62B" w14:textId="77777777" w:rsidR="0099778B" w:rsidRDefault="00D15443" w:rsidP="00D15443">
      <w:r>
        <w:t>1)署名评审，指将附有审稿人署名的评审意见发</w:t>
      </w:r>
      <w:r>
        <w:rPr>
          <w:rFonts w:hint="eastAsia"/>
        </w:rPr>
        <w:t>给作者或与稿件一同发表</w:t>
      </w:r>
      <w:r>
        <w:t>;</w:t>
      </w:r>
    </w:p>
    <w:p w14:paraId="5B62D53A" w14:textId="77777777" w:rsidR="0099778B" w:rsidRDefault="00D15443" w:rsidP="00D15443">
      <w:r>
        <w:t>2)公开身份评审，指审稿</w:t>
      </w:r>
      <w:r>
        <w:rPr>
          <w:rFonts w:hint="eastAsia"/>
        </w:rPr>
        <w:t>人和作者在评审过程中互相知晓对方身份，能够就评审进行讨论或对话</w:t>
      </w:r>
      <w:r>
        <w:t>;</w:t>
      </w:r>
    </w:p>
    <w:p w14:paraId="62ACA697" w14:textId="749A37FD" w:rsidR="00D15443" w:rsidRDefault="00D15443" w:rsidP="00D15443">
      <w:r>
        <w:t>3)完全透明评审，指评审对某个</w:t>
      </w:r>
      <w:r>
        <w:rPr>
          <w:rFonts w:hint="eastAsia"/>
        </w:rPr>
        <w:t>特定群体或公众完全公开，审稿人的身份对作者和公</w:t>
      </w:r>
    </w:p>
    <w:p w14:paraId="2C44F761" w14:textId="799AF6B2" w:rsidR="00C851CE" w:rsidRDefault="00D15443" w:rsidP="00D15443">
      <w:r>
        <w:rPr>
          <w:rFonts w:hint="eastAsia"/>
        </w:rPr>
        <w:t>众公开，同时审稿人也知晓作者身份，审稿意见及作者对审稿意见的回复也对公众可见</w:t>
      </w:r>
      <w:r>
        <w:t xml:space="preserve"> </w:t>
      </w:r>
    </w:p>
    <w:p w14:paraId="48F708B1" w14:textId="034B46CE" w:rsidR="0099778B" w:rsidRDefault="0099778B" w:rsidP="00D15443">
      <w:r>
        <w:rPr>
          <w:rFonts w:hint="eastAsia"/>
        </w:rPr>
        <w:t>那么它最主要的特点呢就是公开审稿人的评审意见</w:t>
      </w:r>
    </w:p>
    <w:p w14:paraId="79E80720" w14:textId="60D54BB5" w:rsidR="003F26C8" w:rsidRDefault="00764A79" w:rsidP="00D15443">
      <w:pPr>
        <w:rPr>
          <w:color w:val="000000"/>
          <w:szCs w:val="21"/>
          <w:shd w:val="clear" w:color="auto" w:fill="F8F9F4"/>
        </w:rPr>
      </w:pPr>
      <w:r>
        <w:rPr>
          <w:rFonts w:hint="eastAsia"/>
        </w:rPr>
        <w:t>这些年来，</w:t>
      </w:r>
      <w:r w:rsidR="002436C0">
        <w:rPr>
          <w:rFonts w:hint="eastAsia"/>
        </w:rPr>
        <w:t>一些期刊和出版平台都陆续开始</w:t>
      </w:r>
      <w:r w:rsidR="00642872">
        <w:rPr>
          <w:rFonts w:hint="eastAsia"/>
        </w:rPr>
        <w:t>发表审稿意见</w:t>
      </w:r>
      <w:r w:rsidR="003E1711">
        <w:rPr>
          <w:rFonts w:hint="eastAsia"/>
        </w:rPr>
        <w:t>，</w:t>
      </w:r>
      <w:r w:rsidR="008A269F">
        <w:rPr>
          <w:rFonts w:hint="eastAsia"/>
        </w:rPr>
        <w:t>那么在</w:t>
      </w:r>
      <w:r w:rsidR="00A23E40">
        <w:rPr>
          <w:rFonts w:hint="eastAsia"/>
        </w:rPr>
        <w:t>2020年英国当地时间</w:t>
      </w:r>
      <w:r w:rsidR="008E09C5">
        <w:rPr>
          <w:rFonts w:hint="eastAsia"/>
        </w:rPr>
        <w:t>2月5日</w:t>
      </w:r>
      <w:r w:rsidR="00CC7FA0">
        <w:rPr>
          <w:rFonts w:hint="eastAsia"/>
        </w:rPr>
        <w:t>，</w:t>
      </w:r>
      <w:r w:rsidR="00896949">
        <w:rPr>
          <w:rFonts w:hint="eastAsia"/>
        </w:rPr>
        <w:t>Nature</w:t>
      </w:r>
      <w:r w:rsidR="00896949">
        <w:rPr>
          <w:rFonts w:hint="eastAsia"/>
          <w:color w:val="000000"/>
          <w:szCs w:val="21"/>
          <w:shd w:val="clear" w:color="auto" w:fill="F8F9F4"/>
        </w:rPr>
        <w:t>杂志发表社论文章，宣布</w:t>
      </w:r>
      <w:r w:rsidR="00B50A42">
        <w:rPr>
          <w:rFonts w:hint="eastAsia"/>
          <w:color w:val="000000"/>
          <w:szCs w:val="21"/>
          <w:shd w:val="clear" w:color="auto" w:fill="F8F9F4"/>
        </w:rPr>
        <w:t>Nature</w:t>
      </w:r>
      <w:r w:rsidR="00896949">
        <w:rPr>
          <w:rFonts w:hint="eastAsia"/>
          <w:color w:val="000000"/>
          <w:szCs w:val="21"/>
          <w:shd w:val="clear" w:color="auto" w:fill="F8F9F4"/>
        </w:rPr>
        <w:t>将尝试公开审稿意见。</w:t>
      </w:r>
    </w:p>
    <w:p w14:paraId="19F436DC" w14:textId="002817BC" w:rsidR="0045028B" w:rsidRDefault="0045028B" w:rsidP="00D15443">
      <w:pPr>
        <w:rPr>
          <w:color w:val="000000"/>
          <w:szCs w:val="21"/>
          <w:shd w:val="clear" w:color="auto" w:fill="F8F9F4"/>
        </w:rPr>
      </w:pPr>
      <w:r>
        <w:rPr>
          <w:rFonts w:hint="eastAsia"/>
          <w:color w:val="000000"/>
          <w:szCs w:val="21"/>
          <w:shd w:val="clear" w:color="auto" w:fill="F8F9F4"/>
        </w:rPr>
        <w:t>那么公开同行评审与</w:t>
      </w:r>
      <w:r w:rsidR="00D7366E">
        <w:rPr>
          <w:rFonts w:hint="eastAsia"/>
          <w:color w:val="000000"/>
          <w:szCs w:val="21"/>
          <w:shd w:val="clear" w:color="auto" w:fill="F8F9F4"/>
        </w:rPr>
        <w:t>盲审相比，</w:t>
      </w:r>
      <w:r w:rsidR="002B5608">
        <w:rPr>
          <w:rFonts w:hint="eastAsia"/>
          <w:color w:val="000000"/>
          <w:szCs w:val="21"/>
          <w:shd w:val="clear" w:color="auto" w:fill="F8F9F4"/>
        </w:rPr>
        <w:t>这几点</w:t>
      </w:r>
      <w:r w:rsidR="000467D6">
        <w:rPr>
          <w:rFonts w:hint="eastAsia"/>
          <w:color w:val="000000"/>
          <w:szCs w:val="21"/>
          <w:shd w:val="clear" w:color="auto" w:fill="F8F9F4"/>
        </w:rPr>
        <w:t>好处</w:t>
      </w:r>
      <w:r w:rsidR="007C6DBD">
        <w:rPr>
          <w:rFonts w:hint="eastAsia"/>
          <w:color w:val="000000"/>
          <w:szCs w:val="21"/>
          <w:shd w:val="clear" w:color="auto" w:fill="F8F9F4"/>
        </w:rPr>
        <w:t>更为明显</w:t>
      </w:r>
    </w:p>
    <w:p w14:paraId="213E9486" w14:textId="0E4A8719" w:rsidR="00F23DE5" w:rsidRPr="00F23DE5" w:rsidRDefault="00A03601" w:rsidP="00A03601">
      <w:r>
        <w:rPr>
          <w:rFonts w:hint="eastAsia"/>
          <w:b/>
          <w:bCs/>
        </w:rPr>
        <w:t>1.</w:t>
      </w:r>
      <w:r w:rsidR="00F23DE5" w:rsidRPr="00F23DE5">
        <w:rPr>
          <w:rFonts w:hint="eastAsia"/>
          <w:b/>
          <w:bCs/>
        </w:rPr>
        <w:t>提升论文质量，减少学术不端行为</w:t>
      </w:r>
    </w:p>
    <w:p w14:paraId="78D49F1C" w14:textId="5A3C1157" w:rsidR="00F23DE5" w:rsidRPr="00F23DE5" w:rsidRDefault="00A03601" w:rsidP="00A03601">
      <w:r>
        <w:rPr>
          <w:rFonts w:hint="eastAsia"/>
          <w:b/>
          <w:bCs/>
        </w:rPr>
        <w:t>2.</w:t>
      </w:r>
      <w:r w:rsidR="00F23DE5" w:rsidRPr="00F23DE5">
        <w:rPr>
          <w:rFonts w:hint="eastAsia"/>
          <w:b/>
          <w:bCs/>
        </w:rPr>
        <w:t>有效避免审稿人的责任滥用及问责问题</w:t>
      </w:r>
    </w:p>
    <w:p w14:paraId="0FE8EB7D" w14:textId="2FADCBE4" w:rsidR="00F23DE5" w:rsidRPr="00F23DE5" w:rsidRDefault="00A03601" w:rsidP="00A03601">
      <w:r>
        <w:rPr>
          <w:rFonts w:hint="eastAsia"/>
          <w:b/>
          <w:bCs/>
        </w:rPr>
        <w:t>3.</w:t>
      </w:r>
      <w:r w:rsidR="00F23DE5" w:rsidRPr="00F23DE5">
        <w:rPr>
          <w:rFonts w:hint="eastAsia"/>
          <w:b/>
          <w:bCs/>
        </w:rPr>
        <w:t>创造学术对话，促进知识交流</w:t>
      </w:r>
    </w:p>
    <w:p w14:paraId="759EC6B1" w14:textId="29C7418D" w:rsidR="00F23DE5" w:rsidRPr="00F23DE5" w:rsidRDefault="00A03601" w:rsidP="00A03601">
      <w:r>
        <w:rPr>
          <w:rFonts w:hint="eastAsia"/>
          <w:b/>
          <w:bCs/>
        </w:rPr>
        <w:t>4.</w:t>
      </w:r>
      <w:r w:rsidR="00F23DE5" w:rsidRPr="00F23DE5">
        <w:rPr>
          <w:rFonts w:hint="eastAsia"/>
          <w:b/>
          <w:bCs/>
        </w:rPr>
        <w:t>激发高质量、有建设性的审稿意见</w:t>
      </w:r>
    </w:p>
    <w:p w14:paraId="67395B8D" w14:textId="68F0314B" w:rsidR="00F23DE5" w:rsidRPr="00F23DE5" w:rsidRDefault="00A03601" w:rsidP="00A03601">
      <w:r>
        <w:rPr>
          <w:rFonts w:hint="eastAsia"/>
          <w:b/>
          <w:bCs/>
        </w:rPr>
        <w:t>5.</w:t>
      </w:r>
      <w:r w:rsidR="00F23DE5" w:rsidRPr="00F23DE5">
        <w:rPr>
          <w:rFonts w:hint="eastAsia"/>
          <w:b/>
          <w:bCs/>
        </w:rPr>
        <w:t>提升同行评议的系统研究</w:t>
      </w:r>
    </w:p>
    <w:p w14:paraId="5A9C6FF4" w14:textId="172E97A1" w:rsidR="00F23DE5" w:rsidRPr="00F23DE5" w:rsidRDefault="001B026B" w:rsidP="00D15443">
      <w:pPr>
        <w:rPr>
          <w:rFonts w:hint="eastAsia"/>
        </w:rPr>
      </w:pPr>
      <w:r>
        <w:rPr>
          <w:rFonts w:hint="eastAsia"/>
        </w:rPr>
        <w:t>如果能使得盲审与公开同行评审有机结合</w:t>
      </w:r>
      <w:r w:rsidR="008169D4">
        <w:rPr>
          <w:rFonts w:hint="eastAsia"/>
        </w:rPr>
        <w:t>，取长补短，相信同行</w:t>
      </w:r>
      <w:r w:rsidR="00736FFD">
        <w:rPr>
          <w:rFonts w:hint="eastAsia"/>
        </w:rPr>
        <w:t>评议能更好地促进</w:t>
      </w:r>
      <w:r w:rsidR="00CD0995">
        <w:rPr>
          <w:rFonts w:hint="eastAsia"/>
        </w:rPr>
        <w:t>科学的发展</w:t>
      </w:r>
      <w:r w:rsidR="00CB7A7B">
        <w:rPr>
          <w:rFonts w:hint="eastAsia"/>
        </w:rPr>
        <w:t>。</w:t>
      </w:r>
    </w:p>
    <w:sectPr w:rsidR="00F23DE5" w:rsidRPr="00F2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03C6"/>
    <w:multiLevelType w:val="hybridMultilevel"/>
    <w:tmpl w:val="E7D0C778"/>
    <w:lvl w:ilvl="0" w:tplc="E36083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21A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A6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22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E8A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8EB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38D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2EE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824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7493"/>
    <w:multiLevelType w:val="hybridMultilevel"/>
    <w:tmpl w:val="117E5D1A"/>
    <w:lvl w:ilvl="0" w:tplc="371ED2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696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D6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C6D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880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E23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6B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2A7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2E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0C"/>
    <w:rsid w:val="00004DC3"/>
    <w:rsid w:val="000466AC"/>
    <w:rsid w:val="000467D6"/>
    <w:rsid w:val="00054303"/>
    <w:rsid w:val="0005783D"/>
    <w:rsid w:val="00080CDC"/>
    <w:rsid w:val="00087FEC"/>
    <w:rsid w:val="000B251F"/>
    <w:rsid w:val="000D68AA"/>
    <w:rsid w:val="00110F3A"/>
    <w:rsid w:val="00124633"/>
    <w:rsid w:val="00131659"/>
    <w:rsid w:val="00132464"/>
    <w:rsid w:val="00142CD5"/>
    <w:rsid w:val="00146481"/>
    <w:rsid w:val="0017170D"/>
    <w:rsid w:val="001B026B"/>
    <w:rsid w:val="001C506B"/>
    <w:rsid w:val="001F3C89"/>
    <w:rsid w:val="002246F8"/>
    <w:rsid w:val="00237BCE"/>
    <w:rsid w:val="002436C0"/>
    <w:rsid w:val="002702D3"/>
    <w:rsid w:val="002B5608"/>
    <w:rsid w:val="002C6A12"/>
    <w:rsid w:val="002E34C4"/>
    <w:rsid w:val="0033655E"/>
    <w:rsid w:val="0039339A"/>
    <w:rsid w:val="003B64D4"/>
    <w:rsid w:val="003E1711"/>
    <w:rsid w:val="003F26C8"/>
    <w:rsid w:val="00427148"/>
    <w:rsid w:val="0045028B"/>
    <w:rsid w:val="00465BFD"/>
    <w:rsid w:val="004811C2"/>
    <w:rsid w:val="0048224B"/>
    <w:rsid w:val="00492F39"/>
    <w:rsid w:val="004978F7"/>
    <w:rsid w:val="004A7947"/>
    <w:rsid w:val="004B7421"/>
    <w:rsid w:val="004E3A24"/>
    <w:rsid w:val="004E4E27"/>
    <w:rsid w:val="004E7A6D"/>
    <w:rsid w:val="005602E8"/>
    <w:rsid w:val="0058200A"/>
    <w:rsid w:val="005851ED"/>
    <w:rsid w:val="0060097D"/>
    <w:rsid w:val="00642872"/>
    <w:rsid w:val="00652C7D"/>
    <w:rsid w:val="006E1A97"/>
    <w:rsid w:val="006E7B05"/>
    <w:rsid w:val="00736FFD"/>
    <w:rsid w:val="007405A7"/>
    <w:rsid w:val="00744B61"/>
    <w:rsid w:val="0075556B"/>
    <w:rsid w:val="00764A79"/>
    <w:rsid w:val="00790604"/>
    <w:rsid w:val="007A39B0"/>
    <w:rsid w:val="007B3925"/>
    <w:rsid w:val="007C6DBD"/>
    <w:rsid w:val="007E6B76"/>
    <w:rsid w:val="007F60EB"/>
    <w:rsid w:val="007F66F5"/>
    <w:rsid w:val="008169D4"/>
    <w:rsid w:val="00847819"/>
    <w:rsid w:val="00896949"/>
    <w:rsid w:val="008A0451"/>
    <w:rsid w:val="008A0C21"/>
    <w:rsid w:val="008A269F"/>
    <w:rsid w:val="008D34D0"/>
    <w:rsid w:val="008D4248"/>
    <w:rsid w:val="008D5616"/>
    <w:rsid w:val="008E09C5"/>
    <w:rsid w:val="008E36E9"/>
    <w:rsid w:val="00905137"/>
    <w:rsid w:val="009204F0"/>
    <w:rsid w:val="00921B2A"/>
    <w:rsid w:val="00963DA2"/>
    <w:rsid w:val="0099778B"/>
    <w:rsid w:val="009B3F9A"/>
    <w:rsid w:val="009C175A"/>
    <w:rsid w:val="00A03601"/>
    <w:rsid w:val="00A03ADD"/>
    <w:rsid w:val="00A1610C"/>
    <w:rsid w:val="00A23E40"/>
    <w:rsid w:val="00A37B5B"/>
    <w:rsid w:val="00A433F6"/>
    <w:rsid w:val="00A80656"/>
    <w:rsid w:val="00AD54AD"/>
    <w:rsid w:val="00AE16EA"/>
    <w:rsid w:val="00B05841"/>
    <w:rsid w:val="00B342C2"/>
    <w:rsid w:val="00B50A42"/>
    <w:rsid w:val="00B54EA5"/>
    <w:rsid w:val="00B63AEE"/>
    <w:rsid w:val="00B63B28"/>
    <w:rsid w:val="00BD5D78"/>
    <w:rsid w:val="00C012A2"/>
    <w:rsid w:val="00C06F2F"/>
    <w:rsid w:val="00C22BCC"/>
    <w:rsid w:val="00C32C9A"/>
    <w:rsid w:val="00C32F25"/>
    <w:rsid w:val="00C44F54"/>
    <w:rsid w:val="00C851CE"/>
    <w:rsid w:val="00CB7A7B"/>
    <w:rsid w:val="00CC7FA0"/>
    <w:rsid w:val="00CD0995"/>
    <w:rsid w:val="00CD5FFC"/>
    <w:rsid w:val="00CE7FDF"/>
    <w:rsid w:val="00D04088"/>
    <w:rsid w:val="00D15443"/>
    <w:rsid w:val="00D21BF8"/>
    <w:rsid w:val="00D7366E"/>
    <w:rsid w:val="00D87718"/>
    <w:rsid w:val="00D90659"/>
    <w:rsid w:val="00D943D7"/>
    <w:rsid w:val="00DA3765"/>
    <w:rsid w:val="00DD6F9B"/>
    <w:rsid w:val="00E17FEC"/>
    <w:rsid w:val="00E44C56"/>
    <w:rsid w:val="00E53E44"/>
    <w:rsid w:val="00E941DF"/>
    <w:rsid w:val="00EA54A2"/>
    <w:rsid w:val="00EC0F63"/>
    <w:rsid w:val="00F02FFA"/>
    <w:rsid w:val="00F05BC4"/>
    <w:rsid w:val="00F23DE5"/>
    <w:rsid w:val="00F259A4"/>
    <w:rsid w:val="00F845C8"/>
    <w:rsid w:val="00F86EBE"/>
    <w:rsid w:val="00F9061C"/>
    <w:rsid w:val="00F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0E55"/>
  <w15:chartTrackingRefBased/>
  <w15:docId w15:val="{3D8E5903-079C-4BBC-A48C-9D7958FD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F3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153</cp:revision>
  <dcterms:created xsi:type="dcterms:W3CDTF">2020-10-18T13:11:00Z</dcterms:created>
  <dcterms:modified xsi:type="dcterms:W3CDTF">2020-10-18T14:13:00Z</dcterms:modified>
</cp:coreProperties>
</file>