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6858DFB">
      <w:pPr>
        <w:jc w:val="center"/>
        <w:rPr>
          <w:rFonts w:hint="eastAsia" w:ascii="宋体" w:hAnsi="宋体" w:eastAsia="宋体"/>
          <w:spacing w:val="0"/>
          <w:w w:val="100"/>
          <w:sz w:val="44"/>
          <w:szCs w:val="80"/>
        </w:rPr>
      </w:pPr>
      <w:bookmarkStart w:id="0" w:name="_GoBack"/>
      <w:bookmarkEnd w:id="0"/>
      <w:r>
        <w:rPr>
          <w:rFonts w:hint="eastAsia" w:ascii="宋体" w:hAnsi="宋体" w:eastAsia="宋体"/>
          <w:spacing w:val="0"/>
          <w:w w:val="100"/>
          <w:sz w:val="44"/>
          <w:szCs w:val="80"/>
        </w:rPr>
        <w:t>中华人民共和国最高人民检察院</w:t>
      </w:r>
    </w:p>
    <w:p w14:paraId="1F34122A">
      <w:pPr>
        <w:jc w:val="center"/>
        <w:rPr>
          <w:rFonts w:hint="eastAsia" w:ascii="宋体" w:hAnsi="宋体" w:eastAsia="宋体"/>
          <w:w w:val="100"/>
          <w:sz w:val="44"/>
          <w:szCs w:val="80"/>
        </w:rPr>
      </w:pPr>
      <w:r>
        <w:rPr>
          <w:rFonts w:hint="eastAsia" w:ascii="宋体" w:hAnsi="宋体" w:eastAsia="宋体"/>
          <w:spacing w:val="0"/>
          <w:w w:val="100"/>
          <w:sz w:val="44"/>
          <w:szCs w:val="80"/>
        </w:rPr>
        <w:t>公    告</w:t>
      </w:r>
    </w:p>
    <w:p w14:paraId="0921ED20">
      <w:pPr>
        <w:rPr>
          <w:rFonts w:hint="eastAsia"/>
        </w:rPr>
      </w:pPr>
    </w:p>
    <w:p w14:paraId="59040670">
      <w:pPr>
        <w:rPr>
          <w:rFonts w:hint="eastAsia"/>
        </w:rPr>
      </w:pPr>
    </w:p>
    <w:p w14:paraId="7EE227A8">
      <w:pPr>
        <w:ind w:firstLine="632" w:firstLineChars="200"/>
        <w:rPr>
          <w:rFonts w:cs="Times New Roman"/>
          <w:szCs w:val="32"/>
        </w:rPr>
      </w:pPr>
      <w:r>
        <w:rPr>
          <w:rFonts w:hint="eastAsia" w:ascii="仿宋_GB2312"/>
          <w:kern w:val="0"/>
        </w:rPr>
        <w:t>《最高人民检察院关于指派、聘请有专门知识的人参与办案若干问题的规定（试行）》已经</w:t>
      </w:r>
      <w:r>
        <w:rPr>
          <w:rFonts w:cs="Times New Roman"/>
          <w:kern w:val="0"/>
        </w:rPr>
        <w:t>2018年2月</w:t>
      </w:r>
      <w:r>
        <w:rPr>
          <w:rFonts w:hint="eastAsia" w:cs="Times New Roman"/>
          <w:kern w:val="0"/>
        </w:rPr>
        <w:t>11</w:t>
      </w:r>
      <w:r>
        <w:rPr>
          <w:rFonts w:hint="eastAsia" w:ascii="仿宋_GB2312"/>
          <w:kern w:val="0"/>
        </w:rPr>
        <w:t>日最高人民检察院第十二届检察委员会第七十三次会议通过</w:t>
      </w:r>
      <w:r>
        <w:rPr>
          <w:rFonts w:cs="Times New Roman"/>
          <w:szCs w:val="32"/>
        </w:rPr>
        <w:t>，</w:t>
      </w:r>
      <w:r>
        <w:rPr>
          <w:rFonts w:hint="eastAsia" w:ascii="仿宋_GB2312" w:hAnsi="仿宋_GB2312" w:cs="仿宋_GB2312"/>
          <w:szCs w:val="32"/>
        </w:rPr>
        <w:t>现予公布，自</w:t>
      </w:r>
      <w:r>
        <w:rPr>
          <w:rFonts w:hint="eastAsia" w:cs="Times New Roman"/>
          <w:szCs w:val="32"/>
          <w:lang w:val="en-US" w:eastAsia="zh-CN"/>
        </w:rPr>
        <w:t>公布之日</w:t>
      </w:r>
      <w:r>
        <w:rPr>
          <w:rFonts w:cs="Times New Roman"/>
          <w:szCs w:val="32"/>
        </w:rPr>
        <w:t>起</w:t>
      </w:r>
      <w:r>
        <w:rPr>
          <w:rFonts w:hint="eastAsia" w:cs="Times New Roman"/>
          <w:szCs w:val="32"/>
          <w:lang w:eastAsia="zh-CN"/>
        </w:rPr>
        <w:t>试</w:t>
      </w:r>
      <w:r>
        <w:rPr>
          <w:rFonts w:cs="Times New Roman"/>
          <w:szCs w:val="32"/>
        </w:rPr>
        <w:t>行。</w:t>
      </w:r>
    </w:p>
    <w:p w14:paraId="276AFF93">
      <w:pPr>
        <w:ind w:firstLine="632" w:firstLineChars="200"/>
        <w:rPr>
          <w:rFonts w:cs="Times New Roman"/>
          <w:szCs w:val="32"/>
        </w:rPr>
      </w:pPr>
    </w:p>
    <w:p w14:paraId="27462BB6">
      <w:pPr>
        <w:ind w:firstLine="632" w:firstLineChars="200"/>
        <w:rPr>
          <w:rFonts w:cs="Times New Roman"/>
          <w:szCs w:val="32"/>
        </w:rPr>
      </w:pPr>
    </w:p>
    <w:p w14:paraId="69537B51">
      <w:pPr>
        <w:ind w:firstLine="632" w:firstLineChars="200"/>
        <w:rPr>
          <w:rFonts w:cs="Times New Roman"/>
          <w:szCs w:val="32"/>
        </w:rPr>
      </w:pPr>
    </w:p>
    <w:p w14:paraId="1B55881C">
      <w:pPr>
        <w:ind w:firstLine="632" w:firstLineChars="200"/>
        <w:rPr>
          <w:rFonts w:ascii="仿宋_GB2312" w:hAnsi="仿宋_GB2312" w:cs="仿宋_GB2312"/>
          <w:szCs w:val="32"/>
        </w:rPr>
      </w:pPr>
      <w:r>
        <w:rPr>
          <w:rFonts w:hint="eastAsia" w:ascii="仿宋_GB2312" w:hAnsi="仿宋_GB2312" w:cs="仿宋_GB2312"/>
          <w:szCs w:val="32"/>
        </w:rPr>
        <w:t xml:space="preserve">                          最 高 人 民 检 察 院</w:t>
      </w:r>
    </w:p>
    <w:p w14:paraId="3AD7BF0C">
      <w:pPr>
        <w:rPr>
          <w:rFonts w:hint="eastAsia"/>
        </w:rPr>
      </w:pPr>
      <w:r>
        <w:rPr>
          <w:rFonts w:hint="eastAsia" w:cs="Times New Roman"/>
          <w:szCs w:val="32"/>
        </w:rPr>
        <w:t xml:space="preserve">                         </w:t>
      </w:r>
      <w:r>
        <w:rPr>
          <w:rFonts w:hint="default" w:cs="Times New Roman"/>
          <w:szCs w:val="32"/>
        </w:rPr>
        <w:t xml:space="preserve"> </w:t>
      </w:r>
      <w:r>
        <w:rPr>
          <w:rFonts w:hint="eastAsia" w:cs="Times New Roman"/>
          <w:szCs w:val="32"/>
        </w:rPr>
        <w:t xml:space="preserve">       </w:t>
      </w:r>
      <w:r>
        <w:rPr>
          <w:rFonts w:cs="Times New Roman"/>
          <w:szCs w:val="32"/>
        </w:rPr>
        <w:t>201</w:t>
      </w:r>
      <w:r>
        <w:rPr>
          <w:rFonts w:hint="eastAsia" w:cs="Times New Roman"/>
          <w:szCs w:val="32"/>
        </w:rPr>
        <w:t>8</w:t>
      </w:r>
      <w:r>
        <w:rPr>
          <w:rFonts w:cs="Times New Roman"/>
          <w:szCs w:val="32"/>
        </w:rPr>
        <w:t>年</w:t>
      </w:r>
      <w:r>
        <w:rPr>
          <w:rFonts w:hint="eastAsia" w:cs="Times New Roman"/>
          <w:szCs w:val="32"/>
        </w:rPr>
        <w:t>3</w:t>
      </w:r>
      <w:r>
        <w:rPr>
          <w:rFonts w:cs="Times New Roman"/>
          <w:szCs w:val="32"/>
        </w:rPr>
        <w:t>月</w:t>
      </w:r>
      <w:r>
        <w:rPr>
          <w:rFonts w:hint="default" w:cs="Times New Roman"/>
          <w:szCs w:val="32"/>
        </w:rPr>
        <w:t>2</w:t>
      </w:r>
      <w:r>
        <w:rPr>
          <w:rFonts w:hint="eastAsia" w:cs="Times New Roman"/>
          <w:szCs w:val="32"/>
          <w:lang w:val="en-US" w:eastAsia="zh-CN"/>
        </w:rPr>
        <w:t>1</w:t>
      </w:r>
      <w:r>
        <w:rPr>
          <w:rFonts w:cs="Times New Roman"/>
          <w:szCs w:val="32"/>
        </w:rPr>
        <w:t>日</w:t>
      </w:r>
      <w:r>
        <w:rPr>
          <w:rFonts w:hint="eastAsia" w:cs="Times New Roman"/>
          <w:szCs w:val="32"/>
        </w:rPr>
        <w:t xml:space="preserve">     </w:t>
      </w:r>
      <w:r>
        <w:rPr>
          <w:rFonts w:hint="default" w:cs="Times New Roman"/>
          <w:szCs w:val="32"/>
        </w:rPr>
        <w:t xml:space="preserve">  </w:t>
      </w:r>
      <w:r>
        <w:rPr>
          <w:rFonts w:hint="eastAsia" w:cs="Times New Roman"/>
          <w:szCs w:val="32"/>
        </w:rPr>
        <w:t xml:space="preserve"> </w:t>
      </w:r>
    </w:p>
    <w:p w14:paraId="7CE6D42F">
      <w:pPr>
        <w:rPr>
          <w:rFonts w:hint="eastAsia"/>
        </w:rPr>
      </w:pPr>
    </w:p>
    <w:p w14:paraId="3A9B74EF">
      <w:pPr>
        <w:rPr>
          <w:rFonts w:hint="eastAsia"/>
        </w:rPr>
      </w:pPr>
    </w:p>
    <w:p w14:paraId="17D02C43">
      <w:pPr>
        <w:rPr>
          <w:rFonts w:hint="eastAsia" w:ascii="仿宋_GB2312" w:hAnsi="仿宋_GB2312" w:eastAsia="仿宋_GB2312"/>
          <w:color w:val="FFFFFF"/>
          <w:lang w:val="en-US" w:eastAsia="zh-CN"/>
        </w:rPr>
      </w:pPr>
      <w:r>
        <w:rPr>
          <w:rFonts w:hint="eastAsia" w:ascii="仿宋_GB2312" w:hAnsi="仿宋_GB2312" w:eastAsia="仿宋_GB2312"/>
          <w:color w:val="FFFFFF"/>
          <w:lang w:val="en-US" w:eastAsia="zh-CN"/>
        </w:rPr>
        <w:t>000001</w:t>
      </w:r>
    </w:p>
    <w:p w14:paraId="286327BA">
      <w:pPr>
        <w:rPr>
          <w:rFonts w:hint="eastAsia" w:ascii="黑体" w:hAnsi="黑体" w:eastAsia="黑体"/>
          <w:color w:val="FFFFFF"/>
          <w:lang w:val="en-US" w:eastAsia="zh-CN"/>
        </w:rPr>
      </w:pPr>
      <w:r>
        <w:rPr>
          <w:rFonts w:hint="eastAsia" w:ascii="黑体" w:hAnsi="黑体" w:eastAsia="黑体"/>
          <w:color w:val="FFFFFF"/>
          <w:lang w:val="en-US" w:eastAsia="zh-CN"/>
        </w:rPr>
        <w:t>机密★1年</w:t>
      </w:r>
    </w:p>
    <w:p w14:paraId="66687546">
      <w:pPr>
        <w:rPr>
          <w:rFonts w:hint="eastAsia" w:ascii="黑体" w:hAnsi="黑体" w:eastAsia="黑体"/>
          <w:color w:val="FFFFFF"/>
          <w:lang w:val="en-US" w:eastAsia="zh-CN"/>
        </w:rPr>
      </w:pPr>
      <w:r>
        <w:rPr>
          <w:rFonts w:hint="eastAsia" w:ascii="黑体" w:hAnsi="黑体" w:eastAsia="黑体"/>
          <w:color w:val="FFFFFF"/>
          <w:lang w:val="en-US" w:eastAsia="zh-CN"/>
        </w:rPr>
        <w:t>特急</w:t>
      </w:r>
    </w:p>
    <w:p w14:paraId="48BD992D">
      <w:pPr>
        <w:rPr>
          <w:rFonts w:hint="eastAsia"/>
        </w:rPr>
      </w:pPr>
    </w:p>
    <w:p w14:paraId="57B1B7D0">
      <w:pPr>
        <w:rPr>
          <w:rFonts w:hint="eastAsia" w:ascii="仿宋_GB2312"/>
        </w:rPr>
      </w:pPr>
    </w:p>
    <w:p w14:paraId="380E8C3B">
      <w:pPr>
        <w:rPr>
          <w:rFonts w:hint="eastAsia"/>
        </w:rPr>
      </w:pPr>
    </w:p>
    <w:p w14:paraId="14496C13">
      <w:pPr>
        <w:rPr>
          <w:rFonts w:hint="eastAsia"/>
        </w:rPr>
      </w:pPr>
    </w:p>
    <w:p w14:paraId="6BDC78CF">
      <w:pPr>
        <w:spacing w:line="600" w:lineRule="exact"/>
        <w:jc w:val="both"/>
        <w:rPr>
          <w:rFonts w:hint="eastAsia" w:ascii="方正小标宋_GBK" w:hAnsi="方正小标宋_GBK" w:eastAsia="方正小标宋_GBK" w:cs="宋体"/>
          <w:sz w:val="44"/>
          <w:szCs w:val="44"/>
        </w:rPr>
      </w:pPr>
    </w:p>
    <w:p w14:paraId="6586BDBE">
      <w:pPr>
        <w:spacing w:line="600" w:lineRule="exact"/>
        <w:jc w:val="center"/>
        <w:rPr>
          <w:rFonts w:hint="eastAsia" w:ascii="宋体" w:hAnsi="宋体" w:eastAsia="宋体" w:cs="宋体"/>
          <w:sz w:val="44"/>
          <w:szCs w:val="44"/>
        </w:rPr>
      </w:pPr>
      <w:r>
        <w:rPr>
          <w:rFonts w:hint="eastAsia" w:ascii="宋体" w:hAnsi="宋体" w:eastAsia="宋体" w:cs="宋体"/>
          <w:sz w:val="44"/>
          <w:szCs w:val="44"/>
        </w:rPr>
        <w:t>最高人民检察院关于指派、聘请有专门知识</w:t>
      </w:r>
    </w:p>
    <w:p w14:paraId="467D526B">
      <w:pPr>
        <w:spacing w:line="600" w:lineRule="exact"/>
        <w:jc w:val="center"/>
        <w:rPr>
          <w:rFonts w:hint="eastAsia" w:ascii="宋体" w:hAnsi="宋体" w:eastAsia="宋体" w:cs="宋体"/>
          <w:sz w:val="44"/>
          <w:szCs w:val="44"/>
        </w:rPr>
      </w:pPr>
      <w:r>
        <w:rPr>
          <w:rFonts w:hint="eastAsia" w:ascii="宋体" w:hAnsi="宋体" w:eastAsia="宋体" w:cs="宋体"/>
          <w:sz w:val="44"/>
          <w:szCs w:val="44"/>
        </w:rPr>
        <w:t>的人参与办案若干问题的规定（试行）</w:t>
      </w:r>
    </w:p>
    <w:p w14:paraId="7E262F89">
      <w:pPr>
        <w:spacing w:line="240" w:lineRule="auto"/>
        <w:jc w:val="center"/>
        <w:rPr>
          <w:rFonts w:hint="default" w:ascii="Times New Roman" w:hAnsi="Times New Roman" w:eastAsia="楷体_GB2312" w:cs="Times New Roman"/>
        </w:rPr>
      </w:pPr>
    </w:p>
    <w:p w14:paraId="54B4D2D8">
      <w:pPr>
        <w:spacing w:line="240" w:lineRule="auto"/>
        <w:jc w:val="center"/>
        <w:rPr>
          <w:rFonts w:hint="default" w:ascii="Times New Roman" w:hAnsi="Times New Roman" w:eastAsia="楷体_GB2312" w:cs="Times New Roman"/>
        </w:rPr>
      </w:pPr>
      <w:r>
        <w:rPr>
          <w:rFonts w:hint="default" w:ascii="Times New Roman" w:hAnsi="Times New Roman" w:eastAsia="楷体_GB2312" w:cs="Times New Roman"/>
        </w:rPr>
        <w:t>（2018年2月11日最高人民检察院第十二届检察委员会</w:t>
      </w:r>
    </w:p>
    <w:p w14:paraId="18AB1049">
      <w:pPr>
        <w:spacing w:line="240" w:lineRule="auto"/>
        <w:jc w:val="center"/>
        <w:rPr>
          <w:rFonts w:hint="default" w:ascii="Times New Roman" w:hAnsi="Times New Roman" w:eastAsia="楷体_GB2312" w:cs="Times New Roman"/>
        </w:rPr>
      </w:pPr>
      <w:r>
        <w:rPr>
          <w:rFonts w:hint="default" w:ascii="Times New Roman" w:hAnsi="Times New Roman" w:eastAsia="楷体_GB2312" w:cs="Times New Roman"/>
        </w:rPr>
        <w:t>第七十三次会议通过）</w:t>
      </w:r>
    </w:p>
    <w:p w14:paraId="77972A25">
      <w:pPr>
        <w:tabs>
          <w:tab w:val="center" w:pos="4482"/>
          <w:tab w:val="left" w:pos="7857"/>
        </w:tabs>
        <w:spacing w:line="240" w:lineRule="auto"/>
        <w:jc w:val="center"/>
        <w:rPr>
          <w:rFonts w:hint="default" w:ascii="Times New Roman" w:hAnsi="Times New Roman" w:eastAsia="楷体_GB2312" w:cs="Times New Roman"/>
        </w:rPr>
      </w:pPr>
    </w:p>
    <w:p w14:paraId="30FB320E">
      <w:pPr>
        <w:tabs>
          <w:tab w:val="center" w:pos="4482"/>
          <w:tab w:val="left" w:pos="7857"/>
        </w:tabs>
        <w:spacing w:line="240" w:lineRule="auto"/>
        <w:jc w:val="center"/>
        <w:rPr>
          <w:rFonts w:hint="eastAsia" w:ascii="仿宋_GB2312" w:hAnsi="仿宋_GB2312" w:eastAsia="仿宋_GB2312" w:cs="仿宋_GB2312"/>
        </w:rPr>
      </w:pPr>
      <w:r>
        <w:rPr>
          <w:rFonts w:hint="eastAsia" w:ascii="仿宋_GB2312" w:hAnsi="仿宋_GB2312" w:eastAsia="仿宋_GB2312" w:cs="仿宋_GB2312"/>
        </w:rPr>
        <w:t>高检发释字〔2018〕1号</w:t>
      </w:r>
    </w:p>
    <w:p w14:paraId="6CAA2080">
      <w:pPr>
        <w:tabs>
          <w:tab w:val="center" w:pos="4482"/>
          <w:tab w:val="left" w:pos="7857"/>
        </w:tabs>
        <w:spacing w:beforeLines="0" w:afterLines="0"/>
        <w:ind w:firstLine="632" w:firstLineChars="200"/>
        <w:jc w:val="both"/>
      </w:pPr>
    </w:p>
    <w:p w14:paraId="7A928AE9">
      <w:pPr>
        <w:spacing w:beforeLines="0" w:afterLines="0"/>
        <w:ind w:firstLine="632" w:firstLineChars="200"/>
      </w:pPr>
      <w:r>
        <w:rPr>
          <w:rFonts w:hint="eastAsia" w:ascii="黑体" w:hAnsi="黑体" w:eastAsia="黑体" w:cs="黑体"/>
        </w:rPr>
        <w:t>第一条</w:t>
      </w:r>
      <w:r>
        <w:rPr>
          <w:rFonts w:hint="eastAsia"/>
        </w:rPr>
        <w:t>　为了规范和促进人民检察院指派、聘请有专门知识的人参与办案，根据《中华人民共和国刑事诉讼法》《中华人民共和国民事诉讼法》《中华人民共和国行政诉讼法》等法律规定，结合检察工作实际，制定本规定。</w:t>
      </w:r>
    </w:p>
    <w:p w14:paraId="67C17D01">
      <w:pPr>
        <w:spacing w:beforeLines="0" w:afterLines="0"/>
        <w:ind w:firstLine="632" w:firstLineChars="200"/>
      </w:pPr>
      <w:r>
        <w:rPr>
          <w:rFonts w:hint="eastAsia" w:ascii="黑体" w:hAnsi="黑体" w:eastAsia="黑体" w:cs="黑体"/>
        </w:rPr>
        <w:t>第二条</w:t>
      </w:r>
      <w:r>
        <w:rPr>
          <w:rFonts w:hint="eastAsia"/>
        </w:rPr>
        <w:t>　本规定所称“有专门知识的人”，是指运用专门知识参与人民检察院的办案活动，协助解决专门性问题或者提出意见的人，但不包括以鉴定人身份参与办案的人。</w:t>
      </w:r>
    </w:p>
    <w:p w14:paraId="2B1B8FA8">
      <w:pPr>
        <w:spacing w:beforeLines="0" w:afterLines="0"/>
        <w:ind w:firstLine="632" w:firstLineChars="200"/>
      </w:pPr>
      <w:r>
        <w:rPr>
          <w:rFonts w:hint="eastAsia"/>
        </w:rPr>
        <w:t>本规定所称“专门知识”，是指特定领域内的人员理解和掌握的、具有专业技术性的认识和经验等。</w:t>
      </w:r>
    </w:p>
    <w:p w14:paraId="338FE01A">
      <w:pPr>
        <w:spacing w:beforeLines="0" w:afterLines="0"/>
        <w:ind w:firstLine="632" w:firstLineChars="200"/>
      </w:pPr>
      <w:r>
        <w:rPr>
          <w:rFonts w:hint="eastAsia" w:ascii="黑体" w:hAnsi="黑体" w:eastAsia="黑体" w:cs="黑体"/>
        </w:rPr>
        <w:t>第三条</w:t>
      </w:r>
      <w:r>
        <w:rPr>
          <w:rFonts w:hint="eastAsia"/>
        </w:rPr>
        <w:t>　人民检察院可以指派、聘请有鉴定资格的人员，或者经本院审查具备专业能力的其他人员，作为有专门知识的人参与办案。</w:t>
      </w:r>
    </w:p>
    <w:p w14:paraId="16D01491">
      <w:pPr>
        <w:spacing w:beforeLines="0" w:afterLines="0"/>
        <w:ind w:firstLine="632" w:firstLineChars="200"/>
      </w:pPr>
      <w:r>
        <w:rPr>
          <w:rFonts w:hint="eastAsia"/>
        </w:rPr>
        <w:t xml:space="preserve">有下列情形之一的人员，不得作为有专门知识的人参与办案： </w:t>
      </w:r>
    </w:p>
    <w:p w14:paraId="78B3CBF6">
      <w:pPr>
        <w:spacing w:beforeLines="0" w:afterLines="0"/>
        <w:ind w:firstLine="632" w:firstLineChars="200"/>
      </w:pPr>
      <w:r>
        <w:rPr>
          <w:rFonts w:hint="eastAsia"/>
        </w:rPr>
        <w:t>（一）因违反职业道德，被主管部门注销鉴定资格、撤销鉴定人登记，或者吊销其他执业资格、近三年以内被处以停止执业处罚的；</w:t>
      </w:r>
    </w:p>
    <w:p w14:paraId="0690AE7E">
      <w:pPr>
        <w:spacing w:beforeLines="0" w:afterLines="0"/>
        <w:ind w:firstLine="632" w:firstLineChars="200"/>
      </w:pPr>
      <w:r>
        <w:rPr>
          <w:rFonts w:hint="eastAsia"/>
        </w:rPr>
        <w:t>（二）无民事行为能力或者限制民事行为能力的；</w:t>
      </w:r>
    </w:p>
    <w:p w14:paraId="1C2BC65B">
      <w:pPr>
        <w:spacing w:beforeLines="0" w:afterLines="0"/>
        <w:ind w:firstLine="632" w:firstLineChars="200"/>
      </w:pPr>
      <w:r>
        <w:rPr>
          <w:rFonts w:hint="eastAsia"/>
        </w:rPr>
        <w:t>（三）近三年以内违反本规定第十八条至第二十一条规定的；</w:t>
      </w:r>
    </w:p>
    <w:p w14:paraId="2F1CAE17">
      <w:pPr>
        <w:spacing w:beforeLines="0" w:afterLines="0"/>
        <w:ind w:firstLine="632" w:firstLineChars="200"/>
      </w:pPr>
      <w:r>
        <w:rPr>
          <w:rFonts w:hint="eastAsia"/>
        </w:rPr>
        <w:t>（四）以办案人员等身份参与过本案办理工作的；</w:t>
      </w:r>
    </w:p>
    <w:p w14:paraId="25435E81">
      <w:pPr>
        <w:spacing w:beforeLines="0" w:afterLines="0"/>
        <w:ind w:firstLine="632" w:firstLineChars="200"/>
      </w:pPr>
      <w:r>
        <w:rPr>
          <w:rFonts w:hint="eastAsia"/>
        </w:rPr>
        <w:t>（五）不宜作为有专门知识的人参与办案的其他情形。</w:t>
      </w:r>
    </w:p>
    <w:p w14:paraId="3BECEFC6">
      <w:pPr>
        <w:spacing w:beforeLines="0" w:afterLines="0"/>
        <w:ind w:firstLine="632" w:firstLineChars="200"/>
      </w:pPr>
      <w:r>
        <w:rPr>
          <w:rFonts w:hint="eastAsia" w:ascii="黑体" w:hAnsi="黑体" w:eastAsia="黑体" w:cs="黑体"/>
        </w:rPr>
        <w:t>第四条</w:t>
      </w:r>
      <w:r>
        <w:rPr>
          <w:rFonts w:hint="eastAsia"/>
        </w:rPr>
        <w:t xml:space="preserve">　人民检察院聘请检察机关以外的人员作为有专门知识的人参与办案，应当核实其有效身份证件和能够证明符合本规定第三条第一款要求的材料。 </w:t>
      </w:r>
    </w:p>
    <w:p w14:paraId="23DEC5FE">
      <w:pPr>
        <w:spacing w:beforeLines="0" w:afterLines="0"/>
        <w:ind w:firstLine="632" w:firstLineChars="200"/>
      </w:pPr>
      <w:r>
        <w:rPr>
          <w:rFonts w:hint="eastAsia" w:ascii="黑体" w:hAnsi="黑体" w:eastAsia="黑体" w:cs="黑体"/>
        </w:rPr>
        <w:t>第五条</w:t>
      </w:r>
      <w:r>
        <w:rPr>
          <w:rFonts w:hint="eastAsia"/>
        </w:rPr>
        <w:t xml:space="preserve">  具备条件的人民检察院可以明确专门部门，负责建立有专门知识的人推荐名单库。</w:t>
      </w:r>
    </w:p>
    <w:p w14:paraId="3FFC1962">
      <w:pPr>
        <w:spacing w:beforeLines="0" w:afterLines="0"/>
        <w:ind w:firstLine="632" w:firstLineChars="200"/>
      </w:pPr>
      <w:r>
        <w:rPr>
          <w:rFonts w:hint="eastAsia" w:ascii="黑体" w:hAnsi="黑体" w:eastAsia="黑体" w:cs="黑体"/>
        </w:rPr>
        <w:t>第六条</w:t>
      </w:r>
      <w:r>
        <w:rPr>
          <w:rFonts w:hint="eastAsia"/>
        </w:rPr>
        <w:t>　有专门知识的人的回避，适用《中华人民共和国刑事诉讼法》《中华人民共和国民事诉讼法》《中华人民共和国行政诉讼法》等法律规定中有关鉴定人回避的规定。</w:t>
      </w:r>
    </w:p>
    <w:p w14:paraId="06382D71">
      <w:pPr>
        <w:spacing w:beforeLines="0" w:afterLines="0"/>
        <w:ind w:firstLine="632" w:firstLineChars="200"/>
      </w:pPr>
      <w:r>
        <w:rPr>
          <w:rFonts w:hint="eastAsia" w:ascii="黑体" w:hAnsi="黑体" w:eastAsia="黑体" w:cs="黑体"/>
        </w:rPr>
        <w:t>第七条</w:t>
      </w:r>
      <w:r>
        <w:rPr>
          <w:rFonts w:hint="eastAsia"/>
        </w:rPr>
        <w:t>　人民检察院办理刑事案件需要收集证据的，可以指派、聘请有专门知识的人开展下列工作：</w:t>
      </w:r>
    </w:p>
    <w:p w14:paraId="0F1EB855">
      <w:pPr>
        <w:spacing w:beforeLines="0" w:afterLines="0"/>
        <w:ind w:firstLine="632" w:firstLineChars="200"/>
      </w:pPr>
      <w:r>
        <w:rPr>
          <w:rFonts w:hint="eastAsia"/>
        </w:rPr>
        <w:t>（一）在检察官的主持下进行勘验或者检查；</w:t>
      </w:r>
    </w:p>
    <w:p w14:paraId="368759CA">
      <w:pPr>
        <w:spacing w:beforeLines="0" w:afterLines="0"/>
        <w:ind w:firstLine="632" w:firstLineChars="200"/>
      </w:pPr>
      <w:r>
        <w:rPr>
          <w:rFonts w:hint="eastAsia"/>
        </w:rPr>
        <w:t xml:space="preserve">（二）就需要鉴定、但没有法定鉴定机构的专门性问题进行检验； </w:t>
      </w:r>
    </w:p>
    <w:p w14:paraId="08178F1E">
      <w:pPr>
        <w:spacing w:beforeLines="0" w:afterLines="0"/>
        <w:ind w:firstLine="632" w:firstLineChars="200"/>
      </w:pPr>
      <w:r>
        <w:rPr>
          <w:rFonts w:hint="eastAsia"/>
        </w:rPr>
        <w:t>（三）其他必要的工作。</w:t>
      </w:r>
    </w:p>
    <w:p w14:paraId="2106E205">
      <w:pPr>
        <w:spacing w:beforeLines="0" w:afterLines="0"/>
        <w:ind w:firstLine="632" w:firstLineChars="200"/>
      </w:pPr>
      <w:r>
        <w:rPr>
          <w:rFonts w:hint="eastAsia" w:ascii="黑体" w:hAnsi="黑体" w:eastAsia="黑体" w:cs="黑体"/>
        </w:rPr>
        <w:t>第八条</w:t>
      </w:r>
      <w:r>
        <w:rPr>
          <w:rFonts w:hint="eastAsia"/>
        </w:rPr>
        <w:t xml:space="preserve">　人民检察院在审查起诉时，发现涉及专门性问题的证据材料有下列情形之一的，可以指派、聘请有专门知识的人进行审查，出具审查意见： </w:t>
      </w:r>
    </w:p>
    <w:p w14:paraId="4A3170A7">
      <w:pPr>
        <w:spacing w:beforeLines="0" w:afterLines="0"/>
        <w:ind w:firstLine="632" w:firstLineChars="200"/>
      </w:pPr>
      <w:r>
        <w:rPr>
          <w:rFonts w:hint="eastAsia"/>
        </w:rPr>
        <w:t>（一）对定罪量刑有重大影响的；</w:t>
      </w:r>
    </w:p>
    <w:p w14:paraId="52F049C2">
      <w:pPr>
        <w:spacing w:beforeLines="0" w:afterLines="0"/>
        <w:ind w:firstLine="632" w:firstLineChars="200"/>
      </w:pPr>
      <w:r>
        <w:rPr>
          <w:rFonts w:hint="eastAsia"/>
        </w:rPr>
        <w:t>（二）与其他证据之间存在无法排除的矛盾的；</w:t>
      </w:r>
    </w:p>
    <w:p w14:paraId="35DB2D3D">
      <w:pPr>
        <w:spacing w:beforeLines="0" w:afterLines="0"/>
        <w:ind w:firstLine="632" w:firstLineChars="200"/>
      </w:pPr>
      <w:r>
        <w:rPr>
          <w:rFonts w:hint="eastAsia"/>
        </w:rPr>
        <w:t xml:space="preserve">（三）就同一专门性问题有两份或者两份以上的鉴定意见，且结论不一致的； </w:t>
      </w:r>
    </w:p>
    <w:p w14:paraId="45F515D1">
      <w:pPr>
        <w:spacing w:beforeLines="0" w:afterLines="0"/>
        <w:ind w:firstLine="632" w:firstLineChars="200"/>
      </w:pPr>
      <w:r>
        <w:rPr>
          <w:rFonts w:hint="eastAsia"/>
        </w:rPr>
        <w:t>（四）当事人、辩护人、诉讼代理人有异议的；</w:t>
      </w:r>
    </w:p>
    <w:p w14:paraId="3D8BFA80">
      <w:pPr>
        <w:spacing w:beforeLines="0" w:afterLines="0"/>
        <w:ind w:firstLine="632" w:firstLineChars="200"/>
      </w:pPr>
      <w:r>
        <w:rPr>
          <w:rFonts w:hint="eastAsia"/>
        </w:rPr>
        <w:t>（五）其他必要的情形。</w:t>
      </w:r>
    </w:p>
    <w:p w14:paraId="0B81197A">
      <w:pPr>
        <w:spacing w:beforeLines="0" w:afterLines="0"/>
        <w:ind w:firstLine="632" w:firstLineChars="200"/>
      </w:pPr>
      <w:r>
        <w:rPr>
          <w:rFonts w:hint="eastAsia" w:ascii="黑体" w:hAnsi="黑体" w:eastAsia="黑体" w:cs="黑体"/>
        </w:rPr>
        <w:t>第九条</w:t>
      </w:r>
      <w:r>
        <w:rPr>
          <w:rFonts w:hint="eastAsia"/>
        </w:rPr>
        <w:t xml:space="preserve">　人民检察院在人民法院决定开庭后，可以指派、聘请有专门知识的人，协助公诉人做好下列准备工作： </w:t>
      </w:r>
    </w:p>
    <w:p w14:paraId="127A9B5E">
      <w:pPr>
        <w:spacing w:beforeLines="0" w:afterLines="0"/>
        <w:ind w:firstLine="632" w:firstLineChars="200"/>
      </w:pPr>
      <w:r>
        <w:rPr>
          <w:rFonts w:hint="eastAsia"/>
        </w:rPr>
        <w:t>（一）掌握涉及专门性问题证据材料的情况；</w:t>
      </w:r>
    </w:p>
    <w:p w14:paraId="507A215F">
      <w:pPr>
        <w:spacing w:beforeLines="0" w:afterLines="0"/>
        <w:ind w:firstLine="632" w:firstLineChars="200"/>
      </w:pPr>
      <w:r>
        <w:rPr>
          <w:rFonts w:hint="eastAsia"/>
        </w:rPr>
        <w:t>（二）补充审判中可能涉及的专门知识；</w:t>
      </w:r>
    </w:p>
    <w:p w14:paraId="408D938E">
      <w:pPr>
        <w:spacing w:beforeLines="0" w:afterLines="0"/>
        <w:ind w:firstLine="632" w:firstLineChars="200"/>
      </w:pPr>
      <w:r>
        <w:rPr>
          <w:rFonts w:hint="eastAsia"/>
        </w:rPr>
        <w:t>（三）拟定讯问被告人和询问证人、鉴定人、其他有专门知识的人的计划；</w:t>
      </w:r>
    </w:p>
    <w:p w14:paraId="35C94DD2">
      <w:pPr>
        <w:spacing w:beforeLines="0" w:afterLines="0"/>
        <w:ind w:firstLine="632" w:firstLineChars="200"/>
      </w:pPr>
      <w:r>
        <w:rPr>
          <w:rFonts w:hint="eastAsia"/>
        </w:rPr>
        <w:t>（四）拟定出示、播放、演示涉及专门性问题证据材料的计划；</w:t>
      </w:r>
    </w:p>
    <w:p w14:paraId="324B4437">
      <w:pPr>
        <w:spacing w:beforeLines="0" w:afterLines="0"/>
        <w:ind w:firstLine="632" w:firstLineChars="200"/>
      </w:pPr>
      <w:r>
        <w:rPr>
          <w:rFonts w:hint="eastAsia"/>
        </w:rPr>
        <w:t>（五）制定质证方案；</w:t>
      </w:r>
    </w:p>
    <w:p w14:paraId="07D85D28">
      <w:pPr>
        <w:spacing w:beforeLines="0" w:afterLines="0"/>
        <w:ind w:firstLine="632" w:firstLineChars="200"/>
      </w:pPr>
      <w:r>
        <w:rPr>
          <w:rFonts w:hint="eastAsia"/>
        </w:rPr>
        <w:t>（六）其他必要的工作。</w:t>
      </w:r>
    </w:p>
    <w:p w14:paraId="301D1AA7">
      <w:pPr>
        <w:spacing w:beforeLines="0" w:afterLines="0"/>
        <w:ind w:firstLine="632" w:firstLineChars="200"/>
      </w:pPr>
      <w:r>
        <w:rPr>
          <w:rFonts w:hint="eastAsia" w:ascii="黑体" w:hAnsi="黑体" w:eastAsia="黑体" w:cs="黑体"/>
        </w:rPr>
        <w:t>第十条</w:t>
      </w:r>
      <w:r>
        <w:rPr>
          <w:rFonts w:hint="eastAsia"/>
        </w:rPr>
        <w:t>　刑事案件法庭审理中，人民检察院可以申请人民法院通知有专门知识的人出庭，就鉴定人作出的鉴定意见提出意见。</w:t>
      </w:r>
    </w:p>
    <w:p w14:paraId="18863344">
      <w:pPr>
        <w:spacing w:beforeLines="0" w:afterLines="0"/>
        <w:ind w:firstLine="632" w:firstLineChars="200"/>
      </w:pPr>
      <w:r>
        <w:rPr>
          <w:rFonts w:hint="eastAsia" w:ascii="黑体" w:hAnsi="黑体" w:eastAsia="黑体" w:cs="黑体"/>
        </w:rPr>
        <w:t>第十一条</w:t>
      </w:r>
      <w:r>
        <w:rPr>
          <w:rFonts w:hint="eastAsia"/>
        </w:rPr>
        <w:t>　刑事案件法庭审理中，公诉人出示、播放、演示涉及专门性问题的证据材料需要协助的，人民检察院可以指派、聘请有专门知识的人进行操作。</w:t>
      </w:r>
    </w:p>
    <w:p w14:paraId="2E940544">
      <w:pPr>
        <w:spacing w:beforeLines="0" w:afterLines="0"/>
        <w:ind w:firstLine="632" w:firstLineChars="200"/>
      </w:pPr>
      <w:r>
        <w:rPr>
          <w:rFonts w:hint="eastAsia" w:ascii="黑体" w:hAnsi="黑体" w:eastAsia="黑体" w:cs="黑体"/>
        </w:rPr>
        <w:t>第十二条</w:t>
      </w:r>
      <w:r>
        <w:rPr>
          <w:rFonts w:hint="eastAsia"/>
        </w:rPr>
        <w:t>　人民检察院在对公益诉讼案件决定立案和调查收集证据时，就涉及专门性问题的证据材料或者专业问题，可以指派、聘请有专门知识的人协助开展下列工作：</w:t>
      </w:r>
    </w:p>
    <w:p w14:paraId="3C9F1889">
      <w:pPr>
        <w:spacing w:beforeLines="0" w:afterLines="0"/>
        <w:ind w:firstLine="632" w:firstLineChars="200"/>
      </w:pPr>
      <w:r>
        <w:rPr>
          <w:rFonts w:hint="eastAsia"/>
        </w:rPr>
        <w:t>（一）对专业问题进行回答、解释、说明；</w:t>
      </w:r>
    </w:p>
    <w:p w14:paraId="75DFA423">
      <w:pPr>
        <w:spacing w:beforeLines="0" w:afterLines="0"/>
        <w:ind w:firstLine="632" w:firstLineChars="200"/>
      </w:pPr>
      <w:r>
        <w:rPr>
          <w:rFonts w:hint="eastAsia"/>
        </w:rPr>
        <w:t>（二）对涉案专门性问题进行评估、审计；</w:t>
      </w:r>
    </w:p>
    <w:p w14:paraId="4AD82D23">
      <w:pPr>
        <w:spacing w:beforeLines="0" w:afterLines="0"/>
        <w:ind w:firstLine="632" w:firstLineChars="200"/>
      </w:pPr>
      <w:r>
        <w:rPr>
          <w:rFonts w:hint="eastAsia"/>
        </w:rPr>
        <w:t>（三）对涉及复杂、疑难、特殊技术问题的鉴定事项提出意见；</w:t>
      </w:r>
    </w:p>
    <w:p w14:paraId="316A061B">
      <w:pPr>
        <w:spacing w:beforeLines="0" w:afterLines="0"/>
        <w:ind w:firstLine="632" w:firstLineChars="200"/>
      </w:pPr>
      <w:r>
        <w:rPr>
          <w:rFonts w:hint="eastAsia"/>
        </w:rPr>
        <w:t>（四）在检察官的主持下勘验物证或者现场；</w:t>
      </w:r>
    </w:p>
    <w:p w14:paraId="5523FABD">
      <w:pPr>
        <w:spacing w:beforeLines="0" w:afterLines="0"/>
        <w:ind w:firstLine="632" w:firstLineChars="200"/>
      </w:pPr>
      <w:r>
        <w:rPr>
          <w:rFonts w:hint="eastAsia"/>
        </w:rPr>
        <w:t>（五）对行政执法卷宗材料中涉及专门性问题的证据材料进行审查；</w:t>
      </w:r>
    </w:p>
    <w:p w14:paraId="4D1934F3">
      <w:pPr>
        <w:spacing w:beforeLines="0" w:afterLines="0"/>
        <w:ind w:firstLine="632" w:firstLineChars="200"/>
      </w:pPr>
      <w:r>
        <w:rPr>
          <w:rFonts w:hint="eastAsia"/>
        </w:rPr>
        <w:t>（六）其他必要的工作。</w:t>
      </w:r>
    </w:p>
    <w:p w14:paraId="4AFC0938">
      <w:pPr>
        <w:spacing w:beforeLines="0" w:afterLines="0"/>
        <w:ind w:firstLine="632" w:firstLineChars="200"/>
      </w:pPr>
      <w:r>
        <w:rPr>
          <w:rFonts w:hint="eastAsia" w:ascii="黑体" w:hAnsi="黑体" w:eastAsia="黑体" w:cs="黑体"/>
        </w:rPr>
        <w:t>第十三条</w:t>
      </w:r>
      <w:r>
        <w:rPr>
          <w:rFonts w:hint="eastAsia"/>
        </w:rPr>
        <w:t>　公益诉讼案件法庭审理中，人民检察院可以申请人民法院通知有专门知识的人出庭，就鉴定人作出的鉴定意见或者专业问题提出意见。</w:t>
      </w:r>
    </w:p>
    <w:p w14:paraId="3BBE23A0">
      <w:pPr>
        <w:spacing w:beforeLines="0" w:afterLines="0"/>
        <w:ind w:firstLine="632" w:firstLineChars="200"/>
      </w:pPr>
      <w:r>
        <w:rPr>
          <w:rFonts w:hint="eastAsia" w:ascii="黑体" w:hAnsi="黑体" w:eastAsia="黑体" w:cs="黑体"/>
        </w:rPr>
        <w:t>第十四条</w:t>
      </w:r>
      <w:r>
        <w:rPr>
          <w:rFonts w:hint="eastAsia"/>
        </w:rPr>
        <w:t>　人民检察院在下列办案活动中，需要指派、聘请有专门知识的人的，可以适用本规定：</w:t>
      </w:r>
    </w:p>
    <w:p w14:paraId="34F5A45E">
      <w:pPr>
        <w:spacing w:beforeLines="0" w:afterLines="0"/>
        <w:ind w:firstLine="632" w:firstLineChars="200"/>
      </w:pPr>
      <w:r>
        <w:rPr>
          <w:rFonts w:hint="eastAsia"/>
        </w:rPr>
        <w:t>（一）办理控告、申诉、国家赔偿或者国家司法救助案件；</w:t>
      </w:r>
    </w:p>
    <w:p w14:paraId="77D3FEE8">
      <w:pPr>
        <w:spacing w:beforeLines="0" w:afterLines="0"/>
        <w:ind w:firstLine="632" w:firstLineChars="200"/>
      </w:pPr>
      <w:r>
        <w:rPr>
          <w:rFonts w:hint="eastAsia"/>
        </w:rPr>
        <w:t>（二）办理监管场所发生的被监管人重伤、死亡案件；</w:t>
      </w:r>
    </w:p>
    <w:p w14:paraId="064D7436">
      <w:pPr>
        <w:spacing w:beforeLines="0" w:afterLines="0"/>
        <w:ind w:firstLine="632" w:firstLineChars="200"/>
      </w:pPr>
      <w:r>
        <w:rPr>
          <w:rFonts w:hint="eastAsia"/>
        </w:rPr>
        <w:t>（三）办理民事、行政诉讼监督案件；</w:t>
      </w:r>
    </w:p>
    <w:p w14:paraId="6F55BC3E">
      <w:pPr>
        <w:spacing w:beforeLines="0" w:afterLines="0"/>
        <w:ind w:firstLine="632" w:firstLineChars="200"/>
      </w:pPr>
      <w:r>
        <w:rPr>
          <w:rFonts w:hint="eastAsia"/>
        </w:rPr>
        <w:t>（四）检察委员会审议决定重大案件和其他重大问题；</w:t>
      </w:r>
    </w:p>
    <w:p w14:paraId="1188559D">
      <w:pPr>
        <w:spacing w:beforeLines="0" w:afterLines="0"/>
        <w:ind w:firstLine="632" w:firstLineChars="200"/>
      </w:pPr>
      <w:r>
        <w:rPr>
          <w:rFonts w:hint="eastAsia"/>
        </w:rPr>
        <w:t>（五）需要指派、聘请有专门知识的人的其他办案活动。</w:t>
      </w:r>
    </w:p>
    <w:p w14:paraId="680D7599">
      <w:pPr>
        <w:spacing w:beforeLines="0" w:afterLines="0"/>
        <w:ind w:firstLine="632" w:firstLineChars="200"/>
      </w:pPr>
      <w:r>
        <w:rPr>
          <w:rFonts w:hint="eastAsia" w:ascii="黑体" w:hAnsi="黑体" w:eastAsia="黑体" w:cs="黑体"/>
        </w:rPr>
        <w:t>第十五条</w:t>
      </w:r>
      <w:r>
        <w:rPr>
          <w:rFonts w:hint="eastAsia"/>
        </w:rPr>
        <w:t>　人民检察院应当为有专门知识的人参与办案提供下列必要条件：</w:t>
      </w:r>
    </w:p>
    <w:p w14:paraId="443FA5BB">
      <w:pPr>
        <w:spacing w:beforeLines="0" w:afterLines="0"/>
        <w:ind w:firstLine="632" w:firstLineChars="200"/>
      </w:pPr>
      <w:r>
        <w:rPr>
          <w:rFonts w:hint="eastAsia"/>
        </w:rPr>
        <w:t>（一）介绍与涉案专门性问题有关的情况；</w:t>
      </w:r>
    </w:p>
    <w:p w14:paraId="1050F45C">
      <w:pPr>
        <w:spacing w:beforeLines="0" w:afterLines="0"/>
        <w:ind w:firstLine="632" w:firstLineChars="200"/>
      </w:pPr>
      <w:r>
        <w:rPr>
          <w:rFonts w:hint="eastAsia"/>
        </w:rPr>
        <w:t>（二）提供涉及专门性问题的证据等案卷材料；</w:t>
      </w:r>
    </w:p>
    <w:p w14:paraId="67204D0C">
      <w:pPr>
        <w:spacing w:beforeLines="0" w:afterLines="0"/>
        <w:ind w:firstLine="632" w:firstLineChars="200"/>
      </w:pPr>
      <w:r>
        <w:rPr>
          <w:rFonts w:hint="eastAsia"/>
        </w:rPr>
        <w:t>（三）明确要求协助或者提出意见的问题；</w:t>
      </w:r>
    </w:p>
    <w:p w14:paraId="1F62AB35">
      <w:pPr>
        <w:spacing w:beforeLines="0" w:afterLines="0"/>
        <w:ind w:firstLine="632" w:firstLineChars="200"/>
      </w:pPr>
      <w:r>
        <w:rPr>
          <w:rFonts w:hint="eastAsia"/>
        </w:rPr>
        <w:t>（四）有专门知识的人参与办案所必需的其他条件。</w:t>
      </w:r>
    </w:p>
    <w:p w14:paraId="5347E5C9">
      <w:pPr>
        <w:spacing w:beforeLines="0" w:afterLines="0"/>
        <w:ind w:firstLine="632" w:firstLineChars="200"/>
      </w:pPr>
      <w:r>
        <w:rPr>
          <w:rFonts w:hint="eastAsia" w:ascii="黑体" w:hAnsi="黑体" w:eastAsia="黑体" w:cs="黑体"/>
        </w:rPr>
        <w:t>第十六条</w:t>
      </w:r>
      <w:r>
        <w:rPr>
          <w:rFonts w:hint="eastAsia"/>
        </w:rPr>
        <w:t>　人民检察院依法保障接受指派、聘请参与办案的有专门知识的人及其近亲属的安全。</w:t>
      </w:r>
    </w:p>
    <w:p w14:paraId="43DACC37">
      <w:pPr>
        <w:spacing w:beforeLines="0" w:afterLines="0"/>
        <w:ind w:firstLine="632" w:firstLineChars="200"/>
      </w:pPr>
      <w:r>
        <w:rPr>
          <w:rFonts w:hint="eastAsia"/>
        </w:rPr>
        <w:t>对有专门知识的人及其近亲属进行威胁、侮辱、殴打、打击报复等，构成违法犯罪的，人民检察院应当移送公安机关处理；情节轻微的，予以批评教育、训诫。</w:t>
      </w:r>
    </w:p>
    <w:p w14:paraId="34BDB4F5">
      <w:pPr>
        <w:spacing w:beforeLines="0" w:afterLines="0"/>
        <w:ind w:firstLine="632" w:firstLineChars="200"/>
      </w:pPr>
      <w:r>
        <w:rPr>
          <w:rFonts w:hint="eastAsia" w:ascii="黑体" w:hAnsi="黑体" w:eastAsia="黑体" w:cs="黑体"/>
        </w:rPr>
        <w:t>第十七条</w:t>
      </w:r>
      <w:r>
        <w:rPr>
          <w:rFonts w:hint="eastAsia"/>
        </w:rPr>
        <w:t>　有专门知识的人因参与办案而支出的交通、住宿、就餐等费用，由人民检察院承担。对于聘请的有专门知识的人，应当给予适当报酬。</w:t>
      </w:r>
    </w:p>
    <w:p w14:paraId="5E748D0A">
      <w:pPr>
        <w:spacing w:beforeLines="0" w:afterLines="0"/>
        <w:ind w:firstLine="632" w:firstLineChars="200"/>
      </w:pPr>
      <w:r>
        <w:rPr>
          <w:rFonts w:hint="eastAsia"/>
        </w:rPr>
        <w:t>上述费用从人民检察院办案业务经费中列支。</w:t>
      </w:r>
    </w:p>
    <w:p w14:paraId="144232DF">
      <w:pPr>
        <w:spacing w:beforeLines="0" w:afterLines="0"/>
        <w:ind w:firstLine="632" w:firstLineChars="200"/>
      </w:pPr>
      <w:r>
        <w:rPr>
          <w:rFonts w:hint="eastAsia" w:ascii="黑体" w:hAnsi="黑体" w:eastAsia="黑体" w:cs="黑体"/>
        </w:rPr>
        <w:t>第十八条</w:t>
      </w:r>
      <w:r>
        <w:rPr>
          <w:rFonts w:hint="eastAsia"/>
        </w:rPr>
        <w:t>　有专门知识的人参与办案，应当遵守法律规定，遵循技术标准和规范，恪守职业道德，坚持客观公正原则。</w:t>
      </w:r>
    </w:p>
    <w:p w14:paraId="6C7E23F6">
      <w:pPr>
        <w:spacing w:beforeLines="0" w:afterLines="0"/>
        <w:ind w:firstLine="632" w:firstLineChars="200"/>
      </w:pPr>
      <w:r>
        <w:rPr>
          <w:rFonts w:hint="eastAsia" w:ascii="黑体" w:hAnsi="黑体" w:eastAsia="黑体" w:cs="黑体"/>
        </w:rPr>
        <w:t>第十九条</w:t>
      </w:r>
      <w:r>
        <w:rPr>
          <w:rFonts w:hint="eastAsia"/>
        </w:rPr>
        <w:t>　有专门知识的人应当保守参与办案中所知悉的国家秘密、商业秘密、个人隐私以及其他不宜公开的内容。</w:t>
      </w:r>
    </w:p>
    <w:p w14:paraId="23F991B0">
      <w:pPr>
        <w:spacing w:beforeLines="0" w:afterLines="0"/>
        <w:ind w:firstLine="632" w:firstLineChars="200"/>
      </w:pPr>
      <w:r>
        <w:rPr>
          <w:rFonts w:hint="eastAsia" w:ascii="黑体" w:hAnsi="黑体" w:eastAsia="黑体" w:cs="黑体"/>
        </w:rPr>
        <w:t>第二十条</w:t>
      </w:r>
      <w:r>
        <w:rPr>
          <w:rFonts w:hint="eastAsia"/>
        </w:rPr>
        <w:t>　有专门知识的人应当妥善保管、使用并及时退还参与办案中所接触的证据等案卷材料。</w:t>
      </w:r>
    </w:p>
    <w:p w14:paraId="734629B7">
      <w:pPr>
        <w:spacing w:beforeLines="0" w:afterLines="0"/>
        <w:ind w:firstLine="632" w:firstLineChars="200"/>
      </w:pPr>
      <w:r>
        <w:rPr>
          <w:rFonts w:hint="eastAsia" w:ascii="黑体" w:hAnsi="黑体" w:eastAsia="黑体" w:cs="黑体"/>
        </w:rPr>
        <w:t>第二十一条</w:t>
      </w:r>
      <w:r>
        <w:rPr>
          <w:rFonts w:hint="eastAsia"/>
        </w:rPr>
        <w:t>　有专门知识的人不得在同一案件中同时接受刑事诉讼当事人、辩护人、诉讼代理人，民事、行政诉讼对方当事人、诉讼代理人，或者人民法院的委托。</w:t>
      </w:r>
    </w:p>
    <w:p w14:paraId="6CEC6334">
      <w:pPr>
        <w:spacing w:beforeLines="0" w:afterLines="0"/>
        <w:ind w:firstLine="632" w:firstLineChars="200"/>
      </w:pPr>
      <w:r>
        <w:rPr>
          <w:rFonts w:hint="eastAsia" w:ascii="黑体" w:hAnsi="黑体" w:eastAsia="黑体" w:cs="黑体"/>
        </w:rPr>
        <w:t>第二十二条</w:t>
      </w:r>
      <w:r>
        <w:rPr>
          <w:rFonts w:hint="eastAsia"/>
        </w:rPr>
        <w:t>　有专门知识的人违反本规定第十八条至第二十一条的规定，出现重大过错，影响正常办案的，人民检察院应当停止其作为有专门知识的人参与办案，并从推荐名单库中除名。必要时，可以建议其所在单位或者有关部门给予行政处分或者其他处分。构成违法犯罪的，依法追究行政责任或者刑事责任。</w:t>
      </w:r>
    </w:p>
    <w:p w14:paraId="33BDA89F">
      <w:pPr>
        <w:spacing w:beforeLines="0" w:afterLines="0"/>
        <w:ind w:firstLine="632" w:firstLineChars="200"/>
      </w:pPr>
      <w:r>
        <w:rPr>
          <w:rFonts w:hint="eastAsia" w:ascii="黑体" w:hAnsi="黑体" w:eastAsia="黑体" w:cs="黑体"/>
        </w:rPr>
        <w:t>第二十三条</w:t>
      </w:r>
      <w:r>
        <w:rPr>
          <w:rFonts w:hint="eastAsia"/>
        </w:rPr>
        <w:t>　各省、自治区、直辖市人民检察院可以依照本规定，结合本地实际，制定具体实施办法，并报最高人民检察院备案。</w:t>
      </w:r>
    </w:p>
    <w:p w14:paraId="6CAFBC7E">
      <w:pPr>
        <w:spacing w:beforeLines="0" w:afterLines="0"/>
        <w:ind w:firstLine="632" w:firstLineChars="200"/>
      </w:pPr>
      <w:r>
        <w:rPr>
          <w:rFonts w:hint="eastAsia" w:ascii="黑体" w:hAnsi="黑体" w:eastAsia="黑体" w:cs="黑体"/>
        </w:rPr>
        <w:t>第二十四条</w:t>
      </w:r>
      <w:r>
        <w:rPr>
          <w:rFonts w:hint="eastAsia"/>
        </w:rPr>
        <w:t>　本规定由最高人民检察院负责解释。</w:t>
      </w:r>
    </w:p>
    <w:p w14:paraId="20460256">
      <w:pPr>
        <w:ind w:firstLine="632" w:firstLineChars="200"/>
        <w:rPr>
          <w:rFonts w:hint="eastAsia"/>
        </w:rPr>
      </w:pPr>
      <w:r>
        <w:rPr>
          <w:rFonts w:hint="eastAsia" w:ascii="黑体" w:hAnsi="黑体" w:eastAsia="黑体" w:cs="黑体"/>
        </w:rPr>
        <w:t>第二十五条</w:t>
      </w:r>
      <w:r>
        <w:rPr>
          <w:rFonts w:hint="eastAsia"/>
        </w:rPr>
        <w:t>　本规定自</w:t>
      </w:r>
      <w:r>
        <w:rPr>
          <w:rFonts w:hint="eastAsia"/>
          <w:lang w:val="en-US" w:eastAsia="zh-CN"/>
        </w:rPr>
        <w:t>公布</w:t>
      </w:r>
      <w:r>
        <w:rPr>
          <w:rFonts w:hint="eastAsia"/>
        </w:rPr>
        <w:t>之日起试行。</w:t>
      </w:r>
    </w:p>
    <w:p w14:paraId="3C56C53A">
      <w:pPr>
        <w:rPr>
          <w:rFonts w:hint="eastAsia"/>
        </w:rPr>
      </w:pPr>
    </w:p>
    <w:p w14:paraId="37BCF287">
      <w:pPr>
        <w:rPr>
          <w:rFonts w:hint="eastAsia" w:eastAsia="仿宋_GB2312"/>
          <w:lang w:eastAsia="zh-CN"/>
        </w:rPr>
      </w:pPr>
    </w:p>
    <w:p w14:paraId="47B09BD7">
      <w:pPr>
        <w:rPr>
          <w:rFonts w:hint="eastAsia"/>
        </w:rPr>
      </w:pPr>
    </w:p>
    <w:p w14:paraId="7ECF423C">
      <w:pPr>
        <w:rPr>
          <w:rFonts w:hint="eastAsia"/>
        </w:rPr>
      </w:pPr>
    </w:p>
    <w:p w14:paraId="5AF940A0">
      <w:pPr>
        <w:rPr>
          <w:rFonts w:hint="eastAsia"/>
        </w:rPr>
      </w:pPr>
    </w:p>
    <w:p w14:paraId="2896D82B">
      <w:pPr>
        <w:rPr>
          <w:rFonts w:hint="eastAsia"/>
        </w:rPr>
      </w:pPr>
    </w:p>
    <w:p w14:paraId="37517054">
      <w:pPr>
        <w:rPr>
          <w:rFonts w:hint="eastAsia"/>
        </w:rPr>
      </w:pPr>
    </w:p>
    <w:p w14:paraId="69D7D128">
      <w:pPr>
        <w:rPr>
          <w:rFonts w:hint="eastAsia"/>
        </w:rPr>
      </w:pPr>
    </w:p>
    <w:p w14:paraId="2639DC9C">
      <w:pPr>
        <w:rPr>
          <w:rFonts w:hint="eastAsia"/>
        </w:rPr>
      </w:pPr>
    </w:p>
    <w:sectPr>
      <w:footerReference r:id="rId3" w:type="default"/>
      <w:footerReference r:id="rId4" w:type="even"/>
      <w:pgSz w:w="11906" w:h="16838"/>
      <w:pgMar w:top="2098" w:right="1531" w:bottom="1985" w:left="1531" w:header="851" w:footer="1588" w:gutter="0"/>
      <w:pgNumType w:fmt="decimal" w:start="1"/>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Segoe Print"/>
    <w:panose1 w:val="020B0603030804020204"/>
    <w:charset w:val="00"/>
    <w:family w:val="roman"/>
    <w:pitch w:val="default"/>
    <w:sig w:usb0="E7006EFF" w:usb1="D200FDFF" w:usb2="0A246029" w:usb3="0400200C" w:csb0="600001FF" w:csb1="DFFF0000"/>
  </w:font>
  <w:font w:name="仿宋_GB2312">
    <w:altName w:val="仿宋"/>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方正小标宋_GBK">
    <w:altName w:val="微软雅黑"/>
    <w:panose1 w:val="02000000000000000000"/>
    <w:charset w:val="86"/>
    <w:family w:val="auto"/>
    <w:pitch w:val="default"/>
    <w:sig w:usb0="00000001" w:usb1="08000000" w:usb2="00000000" w:usb3="00000000" w:csb0="00040000" w:csb1="00000000"/>
  </w:font>
  <w:font w:name="楷体_GB2312">
    <w:altName w:val="楷体"/>
    <w:panose1 w:val="02010609030101010101"/>
    <w:charset w:val="86"/>
    <w:family w:val="swiss"/>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6F7DC">
    <w:pPr>
      <w:pStyle w:val="7"/>
      <w:keepNext w:val="0"/>
      <w:keepLines w:val="0"/>
      <w:pageBreakBefore w:val="0"/>
      <w:framePr w:wrap="around" w:vAnchor="text" w:hAnchor="margin" w:xAlign="outside" w:y="1"/>
      <w:widowControl w:val="0"/>
      <w:kinsoku/>
      <w:wordWrap/>
      <w:overflowPunct/>
      <w:topLinePunct w:val="0"/>
      <w:autoSpaceDE/>
      <w:autoSpaceDN/>
      <w:bidi w:val="0"/>
      <w:adjustRightInd/>
      <w:snapToGrid w:val="0"/>
      <w:spacing w:before="0" w:beforeLines="0" w:after="0" w:afterLines="0" w:line="240" w:lineRule="auto"/>
      <w:ind w:left="0" w:leftChars="0" w:right="320" w:rightChars="100" w:firstLine="0" w:firstLineChars="0"/>
      <w:jc w:val="left"/>
      <w:textAlignment w:val="auto"/>
      <w:outlineLvl w:val="9"/>
      <w:rPr>
        <w:rStyle w:val="13"/>
        <w:rFonts w:hint="eastAsia" w:ascii="仿宋_GB2312"/>
        <w:sz w:val="28"/>
      </w:rPr>
    </w:pPr>
    <w:r>
      <w:rPr>
        <w:rStyle w:val="13"/>
        <w:rFonts w:hint="eastAsia" w:ascii="宋体" w:hAnsi="宋体" w:eastAsia="宋体"/>
        <w:sz w:val="28"/>
        <w:lang w:eastAsia="zh-CN"/>
      </w:rPr>
      <w:t>－</w:t>
    </w:r>
    <w:r>
      <w:rPr>
        <w:rFonts w:hint="eastAsia" w:ascii="宋体" w:hAnsi="宋体" w:eastAsia="宋体"/>
        <w:sz w:val="28"/>
      </w:rPr>
      <w:fldChar w:fldCharType="begin"/>
    </w:r>
    <w:r>
      <w:rPr>
        <w:rStyle w:val="13"/>
        <w:rFonts w:hint="eastAsia" w:ascii="宋体" w:hAnsi="宋体" w:eastAsia="宋体"/>
        <w:sz w:val="28"/>
      </w:rPr>
      <w:instrText xml:space="preserve">PAGE  </w:instrText>
    </w:r>
    <w:r>
      <w:rPr>
        <w:rFonts w:hint="eastAsia" w:ascii="宋体" w:hAnsi="宋体" w:eastAsia="宋体"/>
        <w:sz w:val="28"/>
      </w:rPr>
      <w:fldChar w:fldCharType="separate"/>
    </w:r>
    <w:r>
      <w:rPr>
        <w:rStyle w:val="13"/>
        <w:rFonts w:hint="eastAsia" w:ascii="宋体" w:hAnsi="宋体" w:eastAsia="宋体"/>
        <w:sz w:val="28"/>
      </w:rPr>
      <w:t>1</w:t>
    </w:r>
    <w:r>
      <w:rPr>
        <w:rFonts w:hint="eastAsia" w:ascii="宋体" w:hAnsi="宋体" w:eastAsia="宋体"/>
        <w:sz w:val="28"/>
      </w:rPr>
      <w:fldChar w:fldCharType="end"/>
    </w:r>
    <w:r>
      <w:rPr>
        <w:rStyle w:val="13"/>
        <w:rFonts w:hint="eastAsia" w:ascii="宋体" w:hAnsi="宋体" w:eastAsia="宋体"/>
        <w:sz w:val="28"/>
      </w:rPr>
      <w:t>－</w:t>
    </w:r>
    <w:r>
      <w:rPr>
        <w:rStyle w:val="13"/>
        <w:rFonts w:hint="eastAsia" w:ascii="仿宋_GB2312"/>
        <w:sz w:val="28"/>
        <w:lang w:val="en-US" w:eastAsia="zh-CN"/>
      </w:rPr>
      <w:t xml:space="preserve"> </w:t>
    </w:r>
  </w:p>
  <w:p w14:paraId="64C3FA9E">
    <w:pPr>
      <w:pStyle w:val="7"/>
      <w:ind w:right="360" w:firstLine="360"/>
      <w:rPr>
        <w:rFonts w:hint="eastAsia" w:eastAsia="仿宋_GB2312"/>
        <w:lang w:val="en-US" w:eastAsia="zh-CN"/>
      </w:rPr>
    </w:pPr>
    <w:r>
      <w:rPr>
        <w:rFonts w:hint="eastAsia"/>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6C032">
    <w:pPr>
      <w:pStyle w:val="7"/>
      <w:framePr w:wrap="around" w:vAnchor="text" w:hAnchor="margin" w:xAlign="outside" w:y="1"/>
      <w:ind w:right="-342" w:rightChars="-107"/>
      <w:rPr>
        <w:rStyle w:val="13"/>
        <w:rFonts w:hint="eastAsia" w:ascii="宋体" w:hAnsi="宋体" w:eastAsia="宋体"/>
        <w:sz w:val="28"/>
      </w:rPr>
    </w:pPr>
    <w:r>
      <w:rPr>
        <w:rStyle w:val="13"/>
        <w:rFonts w:hint="eastAsia" w:ascii="宋体" w:hAnsi="宋体" w:eastAsia="宋体"/>
        <w:sz w:val="28"/>
        <w:lang w:eastAsia="zh-CN"/>
      </w:rPr>
      <w:t>　</w:t>
    </w:r>
    <w:r>
      <w:rPr>
        <w:rStyle w:val="13"/>
        <w:rFonts w:hint="eastAsia" w:ascii="宋体" w:hAnsi="宋体" w:eastAsia="宋体"/>
        <w:sz w:val="28"/>
      </w:rPr>
      <w:t>－</w:t>
    </w:r>
    <w:r>
      <w:rPr>
        <w:rFonts w:hint="eastAsia" w:ascii="宋体" w:hAnsi="宋体" w:eastAsia="宋体"/>
        <w:sz w:val="28"/>
      </w:rPr>
      <w:fldChar w:fldCharType="begin"/>
    </w:r>
    <w:r>
      <w:rPr>
        <w:rStyle w:val="13"/>
        <w:rFonts w:hint="eastAsia" w:ascii="宋体" w:hAnsi="宋体" w:eastAsia="宋体"/>
        <w:sz w:val="28"/>
      </w:rPr>
      <w:instrText xml:space="preserve">PAGE  </w:instrText>
    </w:r>
    <w:r>
      <w:rPr>
        <w:rFonts w:hint="eastAsia" w:ascii="宋体" w:hAnsi="宋体" w:eastAsia="宋体"/>
        <w:sz w:val="28"/>
      </w:rPr>
      <w:fldChar w:fldCharType="separate"/>
    </w:r>
    <w:r>
      <w:rPr>
        <w:rStyle w:val="13"/>
        <w:rFonts w:hint="eastAsia" w:ascii="宋体" w:hAnsi="宋体" w:eastAsia="宋体"/>
        <w:sz w:val="28"/>
      </w:rPr>
      <w:t>2</w:t>
    </w:r>
    <w:r>
      <w:rPr>
        <w:rFonts w:hint="eastAsia" w:ascii="宋体" w:hAnsi="宋体" w:eastAsia="宋体"/>
        <w:sz w:val="28"/>
      </w:rPr>
      <w:fldChar w:fldCharType="end"/>
    </w:r>
    <w:r>
      <w:rPr>
        <w:rStyle w:val="13"/>
        <w:rFonts w:hint="eastAsia" w:ascii="宋体" w:hAnsi="宋体" w:eastAsia="宋体"/>
        <w:sz w:val="28"/>
      </w:rPr>
      <w:t>－</w:t>
    </w:r>
  </w:p>
  <w:p w14:paraId="6004296A">
    <w:pPr>
      <w:pStyle w:val="7"/>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E77D2399"/>
    <w:rsid w:val="00C7776A"/>
    <w:rsid w:val="0AC05D46"/>
    <w:rsid w:val="103B2A63"/>
    <w:rsid w:val="2C265E74"/>
    <w:rsid w:val="31CC7D8E"/>
    <w:rsid w:val="459548AF"/>
    <w:rsid w:val="48377040"/>
    <w:rsid w:val="50ED5EE9"/>
    <w:rsid w:val="66784DC1"/>
    <w:rsid w:val="73CF59FD"/>
    <w:rsid w:val="754E3906"/>
    <w:rsid w:val="7EFDD752"/>
    <w:rsid w:val="7FE1975C"/>
    <w:rsid w:val="DF3332AF"/>
    <w:rsid w:val="E77D2399"/>
    <w:rsid w:val="F1FFE8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DejaVu Sans"/>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仿宋_GB2312"/>
      <w:kern w:val="2"/>
      <w:sz w:val="32"/>
      <w:lang w:val="en-US" w:eastAsia="zh-CN"/>
    </w:rPr>
  </w:style>
  <w:style w:type="paragraph" w:styleId="2">
    <w:name w:val="heading 1"/>
    <w:basedOn w:val="1"/>
    <w:next w:val="1"/>
    <w:uiPriority w:val="0"/>
    <w:pPr>
      <w:keepNext/>
      <w:keepLines/>
      <w:spacing w:before="340" w:beforeLines="0" w:after="330" w:afterLines="0" w:line="576" w:lineRule="auto"/>
      <w:outlineLvl w:val="0"/>
    </w:pPr>
    <w:rPr>
      <w:b/>
      <w:kern w:val="44"/>
      <w:sz w:val="44"/>
    </w:rPr>
  </w:style>
  <w:style w:type="paragraph" w:styleId="3">
    <w:name w:val="heading 2"/>
    <w:basedOn w:val="1"/>
    <w:next w:val="1"/>
    <w:uiPriority w:val="0"/>
    <w:pPr>
      <w:keepNext/>
      <w:keepLines/>
      <w:spacing w:before="260" w:beforeLines="0" w:after="260" w:afterLines="0" w:line="413" w:lineRule="auto"/>
      <w:outlineLvl w:val="1"/>
    </w:pPr>
    <w:rPr>
      <w:rFonts w:ascii="Arial" w:hAnsi="Arial" w:eastAsia="黑体"/>
      <w:b/>
      <w:bCs/>
      <w:kern w:val="2"/>
      <w:sz w:val="32"/>
      <w:szCs w:val="32"/>
      <w:lang w:val="en-US" w:eastAsia="zh-CN" w:bidi="ar-SA"/>
    </w:rPr>
  </w:style>
  <w:style w:type="character" w:default="1" w:styleId="11">
    <w:name w:val="Default Paragraph Font"/>
    <w:link w:val="12"/>
    <w:uiPriority w:val="0"/>
  </w:style>
  <w:style w:type="table" w:default="1" w:styleId="10">
    <w:name w:val="Normal Table"/>
    <w:unhideWhenUsed/>
    <w:uiPriority w:val="99"/>
    <w:tblPr>
      <w:tblStyle w:val="10"/>
      <w:tblCellMar>
        <w:top w:w="0" w:type="dxa"/>
        <w:left w:w="108" w:type="dxa"/>
        <w:bottom w:w="0" w:type="dxa"/>
        <w:right w:w="108" w:type="dxa"/>
      </w:tblCellMar>
    </w:tblPr>
  </w:style>
  <w:style w:type="paragraph" w:styleId="4">
    <w:name w:val="Body Text Indent"/>
    <w:basedOn w:val="1"/>
    <w:uiPriority w:val="0"/>
    <w:pPr>
      <w:ind w:firstLine="630"/>
    </w:pPr>
  </w:style>
  <w:style w:type="paragraph" w:styleId="5">
    <w:name w:val="Plain Text"/>
    <w:basedOn w:val="1"/>
    <w:uiPriority w:val="0"/>
    <w:rPr>
      <w:rFonts w:ascii="宋体" w:hAnsi="Courier New" w:cs="Courier New"/>
      <w:szCs w:val="21"/>
    </w:rPr>
  </w:style>
  <w:style w:type="paragraph" w:styleId="6">
    <w:name w:val="Body Text Indent 2"/>
    <w:basedOn w:val="1"/>
    <w:uiPriority w:val="0"/>
    <w:pPr>
      <w:widowControl/>
      <w:spacing w:line="400" w:lineRule="exact"/>
      <w:ind w:firstLine="480" w:firstLineChars="200"/>
    </w:pPr>
    <w:rPr>
      <w:sz w:val="24"/>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bottom w:val="single" w:color="auto" w:sz="6" w:space="1"/>
      </w:pBdr>
      <w:tabs>
        <w:tab w:val="center" w:pos="4153"/>
        <w:tab w:val="right" w:pos="8306"/>
      </w:tabs>
      <w:snapToGrid w:val="0"/>
      <w:jc w:val="center"/>
    </w:pPr>
    <w:rPr>
      <w:sz w:val="18"/>
    </w:rPr>
  </w:style>
  <w:style w:type="paragraph" w:styleId="9">
    <w:name w:val="toc 1"/>
    <w:basedOn w:val="1"/>
    <w:next w:val="1"/>
    <w:uiPriority w:val="0"/>
    <w:pPr>
      <w:tabs>
        <w:tab w:val="right" w:leader="dot" w:pos="8296"/>
      </w:tabs>
    </w:pPr>
    <w:rPr>
      <w:rFonts w:ascii="黑体" w:eastAsia="黑体"/>
      <w:sz w:val="44"/>
      <w:szCs w:val="44"/>
      <w:lang/>
    </w:rPr>
  </w:style>
  <w:style w:type="paragraph" w:customStyle="1" w:styleId="12">
    <w:name w:val=" Char1 Char Char Char"/>
    <w:basedOn w:val="1"/>
    <w:link w:val="11"/>
    <w:uiPriority w:val="0"/>
  </w:style>
  <w:style w:type="character" w:styleId="13">
    <w:name w:val="page number"/>
    <w:basedOn w:val="11"/>
    <w:uiPriority w:val="0"/>
  </w:style>
  <w:style w:type="character" w:styleId="14">
    <w:name w:val="Hyperlink"/>
    <w:basedOn w:val="11"/>
    <w:uiPriority w:val="0"/>
    <w:rPr>
      <w:color w:val="0000FF"/>
      <w:u w:val="single"/>
    </w:rPr>
  </w:style>
  <w:style w:type="paragraph" w:customStyle="1" w:styleId="15">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run\user\admin\gvfs\smb-share:server=10.10.51.54,share=samba-share\&#9733;&#9733;&#9733;&#9733;&#9733;&#39640;&#26816;&#38498;&#25991;&#20214;&#27169;&#29256;&#9733;&#9733;&#9733;&#9733;\&#9733;&#9733;&#26032;&#32418;&#22836;&#27169;&#29256;&#9733;&#9733;&#9733;\&#30740;&#31350;&#23460;\&#39640;&#26816;&#21457;&#37322;&#23383;&#12308;201&#215;&#12309;&#215;&#21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高检发释字〔201×〕×号.wpt</Template>
  <Pages>8</Pages>
  <Words>2565</Words>
  <Characters>2585</Characters>
  <Lines>1</Lines>
  <Paragraphs>1</Paragraphs>
  <TotalTime>0</TotalTime>
  <ScaleCrop>false</ScaleCrop>
  <LinksUpToDate>false</LinksUpToDate>
  <CharactersWithSpaces>2694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2018-04-03T15:42:00Z</dcterms:created>
  <dc:creator>admin</dc:creator>
  <cp:lastModifiedBy>Administrator</cp:lastModifiedBy>
  <dcterms:modified xsi:type="dcterms:W3CDTF">2026-05-24T09:38:34Z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2A5B09DDD0924201939CD77556A251F0_13</vt:lpwstr>
  </property>
</Properties>
</file>