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4301B2">
      <w:pPr>
        <w:jc w:val="center"/>
        <w:rPr>
          <w:rFonts w:hint="eastAsia" w:eastAsia="华文中宋"/>
          <w:color w:val="FF0000"/>
          <w:spacing w:val="-20"/>
          <w:w w:val="80"/>
          <w:sz w:val="80"/>
        </w:rPr>
      </w:pPr>
      <w:bookmarkStart w:id="1" w:name="_GoBack"/>
      <w:bookmarkEnd w:id="1"/>
      <w:bookmarkStart w:id="0" w:name="fileContent"/>
      <w:bookmarkEnd w:id="0"/>
      <w:r>
        <w:rPr>
          <w:rFonts w:hint="eastAsia" w:eastAsia="华文中宋"/>
          <w:color w:val="FF0000"/>
          <w:spacing w:val="-20"/>
          <w:w w:val="80"/>
          <w:sz w:val="80"/>
        </w:rPr>
        <w:t>中华人民共和国最高人民检察院</w:t>
      </w:r>
    </w:p>
    <w:p w14:paraId="27640E0B">
      <w:pPr>
        <w:spacing w:line="800" w:lineRule="exact"/>
        <w:jc w:val="center"/>
        <w:rPr>
          <w:rFonts w:hint="eastAsia" w:eastAsia="华文中宋"/>
          <w:color w:val="FF0000"/>
          <w:spacing w:val="-20"/>
          <w:w w:val="80"/>
          <w:sz w:val="80"/>
        </w:rPr>
      </w:pPr>
    </w:p>
    <w:p w14:paraId="3E6DD364">
      <w:pPr>
        <w:jc w:val="center"/>
        <w:rPr>
          <w:rFonts w:hint="eastAsia" w:ascii="黑体" w:eastAsia="黑体"/>
          <w:w w:val="80"/>
          <w:sz w:val="144"/>
        </w:rPr>
      </w:pPr>
      <w:r>
        <w:rPr>
          <w:rFonts w:hint="eastAsia" w:eastAsia="华文中宋"/>
          <w:color w:val="FF0000"/>
          <w:spacing w:val="-20"/>
          <w:w w:val="80"/>
          <w:sz w:val="144"/>
        </w:rPr>
        <w:t>公    告</w:t>
      </w:r>
    </w:p>
    <w:p w14:paraId="07FA1152">
      <w:pPr>
        <w:rPr>
          <w:rFonts w:hint="eastAsia"/>
        </w:rPr>
      </w:pPr>
    </w:p>
    <w:p w14:paraId="1FD9F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632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sz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《最高人民检察院关于认定累犯如何确定刑罚执行完毕以后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五年以内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起始日期的批复》已于201</w:t>
      </w:r>
      <w:r>
        <w:rPr>
          <w:rFonts w:hint="default" w:ascii="Times New Roman" w:hAnsi="Times New Roman" w:cs="Times New Roman"/>
          <w:sz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年</w:t>
      </w:r>
      <w:r>
        <w:rPr>
          <w:rFonts w:hint="default" w:ascii="Times New Roman" w:hAnsi="Times New Roman" w:cs="Times New Roman"/>
          <w:sz w:val="32"/>
          <w:highlight w:val="none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月</w:t>
      </w:r>
      <w:r>
        <w:rPr>
          <w:rFonts w:hint="default" w:ascii="Times New Roman" w:hAnsi="Times New Roman" w:cs="Times New Roman"/>
          <w:sz w:val="32"/>
          <w:highlight w:val="none"/>
          <w:lang w:val="en-US" w:eastAsia="zh-CN"/>
        </w:rPr>
        <w:t>25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日由最高人民检察院第十</w:t>
      </w:r>
      <w:r>
        <w:rPr>
          <w:rFonts w:hint="default" w:ascii="Times New Roman" w:hAnsi="Times New Roman" w:cs="Times New Roman"/>
          <w:sz w:val="32"/>
          <w:highlight w:val="none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届检察委员会第</w:t>
      </w:r>
      <w:r>
        <w:rPr>
          <w:rFonts w:hint="default" w:ascii="Times New Roman" w:hAnsi="Times New Roman" w:cs="Times New Roman"/>
          <w:sz w:val="32"/>
          <w:highlight w:val="none"/>
          <w:lang w:val="en-US" w:eastAsia="zh-CN"/>
        </w:rPr>
        <w:t>十二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次会议通过，现予公布，自201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年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月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30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日起施行。</w:t>
      </w:r>
    </w:p>
    <w:p w14:paraId="1D9EB7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仿宋_GB2312" w:cs="Times New Roman"/>
          <w:sz w:val="32"/>
          <w:highlight w:val="none"/>
          <w:lang w:val="en-US" w:eastAsia="zh-CN"/>
        </w:rPr>
      </w:pPr>
    </w:p>
    <w:p w14:paraId="74BBA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仿宋_GB2312" w:cs="Times New Roman"/>
          <w:sz w:val="32"/>
          <w:highlight w:val="none"/>
          <w:lang w:val="en-US" w:eastAsia="zh-CN"/>
        </w:rPr>
      </w:pPr>
    </w:p>
    <w:p w14:paraId="542D0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仿宋_GB2312" w:cs="Times New Roman"/>
          <w:sz w:val="32"/>
          <w:highlight w:val="none"/>
          <w:lang w:val="en-US" w:eastAsia="zh-CN"/>
        </w:rPr>
      </w:pPr>
    </w:p>
    <w:p w14:paraId="5F9C7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highlight w:val="none"/>
          <w:lang w:eastAsia="zh-CN"/>
        </w:rPr>
        <w:t xml:space="preserve">                              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最 高 人 民 检 察 院</w:t>
      </w:r>
    </w:p>
    <w:p w14:paraId="7BE5D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eastAsia="zh-CN"/>
        </w:rPr>
      </w:pPr>
      <w:r>
        <w:rPr>
          <w:rFonts w:hint="default" w:ascii="Times New Roman" w:hAnsi="Times New Roman" w:cs="Times New Roman"/>
          <w:sz w:val="32"/>
          <w:highlight w:val="none"/>
          <w:lang w:eastAsia="zh-CN"/>
        </w:rPr>
        <w:t xml:space="preserve">                                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201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年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月</w:t>
      </w:r>
      <w:r>
        <w:rPr>
          <w:rFonts w:hint="eastAsia" w:ascii="Times New Roman" w:hAnsi="Times New Roman" w:cs="Times New Roman"/>
          <w:sz w:val="32"/>
          <w:highlight w:val="none"/>
          <w:lang w:val="en-US" w:eastAsia="zh-CN"/>
        </w:rPr>
        <w:t>28</w:t>
      </w:r>
      <w:r>
        <w:rPr>
          <w:rFonts w:hint="default" w:ascii="Times New Roman" w:hAnsi="Times New Roman" w:eastAsia="仿宋_GB2312" w:cs="Times New Roman"/>
          <w:sz w:val="32"/>
          <w:highlight w:val="none"/>
          <w:lang w:val="en-US" w:eastAsia="zh-CN"/>
        </w:rPr>
        <w:t>日</w:t>
      </w:r>
      <w:r>
        <w:rPr>
          <w:rFonts w:hint="default" w:ascii="Times New Roman" w:hAnsi="Times New Roman" w:cs="Times New Roman"/>
          <w:sz w:val="32"/>
          <w:highlight w:val="none"/>
          <w:lang w:eastAsia="zh-CN"/>
        </w:rPr>
        <w:t xml:space="preserve">        </w:t>
      </w:r>
    </w:p>
    <w:p w14:paraId="73F5D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eastAsia="zh-CN"/>
        </w:rPr>
      </w:pPr>
    </w:p>
    <w:p w14:paraId="7CF7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CN"/>
        </w:rPr>
      </w:pPr>
    </w:p>
    <w:p w14:paraId="76BDD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</w:p>
    <w:p w14:paraId="55CF5A78">
      <w:pPr>
        <w:rPr>
          <w:rFonts w:hint="eastAsia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cols w:space="720" w:num="1"/>
          <w:docGrid w:type="linesAndChars" w:linePitch="579" w:charSpace="-849"/>
        </w:sectPr>
      </w:pPr>
    </w:p>
    <w:p w14:paraId="51B13029">
      <w:pPr>
        <w:rPr>
          <w:rFonts w:hint="eastAsia"/>
        </w:rPr>
      </w:pPr>
    </w:p>
    <w:p w14:paraId="2B5D2358">
      <w:pPr>
        <w:rPr>
          <w:rFonts w:hint="eastAsia"/>
        </w:rPr>
      </w:pPr>
    </w:p>
    <w:p w14:paraId="62BB319E">
      <w:pPr>
        <w:rPr>
          <w:rFonts w:hint="eastAsia"/>
        </w:rPr>
      </w:pPr>
    </w:p>
    <w:p w14:paraId="6DFE313A">
      <w:pPr>
        <w:rPr>
          <w:rFonts w:hint="eastAsia"/>
        </w:rPr>
      </w:pPr>
    </w:p>
    <w:p w14:paraId="5F636D1F">
      <w:pPr>
        <w:rPr>
          <w:rFonts w:hint="eastAsia"/>
        </w:rPr>
      </w:pPr>
    </w:p>
    <w:p w14:paraId="6A0D68E2">
      <w:pPr>
        <w:rPr>
          <w:rFonts w:hint="eastAsia"/>
        </w:rPr>
      </w:pPr>
    </w:p>
    <w:p w14:paraId="6A8FCF74">
      <w:pPr>
        <w:rPr>
          <w:rFonts w:hint="eastAsia"/>
        </w:rPr>
      </w:pPr>
    </w:p>
    <w:p w14:paraId="1E2DFFE9">
      <w:pPr>
        <w:rPr>
          <w:rFonts w:hint="eastAsia"/>
        </w:rPr>
      </w:pPr>
    </w:p>
    <w:p w14:paraId="0D496FC1">
      <w:pPr>
        <w:rPr>
          <w:rFonts w:hint="eastAsia"/>
        </w:rPr>
      </w:pPr>
    </w:p>
    <w:p w14:paraId="47DB4A3A">
      <w:pPr>
        <w:rPr>
          <w:rFonts w:hint="eastAsia"/>
        </w:rPr>
      </w:pPr>
    </w:p>
    <w:p w14:paraId="3353F93B">
      <w:pPr>
        <w:rPr>
          <w:rFonts w:hint="eastAsia"/>
        </w:rPr>
      </w:pPr>
    </w:p>
    <w:p w14:paraId="047A12D3">
      <w:pPr>
        <w:rPr>
          <w:rFonts w:hint="eastAsia"/>
        </w:rPr>
      </w:pPr>
    </w:p>
    <w:p w14:paraId="66400BD9">
      <w:pPr>
        <w:rPr>
          <w:rFonts w:hint="eastAsia"/>
        </w:rPr>
      </w:pPr>
    </w:p>
    <w:p w14:paraId="7CEFEF21">
      <w:pPr>
        <w:rPr>
          <w:rFonts w:hint="eastAsia"/>
        </w:rPr>
      </w:pPr>
    </w:p>
    <w:p w14:paraId="70343A34">
      <w:pPr>
        <w:rPr>
          <w:rFonts w:hint="eastAsia"/>
        </w:rPr>
      </w:pPr>
    </w:p>
    <w:p w14:paraId="34B9F612">
      <w:pPr>
        <w:rPr>
          <w:rFonts w:hint="eastAsia"/>
        </w:rPr>
      </w:pPr>
    </w:p>
    <w:p w14:paraId="0AEBC801">
      <w:pPr>
        <w:rPr>
          <w:rFonts w:hint="eastAsia"/>
        </w:rPr>
      </w:pPr>
    </w:p>
    <w:p w14:paraId="4E2D4DB8">
      <w:pPr>
        <w:rPr>
          <w:rFonts w:hint="eastAsia"/>
        </w:rPr>
      </w:pPr>
    </w:p>
    <w:p w14:paraId="7B5B7295">
      <w:pPr>
        <w:rPr>
          <w:rFonts w:hint="eastAsia"/>
        </w:rPr>
      </w:pPr>
    </w:p>
    <w:p w14:paraId="26CD2092">
      <w:pPr>
        <w:rPr>
          <w:rFonts w:hint="eastAsia"/>
        </w:rPr>
      </w:pPr>
    </w:p>
    <w:p w14:paraId="5373994C">
      <w:pPr>
        <w:rPr>
          <w:rFonts w:hint="eastAsia"/>
        </w:rPr>
      </w:pPr>
    </w:p>
    <w:p w14:paraId="5A71188A">
      <w:pPr>
        <w:rPr>
          <w:rFonts w:hint="eastAsia"/>
        </w:rPr>
      </w:pPr>
    </w:p>
    <w:p w14:paraId="3B2B7B6F">
      <w:pPr>
        <w:rPr>
          <w:rFonts w:hint="eastAsia"/>
        </w:rPr>
        <w:sectPr>
          <w:pgSz w:w="11906" w:h="16838"/>
          <w:pgMar w:top="2098" w:right="1531" w:bottom="1985" w:left="1531" w:header="851" w:footer="1588" w:gutter="0"/>
          <w:cols w:space="720" w:num="1"/>
          <w:docGrid w:type="linesAndChars" w:linePitch="579" w:charSpace="-849"/>
        </w:sectPr>
      </w:pPr>
    </w:p>
    <w:p w14:paraId="2CB92454">
      <w:pPr>
        <w:rPr>
          <w:rFonts w:hint="eastAsia"/>
        </w:rPr>
      </w:pPr>
    </w:p>
    <w:p w14:paraId="0004DD42">
      <w:pPr>
        <w:rPr>
          <w:rFonts w:hint="eastAsia"/>
        </w:rPr>
      </w:pPr>
    </w:p>
    <w:p w14:paraId="6685F006">
      <w:pPr>
        <w:rPr>
          <w:rFonts w:hint="eastAsia"/>
        </w:rPr>
      </w:pPr>
    </w:p>
    <w:p w14:paraId="0BE91F71">
      <w:pPr>
        <w:rPr>
          <w:rFonts w:hint="eastAsia"/>
        </w:rPr>
      </w:pPr>
    </w:p>
    <w:p w14:paraId="751B54A1">
      <w:pPr>
        <w:rPr>
          <w:rFonts w:hint="eastAsia"/>
        </w:rPr>
      </w:pPr>
      <w:r>
        <w:rPr>
          <w:sz w:val="20"/>
        </w:rPr>
        <w:pict>
          <v:shape id="Text Box 2" o:spid="_x0000_s1026" o:spt="202" type="#_x0000_t202" style="position:absolute;left:0pt;margin-left:1.65pt;margin-top:72.15pt;height:115.8pt;width:438.85pt;mso-position-horizontal-relative:margin;mso-position-vertical-relative:margin;z-index:251659264;mso-width-relative:page;mso-height-relative:page;" filled="f" stroked="f" coordsize="21600,21600" o:allowoverlap="f" o:gfxdata="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bbEvPtgAAAAJAQAADwAAAAAAAAABACAA&#10;AAAiAAAAZHJzL2Rvd25yZXYueG1sUEsBAhQAFAAAAAgAh07iQAd9yTKbAQAAMgMAAA4AAAAAAAAA&#10;AQAgAAAAJwEAAGRycy9lMm9Eb2MueG1sUEsFBgAAAAAGAAYAWQEAADQFAAAAAA==&#10;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07463D">
                  <w:pPr>
                    <w:ind w:left="0" w:leftChars="0" w:right="0" w:rightChars="0" w:firstLine="0" w:firstLineChars="0"/>
                    <w:jc w:val="center"/>
                    <w:rPr>
                      <w:rFonts w:hint="eastAsia" w:ascii="方正小标宋_GBK" w:hAnsi="方正小标宋_GBK" w:eastAsia="方正小标宋_GBK"/>
                      <w:b w:val="0"/>
                      <w:bCs/>
                      <w:color w:val="FF0000"/>
                      <w:spacing w:val="53"/>
                      <w:w w:val="70"/>
                      <w:sz w:val="130"/>
                    </w:rPr>
                  </w:pPr>
                  <w:r>
                    <w:rPr>
                      <w:rFonts w:hint="eastAsia" w:ascii="方正小标宋_GBK" w:hAnsi="方正小标宋_GBK" w:eastAsia="方正小标宋_GBK"/>
                      <w:b w:val="0"/>
                      <w:bCs/>
                      <w:color w:val="FF0000"/>
                      <w:spacing w:val="53"/>
                      <w:w w:val="70"/>
                      <w:sz w:val="130"/>
                    </w:rPr>
                    <w:t>最高人民检察院</w:t>
                  </w:r>
                </w:p>
                <w:p w14:paraId="41943DD6">
                  <w:pPr>
                    <w:ind w:left="0" w:leftChars="0" w:right="0" w:rightChars="0" w:firstLine="0" w:firstLineChars="0"/>
                    <w:jc w:val="center"/>
                    <w:rPr>
                      <w:rFonts w:hint="eastAsia" w:ascii="方正小标宋_GBK" w:hAnsi="方正小标宋_GBK" w:eastAsia="方正小标宋_GBK"/>
                      <w:b w:val="0"/>
                      <w:bCs/>
                      <w:color w:val="FF0000"/>
                      <w:w w:val="80"/>
                      <w:sz w:val="144"/>
                    </w:rPr>
                  </w:pPr>
                </w:p>
              </w:txbxContent>
            </v:textbox>
            <w10:anchorlock/>
          </v:shape>
        </w:pict>
      </w:r>
    </w:p>
    <w:p w14:paraId="499903A1">
      <w:pPr>
        <w:rPr>
          <w:rFonts w:hint="eastAsia" w:ascii="仿宋_GB2312"/>
        </w:rPr>
      </w:pPr>
    </w:p>
    <w:p w14:paraId="58C3A277">
      <w:pPr>
        <w:rPr>
          <w:rFonts w:hint="eastAsia"/>
        </w:rPr>
      </w:pPr>
    </w:p>
    <w:p w14:paraId="7E3545AE">
      <w:pPr>
        <w:rPr>
          <w:rFonts w:hint="eastAsia"/>
        </w:rPr>
      </w:pPr>
      <w:r>
        <w:rPr>
          <w:sz w:val="20"/>
        </w:rPr>
        <w:pict>
          <v:line id="Line 3" o:spid="_x0000_s1027" o:spt="20" style="position:absolute;left:0pt;margin-left:0pt;margin-top:345.5pt;height:0.05pt;width:442.2pt;mso-position-horizontal-relative:margin;mso-position-vertical-relative:page;z-index:251660288;mso-width-relative:page;mso-height-relative:page;" filled="f" stroked="t" coordsize="21600,21600" o:allowoverlap="f" o:gfxdata="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DLEOqXXAAAACAEAAA8AAAAAAAAAAQAgAAAAIgAAAGRycy9kb3ducmV2&#10;LnhtbFBLAQIUABQAAAAIAIdO4kCEEm0txAEAAI4DAAAOAAAAAAAAAAEAIAAAACYBAABkcnMvZTJv&#10;RG9jLnhtbFBLBQYAAAAABgAGAFkBAABcBQAAAAA=&#10;">
            <v:path arrowok="t"/>
            <v:fill on="f" focussize="0,0"/>
            <v:stroke weight="1.5pt" color="#FF0000" joinstyle="round"/>
            <v:imagedata o:title=""/>
            <o:lock v:ext="edit" aspectratio="f"/>
            <w10:anchorlock/>
          </v:line>
        </w:pict>
      </w:r>
    </w:p>
    <w:p w14:paraId="1C1293C6">
      <w:pPr>
        <w:rPr>
          <w:rFonts w:hint="eastAsia"/>
        </w:rPr>
      </w:pPr>
      <w:r>
        <w:rPr>
          <w:sz w:val="20"/>
        </w:rPr>
        <w:pict>
          <v:shape id="Text Box 4" o:spid="_x0000_s1028" o:spt="202" type="#_x0000_t202" style="position:absolute;left:0pt;margin-top:307.9pt;height:28.95pt;width:224.75pt;mso-position-horizontal:center;mso-position-vertical-relative:page;z-index:251661312;mso-width-relative:page;mso-height-relative:page;" filled="f" stroked="f" coordsize="21600,21600" o:allowoverlap="f" o:gfxdata="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Jg9LdXWAAAACAEAAA8AAAAAAAAAAQAgAAAAIgAAAGRycy9kb3ducmV2&#10;LnhtbFBLAQIUABQAAAAIAIdO4kAGgim8jAEAAA0DAAAOAAAAAAAAAAEAIAAAACUBAABkcnMvZTJv&#10;RG9jLnhtbFBLBQYAAAAABgAGAFkBAAAjBQAAAAA=&#10;">
            <v:path/>
            <v:fill on="f" focussize="0,0"/>
            <v:stroke on="f"/>
            <v:imagedata o:title=""/>
            <o:lock v:ext="edit" aspectratio="f"/>
            <v:textbox>
              <w:txbxContent>
                <w:p w14:paraId="0C76CD7A">
                  <w:pPr>
                    <w:jc w:val="center"/>
                    <w:rPr>
                      <w:sz w:val="32"/>
                    </w:rPr>
                  </w:pPr>
                  <w:r>
                    <w:rPr>
                      <w:rFonts w:hint="eastAsia"/>
                      <w:sz w:val="32"/>
                    </w:rPr>
                    <w:t>高检</w:t>
                  </w:r>
                  <w:r>
                    <w:rPr>
                      <w:rFonts w:hint="eastAsia"/>
                      <w:sz w:val="32"/>
                      <w:lang w:eastAsia="zh-CN"/>
                    </w:rPr>
                    <w:t>发释</w:t>
                  </w:r>
                  <w:r>
                    <w:rPr>
                      <w:rFonts w:hint="eastAsia"/>
                      <w:sz w:val="32"/>
                    </w:rPr>
                    <w:t>字</w:t>
                  </w:r>
                  <w:r>
                    <w:rPr>
                      <w:rFonts w:hint="eastAsia" w:ascii="仿宋_GB2312"/>
                      <w:sz w:val="32"/>
                    </w:rPr>
                    <w:t>〔20</w:t>
                  </w:r>
                  <w:r>
                    <w:rPr>
                      <w:rFonts w:hint="eastAsia" w:ascii="仿宋_GB2312"/>
                      <w:sz w:val="32"/>
                      <w:lang w:val="en-US" w:eastAsia="zh-CN"/>
                    </w:rPr>
                    <w:t>18</w:t>
                  </w:r>
                  <w:r>
                    <w:rPr>
                      <w:rFonts w:hint="eastAsia" w:ascii="仿宋_GB2312"/>
                      <w:sz w:val="32"/>
                    </w:rPr>
                    <w:t>〕</w:t>
                  </w:r>
                  <w:r>
                    <w:rPr>
                      <w:rFonts w:hint="eastAsia" w:ascii="仿宋_GB2312"/>
                      <w:sz w:val="32"/>
                      <w:lang w:val="en-US" w:eastAsia="zh-CN"/>
                    </w:rPr>
                    <w:t>2</w:t>
                  </w:r>
                  <w:r>
                    <w:rPr>
                      <w:rFonts w:hint="eastAsia" w:ascii="仿宋_GB2312"/>
                      <w:sz w:val="32"/>
                    </w:rPr>
                    <w:t>号</w:t>
                  </w:r>
                </w:p>
              </w:txbxContent>
            </v:textbox>
            <w10:anchorlock/>
          </v:shape>
        </w:pict>
      </w:r>
    </w:p>
    <w:p w14:paraId="0EC44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</w:p>
    <w:p w14:paraId="7D1AE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  <w:t>最高人民检察院</w:t>
      </w:r>
    </w:p>
    <w:p w14:paraId="63D32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  <w:t>关于认定累犯如何确定刑罚执行完毕以后</w:t>
      </w:r>
    </w:p>
    <w:p w14:paraId="6ED2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u w:val="none" w:color="auto"/>
          <w:lang w:val="en-US" w:eastAsia="zh-CN"/>
        </w:rPr>
        <w:t>“五年以内”起始日期的批复</w:t>
      </w:r>
    </w:p>
    <w:p w14:paraId="2F4B7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  <w:t>（2018年12月25日</w:t>
      </w:r>
      <w:r>
        <w:rPr>
          <w:rFonts w:hint="eastAsia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  <w:t>最高人民检察院</w:t>
      </w:r>
    </w:p>
    <w:p w14:paraId="56C6F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</w:pPr>
      <w:r>
        <w:rPr>
          <w:rFonts w:hint="default" w:ascii="Times New Roman" w:hAnsi="Times New Roman" w:eastAsia="楷体_GB2312" w:cs="Times New Roman"/>
          <w:spacing w:val="0"/>
          <w:sz w:val="32"/>
          <w:szCs w:val="32"/>
          <w:u w:val="none" w:color="auto"/>
          <w:lang w:val="en-US" w:eastAsia="zh-CN"/>
        </w:rPr>
        <w:t>第十三届检察委员会第十二次会议通过）</w:t>
      </w:r>
    </w:p>
    <w:p w14:paraId="584C7FBC">
      <w:pPr>
        <w:rPr>
          <w:rFonts w:hint="eastAsia"/>
          <w:lang w:val="en-US" w:eastAsia="zh-CN"/>
        </w:rPr>
      </w:pPr>
    </w:p>
    <w:p w14:paraId="10822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right="0" w:rightChars="0"/>
        <w:jc w:val="both"/>
        <w:textAlignment w:val="auto"/>
        <w:outlineLvl w:val="9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北京市人民检察院：</w:t>
      </w:r>
    </w:p>
    <w:p w14:paraId="18B69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632" w:firstLineChars="200"/>
        <w:jc w:val="both"/>
        <w:textAlignment w:val="auto"/>
        <w:outlineLvl w:val="9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你院《关于认定累犯如何确定刑罚执行完毕以后五年以内起始日期的请示》收悉。经研究，批复如下：</w:t>
      </w:r>
    </w:p>
    <w:p w14:paraId="4292F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632" w:firstLineChars="200"/>
        <w:jc w:val="both"/>
        <w:textAlignment w:val="auto"/>
        <w:outlineLvl w:val="9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刑法第六十五条第一款规定</w:t>
      </w:r>
      <w:r>
        <w:rPr>
          <w:rFonts w:hint="eastAsia" w:ascii="仿宋_GB2312" w:hAnsi="仿宋_GB2312" w:cs="仿宋_GB2312"/>
          <w:sz w:val="32"/>
          <w:szCs w:val="32"/>
          <w:highlight w:val="none"/>
          <w:lang w:val="en-US" w:eastAsia="zh-CN"/>
        </w:rPr>
        <w:t>的“刑罚执行完毕”，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是指刑罚执行到期应予释放之日。认定累犯，确定刑罚执行完毕以后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“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五年以内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”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的起始日期，应当从刑满释放之日起计算。</w:t>
      </w:r>
    </w:p>
    <w:p w14:paraId="5A019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632" w:firstLineChars="200"/>
        <w:jc w:val="both"/>
        <w:textAlignment w:val="auto"/>
        <w:outlineLvl w:val="9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此复。</w:t>
      </w:r>
    </w:p>
    <w:p w14:paraId="32D2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val="en-US" w:eastAsia="zh-CN"/>
        </w:rPr>
      </w:pPr>
    </w:p>
    <w:p w14:paraId="60465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val="en-US" w:eastAsia="zh-CN"/>
        </w:rPr>
      </w:pPr>
    </w:p>
    <w:p w14:paraId="448D8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val="en-US" w:eastAsia="zh-CN"/>
        </w:rPr>
      </w:pPr>
    </w:p>
    <w:p w14:paraId="5E0A9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                     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最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高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人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民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检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察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院</w:t>
      </w:r>
    </w:p>
    <w:p w14:paraId="56A98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仿宋_GB2312" w:cs="Times New Roman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                      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2018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年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12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Times New Roman" w:hAnsi="Times New Roman" w:cs="Times New Roman"/>
          <w:sz w:val="32"/>
          <w:szCs w:val="32"/>
          <w:highlight w:val="none"/>
          <w:lang w:val="en-US" w:eastAsia="zh-CN"/>
        </w:rPr>
        <w:t>28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val="en-US" w:eastAsia="zh-CN"/>
        </w:rPr>
        <w:t>日</w:t>
      </w:r>
      <w:r>
        <w:rPr>
          <w:rFonts w:hint="default" w:ascii="Times New Roman" w:hAnsi="Times New Roman" w:cs="Times New Roman"/>
          <w:sz w:val="32"/>
          <w:szCs w:val="32"/>
          <w:highlight w:val="none"/>
          <w:lang w:eastAsia="zh-CN"/>
        </w:rPr>
        <w:t xml:space="preserve">        </w:t>
      </w:r>
    </w:p>
    <w:p w14:paraId="22CE357B">
      <w:pPr>
        <w:rPr>
          <w:rFonts w:hint="eastAsia" w:eastAsia="仿宋_GB2312"/>
          <w:lang w:eastAsia="zh-CN"/>
        </w:rPr>
      </w:pPr>
      <w:r>
        <w:rPr>
          <w:rFonts w:hint="default"/>
          <w:lang w:eastAsia="zh-CN"/>
        </w:rPr>
        <w:t xml:space="preserve">    （此件发至县级人民检察院）</w:t>
      </w:r>
    </w:p>
    <w:p w14:paraId="4574D4B7">
      <w:pPr>
        <w:rPr>
          <w:rFonts w:hint="eastAsia"/>
        </w:rPr>
      </w:pPr>
    </w:p>
    <w:tbl>
      <w:tblPr>
        <w:tblStyle w:val="5"/>
        <w:tblpPr w:leftFromText="181" w:rightFromText="181" w:vertAnchor="page" w:horzAnchor="page" w:tblpX="1514" w:tblpY="12412"/>
        <w:tblOverlap w:val="never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3"/>
      </w:tblGrid>
      <w:tr w14:paraId="7D7D5B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  <w:jc w:val="center"/>
        </w:trPr>
        <w:tc>
          <w:tcPr>
            <w:tcW w:w="8813" w:type="dxa"/>
            <w:tcBorders>
              <w:tl2br w:val="nil"/>
              <w:tr2bl w:val="nil"/>
            </w:tcBorders>
            <w:noWrap w:val="0"/>
            <w:vAlign w:val="center"/>
          </w:tcPr>
          <w:p w14:paraId="4FDD1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6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/>
                <w:sz w:val="28"/>
                <w:lang w:eastAsia="zh-CN"/>
              </w:rPr>
            </w:pPr>
            <w:r>
              <w:rPr>
                <w:rFonts w:hint="eastAsia" w:ascii="仿宋_GB2312" w:hAnsi="仿宋_GB2312"/>
                <w:spacing w:val="2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/>
                <w:spacing w:val="2"/>
                <w:sz w:val="28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/>
                <w:spacing w:val="2"/>
                <w:sz w:val="28"/>
                <w:lang w:eastAsia="zh-CN"/>
              </w:rPr>
              <w:t>抄送：</w:t>
            </w:r>
            <w:r>
              <w:rPr>
                <w:rFonts w:hint="default" w:ascii="仿宋_GB2312" w:hAnsi="仿宋_GB2312"/>
                <w:sz w:val="28"/>
                <w:lang w:eastAsia="zh-CN"/>
              </w:rPr>
              <w:t>全国人大常委会法工委、高法院、公安部、司法部；</w:t>
            </w:r>
          </w:p>
          <w:p w14:paraId="2CCDC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6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default" w:ascii="仿宋_GB2312" w:hAnsi="仿宋_GB2312"/>
                <w:sz w:val="28"/>
                <w:lang w:eastAsia="zh-CN"/>
              </w:rPr>
            </w:pPr>
            <w:r>
              <w:rPr>
                <w:rFonts w:hint="eastAsia" w:ascii="仿宋_GB2312" w:hAnsi="仿宋_GB2312"/>
                <w:sz w:val="28"/>
                <w:lang w:val="en-US" w:eastAsia="zh-CN"/>
              </w:rPr>
              <w:t xml:space="preserve">      </w:t>
            </w:r>
            <w:r>
              <w:rPr>
                <w:rFonts w:hint="default" w:ascii="仿宋_GB2312" w:hAnsi="仿宋_GB2312"/>
                <w:sz w:val="28"/>
                <w:lang w:eastAsia="zh-CN"/>
              </w:rPr>
              <w:t xml:space="preserve"> </w:t>
            </w:r>
            <w:r>
              <w:rPr>
                <w:rFonts w:hint="eastAsia" w:ascii="仿宋_GB2312" w:hAnsi="仿宋_GB2312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/>
                <w:sz w:val="28"/>
                <w:lang w:eastAsia="zh-CN"/>
              </w:rPr>
              <w:t>各省、自治区、直辖市人民检察院，军事检察院，</w:t>
            </w:r>
          </w:p>
          <w:p w14:paraId="35DA7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6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default" w:ascii="仿宋_GB2312" w:hAnsi="仿宋_GB2312"/>
                <w:sz w:val="28"/>
                <w:lang w:eastAsia="zh-CN"/>
              </w:rPr>
            </w:pPr>
            <w:r>
              <w:rPr>
                <w:rFonts w:hint="default" w:ascii="仿宋_GB2312" w:hAnsi="仿宋_GB2312"/>
                <w:sz w:val="28"/>
                <w:lang w:eastAsia="zh-CN"/>
              </w:rPr>
              <w:t xml:space="preserve">        新疆生产建设兵团人民检察院</w:t>
            </w:r>
            <w:r>
              <w:rPr>
                <w:rFonts w:hint="eastAsia" w:ascii="仿宋_GB2312" w:hAnsi="仿宋_GB2312"/>
                <w:sz w:val="28"/>
                <w:lang w:eastAsia="zh-CN"/>
              </w:rPr>
              <w:t>；</w:t>
            </w:r>
          </w:p>
          <w:p w14:paraId="5476E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6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 w:ascii="仿宋_GB2312"/>
                <w:sz w:val="28"/>
                <w:lang w:eastAsia="zh-CN"/>
              </w:rPr>
            </w:pPr>
            <w:r>
              <w:rPr>
                <w:rFonts w:hint="eastAsia" w:ascii="仿宋_GB2312" w:hAnsi="仿宋_GB2312"/>
                <w:sz w:val="28"/>
                <w:lang w:val="en-US" w:eastAsia="zh-CN"/>
              </w:rPr>
              <w:t xml:space="preserve">        </w:t>
            </w:r>
            <w:r>
              <w:rPr>
                <w:rFonts w:hint="eastAsia" w:ascii="仿宋_GB2312"/>
                <w:sz w:val="28"/>
                <w:lang w:eastAsia="zh-CN"/>
              </w:rPr>
              <w:t>本院领导同志、检委会专职委员；</w:t>
            </w:r>
          </w:p>
          <w:p w14:paraId="6929D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6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仿宋_GB2312"/>
                <w:sz w:val="28"/>
                <w:lang w:val="en-US" w:eastAsia="zh-CN"/>
              </w:rPr>
              <w:t xml:space="preserve">        </w:t>
            </w:r>
            <w:r>
              <w:rPr>
                <w:rFonts w:hint="default" w:ascii="仿宋_GB2312"/>
                <w:sz w:val="28"/>
              </w:rPr>
              <w:t>驻院纪检监察组</w:t>
            </w:r>
            <w:r>
              <w:rPr>
                <w:rFonts w:hint="default" w:ascii="仿宋_GB2312"/>
                <w:sz w:val="28"/>
                <w:lang w:eastAsia="zh-CN"/>
              </w:rPr>
              <w:t>，</w:t>
            </w:r>
            <w:r>
              <w:rPr>
                <w:rFonts w:hint="eastAsia" w:ascii="仿宋_GB2312"/>
                <w:sz w:val="28"/>
                <w:lang w:val="en-US" w:eastAsia="zh-CN"/>
              </w:rPr>
              <w:t>机关各内设机构、各直属事业单位。</w:t>
            </w:r>
          </w:p>
        </w:tc>
      </w:tr>
      <w:tr w14:paraId="30EB98C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  <w:jc w:val="center"/>
        </w:trPr>
        <w:tc>
          <w:tcPr>
            <w:tcW w:w="8813" w:type="dxa"/>
            <w:tcBorders>
              <w:tl2br w:val="nil"/>
              <w:tr2bl w:val="nil"/>
            </w:tcBorders>
            <w:noWrap w:val="0"/>
            <w:vAlign w:val="center"/>
          </w:tcPr>
          <w:p w14:paraId="233EDDCB">
            <w:pPr>
              <w:rPr>
                <w:rFonts w:hint="eastAsia" w:ascii="仿宋_GB2312"/>
                <w:sz w:val="28"/>
              </w:rPr>
            </w:pPr>
            <w:r>
              <w:rPr>
                <w:rFonts w:hint="eastAsia" w:ascii="仿宋_GB2312"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仿宋_GB2312"/>
                <w:sz w:val="28"/>
              </w:rPr>
              <w:t xml:space="preserve">最高人民检察院办公厅   </w:t>
            </w:r>
            <w:r>
              <w:rPr>
                <w:rFonts w:hint="eastAsia" w:ascii="仿宋_GB2312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仿宋_GB2312"/>
                <w:sz w:val="28"/>
              </w:rPr>
              <w:t xml:space="preserve">               </w:t>
            </w:r>
            <w:r>
              <w:rPr>
                <w:rFonts w:hint="eastAsia" w:ascii="仿宋_GB2312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仿宋_GB2312"/>
                <w:sz w:val="28"/>
              </w:rPr>
              <w:t>20</w:t>
            </w:r>
            <w:r>
              <w:rPr>
                <w:rFonts w:hint="eastAsia" w:ascii="仿宋_GB2312"/>
                <w:sz w:val="28"/>
                <w:lang w:val="en-US" w:eastAsia="zh-CN"/>
              </w:rPr>
              <w:t>18</w:t>
            </w:r>
            <w:r>
              <w:rPr>
                <w:rFonts w:hint="eastAsia" w:ascii="仿宋_GB2312"/>
                <w:sz w:val="28"/>
              </w:rPr>
              <w:t>年</w:t>
            </w:r>
            <w:r>
              <w:rPr>
                <w:rFonts w:hint="eastAsia" w:ascii="仿宋_GB2312"/>
                <w:spacing w:val="-20"/>
                <w:sz w:val="28"/>
                <w:lang w:val="en-US" w:eastAsia="zh-CN"/>
              </w:rPr>
              <w:t>12</w:t>
            </w:r>
            <w:r>
              <w:rPr>
                <w:rFonts w:hint="eastAsia" w:ascii="仿宋_GB2312"/>
                <w:sz w:val="28"/>
              </w:rPr>
              <w:t>月</w:t>
            </w:r>
            <w:r>
              <w:rPr>
                <w:rFonts w:hint="eastAsia" w:ascii="仿宋_GB2312"/>
                <w:sz w:val="28"/>
                <w:lang w:val="en-US" w:eastAsia="zh-CN"/>
              </w:rPr>
              <w:t>29</w:t>
            </w:r>
            <w:r>
              <w:rPr>
                <w:rFonts w:hint="eastAsia" w:ascii="仿宋_GB2312"/>
                <w:sz w:val="28"/>
              </w:rPr>
              <w:t>日印发</w:t>
            </w:r>
            <w:r>
              <w:rPr>
                <w:rFonts w:hint="eastAsia" w:ascii="仿宋_GB2312"/>
                <w:sz w:val="28"/>
                <w:lang w:val="en-US" w:eastAsia="zh-CN"/>
              </w:rPr>
              <w:t xml:space="preserve">  </w:t>
            </w:r>
          </w:p>
        </w:tc>
      </w:tr>
    </w:tbl>
    <w:p w14:paraId="640DA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方正小标宋_GBK" w:cs="Times New Roman"/>
          <w:sz w:val="44"/>
          <w:szCs w:val="44"/>
          <w:highlight w:val="none"/>
          <w:lang w:val="en-US" w:eastAsia="zh-CN"/>
        </w:rPr>
      </w:pPr>
      <w:r>
        <w:rPr>
          <w:rFonts w:hint="eastAsia" w:ascii="仿宋_GB2312"/>
          <w:sz w:val="28"/>
        </w:rPr>
        <w:pict>
          <v:shape id="图片 8" o:spid="_x0000_s1029" o:spt="75" alt="http://jcbg.gj.pro:80/ecoa/getFormQRCode.page?bizId=-320a3cdc:167e5a0525b:-642c-tdc" type="#_x0000_t75" style="position:absolute;left:0pt;margin-left:274.55pt;margin-top:417.15pt;height:45pt;width:153.75pt;z-index:251662336;mso-width-relative:page;mso-height-relative:page;" filled="f" o:preferrelative="t" stroked="f" coordsize="21600,21600">
            <v:path/>
            <v:fill on="f" focussize="0,0"/>
            <v:stroke on="f"/>
            <v:imagedata r:id="rId8" r:href="rId9" o:title=""/>
            <o:lock v:ext="edit" aspectratio="t"/>
          </v:shape>
        </w:pict>
      </w:r>
    </w:p>
    <w:sectPr>
      <w:footerReference r:id="rId5" w:type="default"/>
      <w:footerReference r:id="rId6" w:type="even"/>
      <w:pgSz w:w="11906" w:h="16838"/>
      <w:pgMar w:top="2098" w:right="1531" w:bottom="1985" w:left="1531" w:header="851" w:footer="1588" w:gutter="0"/>
      <w:pgNumType w:fmt="decimal" w:start="1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7FDE5">
    <w:pPr>
      <w:pStyle w:val="3"/>
      <w:ind w:right="360" w:firstLine="360"/>
      <w:rPr>
        <w:rFonts w:hint="eastAsia" w:eastAsia="仿宋_GB2312"/>
        <w:lang w:val="en-US" w:eastAsia="zh-CN"/>
      </w:rPr>
    </w:pPr>
    <w:r>
      <w:rPr>
        <w:rFonts w:hint="eastAsia"/>
        <w:lang w:val="en-US" w:eastAsia="zh-CN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09498">
    <w:pPr>
      <w:pStyle w:val="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3C034">
    <w:pPr>
      <w:pStyle w:val="3"/>
      <w:ind w:right="360" w:firstLine="360"/>
      <w:rPr>
        <w:rFonts w:hint="eastAsia" w:eastAsia="仿宋_GB2312"/>
        <w:lang w:val="en-US" w:eastAsia="zh-CN"/>
      </w:rPr>
    </w:pPr>
    <w:r>
      <w:rPr>
        <w:sz w:val="18"/>
      </w:rPr>
      <w:pict>
        <v:shape id="文本框 6" o:spid="_x0000_s2049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Cl&#10;WchBtwEAAFcDAAAOAAAAAAAAAAEAIAAAAB4BAABkcnMvZTJvRG9jLnhtbFBLBQYAAAAABgAGAFkB&#10;AABHBQAAAAA=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1EA6615">
                <w:pPr>
                  <w:pStyle w:val="3"/>
                  <w:spacing w:before="0" w:beforeLines="0"/>
                  <w:ind w:right="320" w:rightChars="100" w:firstLine="0"/>
                  <w:rPr>
                    <w:sz w:val="18"/>
                  </w:rPr>
                </w:pPr>
                <w:r>
                  <w:rPr>
                    <w:rStyle w:val="8"/>
                    <w:rFonts w:hint="eastAsia" w:ascii="宋体" w:hAnsi="宋体" w:eastAsia="宋体"/>
                    <w:sz w:val="28"/>
                    <w:lang w:eastAsia="zh-CN"/>
                  </w:rPr>
                  <w:t>－</w: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begin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instrText xml:space="preserve">PAGE  </w:instrTex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separate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t>1</w: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end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t>－</w:t>
                </w:r>
                <w:r>
                  <w:rPr>
                    <w:rStyle w:val="8"/>
                    <w:rFonts w:hint="eastAsia" w:ascii="仿宋_GB2312"/>
                    <w:sz w:val="28"/>
                    <w:lang w:val="en-US" w:eastAsia="zh-CN"/>
                  </w:rPr>
                  <w:t xml:space="preserve"> </w:t>
                </w:r>
              </w:p>
            </w:txbxContent>
          </v:textbox>
        </v:shape>
      </w:pict>
    </w:r>
    <w:r>
      <w:rPr>
        <w:rFonts w:hint="eastAsia"/>
        <w:lang w:val="en-US" w:eastAsia="zh-CN"/>
      </w:rPr>
      <w:t xml:space="preserve">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12980">
    <w:pPr>
      <w:pStyle w:val="3"/>
      <w:ind w:right="360" w:firstLine="360"/>
    </w:pPr>
    <w:r>
      <w:rPr>
        <w:sz w:val="18"/>
      </w:rPr>
      <w:pict>
        <v:shape id="文本框 7" o:spid="_x0000_s2050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y&#10;/hp1twEAAFcDAAAOAAAAAAAAAAEAIAAAAB4BAABkcnMvZTJvRG9jLnhtbFBLBQYAAAAABgAGAFkB&#10;AABHBQAAAAA=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8504382">
                <w:pPr>
                  <w:snapToGrid w:val="0"/>
                  <w:rPr>
                    <w:sz w:val="18"/>
                  </w:rPr>
                </w:pPr>
                <w:r>
                  <w:rPr>
                    <w:rStyle w:val="8"/>
                    <w:rFonts w:hint="eastAsia" w:ascii="宋体" w:hAnsi="宋体" w:eastAsia="宋体"/>
                    <w:sz w:val="28"/>
                    <w:lang w:eastAsia="zh-CN"/>
                  </w:rPr>
                  <w:t>　</w:t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t>－</w: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begin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instrText xml:space="preserve">PAGE  </w:instrTex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separate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t>2</w:t>
                </w:r>
                <w:r>
                  <w:rPr>
                    <w:rFonts w:hint="eastAsia" w:ascii="宋体" w:hAnsi="宋体" w:eastAsia="宋体"/>
                    <w:sz w:val="28"/>
                  </w:rPr>
                  <w:fldChar w:fldCharType="end"/>
                </w:r>
                <w:r>
                  <w:rPr>
                    <w:rStyle w:val="8"/>
                    <w:rFonts w:hint="eastAsia" w:ascii="宋体" w:hAnsi="宋体" w:eastAsia="宋体"/>
                    <w:sz w:val="28"/>
                  </w:rPr>
                  <w:t>－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trackRevisions w:val="1"/>
  <w:documentProtection w:enforcement="0"/>
  <w:defaultTabStop w:val="420"/>
  <w:hyphenationZone w:val="360"/>
  <w:evenAndOddHeaders w:val="1"/>
  <w:drawingGridHorizontalSpacing w:val="158"/>
  <w:drawingGridVerticalSpacing w:val="579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70573735"/>
    <w:rsid w:val="24F77F26"/>
    <w:rsid w:val="573EFB32"/>
    <w:rsid w:val="5A9A5A89"/>
    <w:rsid w:val="6B176857"/>
    <w:rsid w:val="705737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  <o:rules v:ext="edit">
        <o:r id="V:Rule1" type="connector" idref="#Line 3"/>
      </o:rules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DejaVu Sans"/>
      <w:kern w:val="2"/>
      <w:sz w:val="32"/>
      <w:lang w:val="en-US" w:eastAsia="zh-CN"/>
    </w:rPr>
  </w:style>
  <w:style w:type="character" w:default="1" w:styleId="6">
    <w:name w:val="Default Paragraph Font"/>
    <w:link w:val="7"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63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customStyle="1" w:styleId="7">
    <w:name w:val=" Char1 Char Char Char"/>
    <w:basedOn w:val="1"/>
    <w:link w:val="6"/>
    <w:qFormat/>
    <w:uiPriority w:val="0"/>
  </w:style>
  <w:style w:type="character" w:styleId="8">
    <w:name w:val="page number"/>
    <w:basedOn w:val="6"/>
    <w:qFormat/>
    <w:uiPriority w:val="0"/>
  </w:style>
  <w:style w:type="paragraph" w:customStyle="1" w:styleId="9">
    <w:name w:val="_Style 3"/>
    <w:basedOn w:val="1"/>
    <w:qFormat/>
    <w:uiPriority w:val="0"/>
    <w:pPr>
      <w:widowControl/>
      <w:spacing w:after="160" w:afterLines="0" w:line="240" w:lineRule="exact"/>
      <w:jc w:val="left"/>
    </w:pPr>
  </w:style>
  <w:style w:type="paragraph" w:customStyle="1" w:styleId="10">
    <w:name w:val="Char"/>
    <w:basedOn w:val="1"/>
    <w:qFormat/>
    <w:uiPriority w:val="0"/>
    <w:pPr>
      <w:widowControl/>
      <w:spacing w:line="360" w:lineRule="auto"/>
      <w:jc w:val="left"/>
    </w:pPr>
  </w:style>
  <w:style w:type="paragraph" w:customStyle="1" w:styleId="11">
    <w:name w:val="Char Char Char Char Char Char Char Char Char Char Char Char Char Char Char Char"/>
    <w:basedOn w:val="1"/>
    <w:qFormat/>
    <w:uiPriority w:val="0"/>
    <w:pPr>
      <w:tabs>
        <w:tab w:val="left" w:pos="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://jcbg.gj.pro:80/ecoa/getFormQRCode.page?bizId=-320a3cdc:167e5a0525b:-642c-tdc" TargetMode="Externa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20190109%20&#27861;&#24459;&#25919;&#31574;&#30740;&#31350;&#23460;%20&#26816;&#37322;2018-2&#21495;\&#26368;&#39640;&#20154;&#27665;&#26816;&#23519;&#38498;&#20851;&#20110;&#35748;&#23450;&#32047;&#29359;&#22914;&#20309;&#30830;&#23450;&#21009;&#32602;&#25191;&#34892;&#23436;&#27605;&#20197;&#21518;&#8220;&#20116;&#24180;&#20197;&#20869;&#8221;&#36215;&#22987;&#26085;&#26399;&#30340;&#25209;&#22797;%20&#26472;&#24314;&#2089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2050" textRotate="1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最高人民检察院关于认定累犯如何确定刑罚执行完毕以后“五年以内”起始日期的批复 杨建军.dot</Template>
  <Pages>4</Pages>
  <Words>468</Words>
  <Characters>498</Characters>
  <Lines>1</Lines>
  <Paragraphs>1</Paragraphs>
  <TotalTime>0</TotalTime>
  <ScaleCrop>false</ScaleCrop>
  <LinksUpToDate>false</LinksUpToDate>
  <CharactersWithSpaces>702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2019-07-31T09:33:00Z</dcterms:created>
  <dc:creator>后退一步走</dc:creator>
  <cp:lastModifiedBy>Administrator</cp:lastModifiedBy>
  <dcterms:modified xsi:type="dcterms:W3CDTF">2026-05-24T09:38:34Z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972679CCBEDC47D78E89F1DC22751308_13</vt:lpwstr>
  </property>
</Properties>
</file>