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5993DA0">
      <w:pPr>
        <w:pStyle w:val="2"/>
        <w:spacing w:line="520" w:lineRule="exact"/>
        <w:ind w:firstLine="0" w:firstLineChars="0"/>
        <w:jc w:val="center"/>
        <w:rPr>
          <w:rFonts w:ascii="华文中宋" w:hAnsi="华文中宋" w:eastAsia="华文中宋" w:cs="宋体"/>
          <w:sz w:val="36"/>
          <w:szCs w:val="36"/>
        </w:rPr>
      </w:pPr>
      <w:bookmarkStart w:id="0" w:name="_GoBack"/>
      <w:bookmarkEnd w:id="0"/>
      <w:r>
        <w:rPr>
          <w:rFonts w:hint="eastAsia" w:ascii="华文中宋" w:hAnsi="华文中宋" w:eastAsia="华文中宋" w:cs="宋体"/>
          <w:sz w:val="36"/>
          <w:szCs w:val="36"/>
        </w:rPr>
        <w:t>最高人民法院  最高人民检察院</w:t>
      </w:r>
    </w:p>
    <w:p w14:paraId="31509BE3">
      <w:pPr>
        <w:pStyle w:val="2"/>
        <w:spacing w:line="520" w:lineRule="exact"/>
        <w:ind w:firstLine="0" w:firstLineChars="0"/>
        <w:jc w:val="center"/>
        <w:rPr>
          <w:rFonts w:ascii="华文中宋" w:hAnsi="华文中宋" w:eastAsia="华文中宋" w:cs="宋体"/>
          <w:sz w:val="36"/>
          <w:szCs w:val="36"/>
        </w:rPr>
      </w:pPr>
      <w:r>
        <w:rPr>
          <w:rFonts w:hint="eastAsia" w:ascii="华文中宋" w:hAnsi="华文中宋" w:eastAsia="华文中宋" w:cs="宋体"/>
          <w:sz w:val="36"/>
          <w:szCs w:val="36"/>
        </w:rPr>
        <w:t>关于检察公益诉讼案件适用法律若干问题的解释</w:t>
      </w:r>
    </w:p>
    <w:p w14:paraId="23BCE4D0">
      <w:pPr>
        <w:pStyle w:val="2"/>
        <w:spacing w:line="520" w:lineRule="exact"/>
        <w:ind w:firstLine="600" w:firstLineChars="200"/>
        <w:jc w:val="center"/>
        <w:rPr>
          <w:rFonts w:hint="eastAsia" w:ascii="仿宋_GB2312" w:hAnsi="宋体" w:eastAsia="仿宋_GB2312" w:cs="宋体"/>
          <w:sz w:val="30"/>
          <w:szCs w:val="30"/>
        </w:rPr>
      </w:pPr>
    </w:p>
    <w:p w14:paraId="158AFB5A">
      <w:pPr>
        <w:pStyle w:val="2"/>
        <w:spacing w:line="520" w:lineRule="exact"/>
        <w:ind w:firstLine="600" w:firstLineChars="200"/>
        <w:jc w:val="both"/>
        <w:rPr>
          <w:rFonts w:hint="eastAsia" w:ascii="仿宋_GB2312" w:hAnsi="宋体" w:eastAsia="仿宋_GB2312" w:cs="宋体"/>
          <w:sz w:val="30"/>
          <w:szCs w:val="30"/>
          <w:lang w:eastAsia="zh-CN"/>
        </w:rPr>
      </w:pPr>
      <w:r>
        <w:rPr>
          <w:rFonts w:hint="eastAsia" w:ascii="仿宋_GB2312" w:hAnsi="宋体" w:eastAsia="仿宋_GB2312" w:cs="宋体"/>
          <w:sz w:val="30"/>
          <w:szCs w:val="30"/>
        </w:rPr>
        <w:t>(2018年2月23日最高人民法院审判委员会第1734次会议</w:t>
      </w:r>
      <w:r>
        <w:rPr>
          <w:rFonts w:hint="eastAsia" w:ascii="仿宋_GB2312" w:hAnsi="宋体" w:eastAsia="仿宋_GB2312" w:cs="宋体"/>
          <w:sz w:val="30"/>
          <w:szCs w:val="30"/>
          <w:lang w:eastAsia="zh-CN"/>
        </w:rPr>
        <w:t>、</w:t>
      </w:r>
    </w:p>
    <w:p w14:paraId="1EB91BC7">
      <w:pPr>
        <w:pStyle w:val="2"/>
        <w:spacing w:line="520" w:lineRule="exact"/>
        <w:jc w:val="both"/>
        <w:rPr>
          <w:rFonts w:ascii="仿宋_GB2312" w:hAnsi="宋体" w:eastAsia="仿宋_GB2312" w:cs="宋体"/>
          <w:sz w:val="30"/>
          <w:szCs w:val="30"/>
        </w:rPr>
      </w:pPr>
      <w:r>
        <w:rPr>
          <w:rFonts w:hint="eastAsia" w:ascii="仿宋_GB2312" w:hAnsi="宋体" w:eastAsia="仿宋_GB2312" w:cs="宋体"/>
          <w:sz w:val="30"/>
          <w:szCs w:val="30"/>
        </w:rPr>
        <w:t>2018年2月11日最高人民检察院第十二届检察委员会第73次会议通过</w:t>
      </w:r>
      <w:r>
        <w:rPr>
          <w:rFonts w:hint="eastAsia" w:ascii="仿宋_GB2312" w:hAnsi="宋体" w:eastAsia="仿宋_GB2312" w:cs="宋体"/>
          <w:sz w:val="30"/>
          <w:szCs w:val="30"/>
          <w:lang w:eastAsia="zh-CN"/>
        </w:rPr>
        <w:t>，</w:t>
      </w:r>
      <w:r>
        <w:rPr>
          <w:rFonts w:hint="eastAsia" w:ascii="仿宋_GB2312" w:hAnsi="宋体" w:eastAsia="仿宋_GB2312" w:cs="宋体"/>
          <w:sz w:val="30"/>
          <w:szCs w:val="30"/>
        </w:rPr>
        <w:t>根据2020年12月23日最高人民法院审判委员会第1823次会议、2020年12月28日最高人民检察院第十三届检察委员会第58次会议修正）</w:t>
      </w:r>
    </w:p>
    <w:p w14:paraId="5604A8E7">
      <w:pPr>
        <w:pStyle w:val="2"/>
        <w:spacing w:line="520" w:lineRule="exact"/>
        <w:ind w:firstLine="600" w:firstLineChars="200"/>
        <w:jc w:val="center"/>
        <w:rPr>
          <w:rFonts w:ascii="仿宋_GB2312" w:hAnsi="宋体" w:eastAsia="仿宋_GB2312" w:cs="宋体"/>
          <w:sz w:val="30"/>
          <w:szCs w:val="30"/>
        </w:rPr>
      </w:pPr>
    </w:p>
    <w:p w14:paraId="6DC34B1C">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一、一般规定</w:t>
      </w:r>
    </w:p>
    <w:p w14:paraId="55F4B7EE">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第一条</w:t>
      </w:r>
      <w:r>
        <w:rPr>
          <w:rFonts w:ascii="仿宋_GB2312" w:hAnsi="宋体" w:eastAsia="仿宋_GB2312" w:cs="宋体"/>
          <w:sz w:val="30"/>
          <w:szCs w:val="30"/>
        </w:rPr>
        <w:t>　</w:t>
      </w:r>
      <w:r>
        <w:rPr>
          <w:rFonts w:hint="eastAsia" w:ascii="仿宋_GB2312" w:hAnsi="宋体" w:eastAsia="仿宋_GB2312" w:cs="宋体"/>
          <w:sz w:val="30"/>
          <w:szCs w:val="30"/>
        </w:rPr>
        <w:t>为正确适用《中华人民共和国民法典》《中华人民共和国民事诉讼法》《中华人民共和国行政诉讼法》关于人民检察院提起公益诉讼制度的规定，结合审判、检察工作实际，制定本解释。</w:t>
      </w:r>
    </w:p>
    <w:p w14:paraId="74B65251">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第二条</w:t>
      </w:r>
      <w:r>
        <w:rPr>
          <w:rFonts w:ascii="仿宋_GB2312" w:hAnsi="宋体" w:eastAsia="仿宋_GB2312" w:cs="宋体"/>
          <w:sz w:val="30"/>
          <w:szCs w:val="30"/>
        </w:rPr>
        <w:t>　</w:t>
      </w:r>
      <w:r>
        <w:rPr>
          <w:rFonts w:hint="eastAsia" w:ascii="仿宋_GB2312" w:hAnsi="宋体" w:eastAsia="仿宋_GB2312" w:cs="宋体"/>
          <w:sz w:val="30"/>
          <w:szCs w:val="30"/>
        </w:rPr>
        <w:t>人民法院、人民检察院办理公益诉讼案件主要任务是充分发挥司法审判、法律监督职能作用，维护宪法法律权威，维护社会公平正义，维护国家利益和社会公共利益，督促适格主体依法行使公益诉权，促进依法行政、严格执法。</w:t>
      </w:r>
    </w:p>
    <w:p w14:paraId="25CA6893">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第三条</w:t>
      </w:r>
      <w:r>
        <w:rPr>
          <w:rFonts w:ascii="仿宋_GB2312" w:hAnsi="宋体" w:eastAsia="仿宋_GB2312" w:cs="宋体"/>
          <w:sz w:val="30"/>
          <w:szCs w:val="30"/>
        </w:rPr>
        <w:t>　</w:t>
      </w:r>
      <w:r>
        <w:rPr>
          <w:rFonts w:hint="eastAsia" w:ascii="仿宋_GB2312" w:hAnsi="宋体" w:eastAsia="仿宋_GB2312" w:cs="宋体"/>
          <w:sz w:val="30"/>
          <w:szCs w:val="30"/>
        </w:rPr>
        <w:t>人民法院、人民检察院办理公益诉讼案件，应当遵守宪法法律规定，遵循诉讼制度的原则，遵循审判权、检察权运行规律。</w:t>
      </w:r>
    </w:p>
    <w:p w14:paraId="08CE8851">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第四条</w:t>
      </w:r>
      <w:r>
        <w:rPr>
          <w:rFonts w:ascii="仿宋_GB2312" w:hAnsi="宋体" w:eastAsia="仿宋_GB2312" w:cs="宋体"/>
          <w:sz w:val="30"/>
          <w:szCs w:val="30"/>
        </w:rPr>
        <w:t>　</w:t>
      </w:r>
      <w:r>
        <w:rPr>
          <w:rFonts w:hint="eastAsia" w:ascii="仿宋_GB2312" w:hAnsi="宋体" w:eastAsia="仿宋_GB2312" w:cs="宋体"/>
          <w:sz w:val="30"/>
          <w:szCs w:val="30"/>
        </w:rPr>
        <w:t>人民检察院以公益诉讼起诉人身份提起公益诉讼，依照民事诉讼法、行政诉讼法享有相应的诉讼权利，履行相应的诉讼义务，但法律、司法解释另有规定的除外。</w:t>
      </w:r>
    </w:p>
    <w:p w14:paraId="38B1F8B4">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第五条</w:t>
      </w:r>
      <w:r>
        <w:rPr>
          <w:rFonts w:ascii="仿宋_GB2312" w:hAnsi="宋体" w:eastAsia="仿宋_GB2312" w:cs="宋体"/>
          <w:sz w:val="30"/>
          <w:szCs w:val="30"/>
        </w:rPr>
        <w:t>　</w:t>
      </w:r>
      <w:r>
        <w:rPr>
          <w:rFonts w:hint="eastAsia" w:ascii="仿宋_GB2312" w:hAnsi="宋体" w:eastAsia="仿宋_GB2312" w:cs="宋体"/>
          <w:sz w:val="30"/>
          <w:szCs w:val="30"/>
        </w:rPr>
        <w:t>市（分、州）人民检察院提起的第一审民事公益诉讼案件，由侵权行为地或者被告住所地中级人民法院管辖。</w:t>
      </w:r>
    </w:p>
    <w:p w14:paraId="4DA83AD7">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基层人民检察院提起的第一审行政公益诉讼案件，由被诉行政机关所在地基层人民法院管辖。</w:t>
      </w:r>
    </w:p>
    <w:p w14:paraId="4AD00923">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第六条</w:t>
      </w:r>
      <w:r>
        <w:rPr>
          <w:rFonts w:ascii="仿宋_GB2312" w:hAnsi="宋体" w:eastAsia="仿宋_GB2312" w:cs="宋体"/>
          <w:sz w:val="30"/>
          <w:szCs w:val="30"/>
        </w:rPr>
        <w:t>　</w:t>
      </w:r>
      <w:r>
        <w:rPr>
          <w:rFonts w:hint="eastAsia" w:ascii="仿宋_GB2312" w:hAnsi="宋体" w:eastAsia="仿宋_GB2312" w:cs="宋体"/>
          <w:sz w:val="30"/>
          <w:szCs w:val="30"/>
        </w:rPr>
        <w:t>人民检察院办理公益诉讼案件，可以向有关行政机关以及其他组织、公民调查收集证据材料；有关行政机关以及其他组织、公民应当配合；需要采取证据保全措施的，依照民事诉讼法、行政诉讼法相关规定办理。</w:t>
      </w:r>
    </w:p>
    <w:p w14:paraId="3F24B0BB">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第七条</w:t>
      </w:r>
      <w:r>
        <w:rPr>
          <w:rFonts w:ascii="仿宋_GB2312" w:hAnsi="宋体" w:eastAsia="仿宋_GB2312" w:cs="宋体"/>
          <w:sz w:val="30"/>
          <w:szCs w:val="30"/>
        </w:rPr>
        <w:t>　</w:t>
      </w:r>
      <w:r>
        <w:rPr>
          <w:rFonts w:hint="eastAsia" w:ascii="仿宋_GB2312" w:hAnsi="宋体" w:eastAsia="仿宋_GB2312" w:cs="宋体"/>
          <w:sz w:val="30"/>
          <w:szCs w:val="30"/>
        </w:rPr>
        <w:t>人民法院审理人民检察院提起的第一审公益诉讼案件，适用人民陪审制。</w:t>
      </w:r>
    </w:p>
    <w:p w14:paraId="2A253C51">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第八条</w:t>
      </w:r>
      <w:r>
        <w:rPr>
          <w:rFonts w:ascii="仿宋_GB2312" w:hAnsi="宋体" w:eastAsia="仿宋_GB2312" w:cs="宋体"/>
          <w:sz w:val="30"/>
          <w:szCs w:val="30"/>
        </w:rPr>
        <w:t>　</w:t>
      </w:r>
      <w:r>
        <w:rPr>
          <w:rFonts w:hint="eastAsia" w:ascii="仿宋_GB2312" w:hAnsi="宋体" w:eastAsia="仿宋_GB2312" w:cs="宋体"/>
          <w:sz w:val="30"/>
          <w:szCs w:val="30"/>
        </w:rPr>
        <w:t>人民法院开庭审理人民检察院提起的公益诉讼案件，应当在开庭三日前向人民检察院送达出庭通知书。</w:t>
      </w:r>
    </w:p>
    <w:p w14:paraId="3A851CF7">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人民检察院应当派员出庭，并应当自收到人民法院出庭通知书之日起三日内向人民法院提交派员出庭通知书。派员出庭通知书应当写明出庭人员的姓名、法律职务以及出庭履行的具体职责。</w:t>
      </w:r>
    </w:p>
    <w:p w14:paraId="4A128964">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第九条</w:t>
      </w:r>
      <w:r>
        <w:rPr>
          <w:rFonts w:ascii="仿宋_GB2312" w:hAnsi="宋体" w:eastAsia="仿宋_GB2312" w:cs="宋体"/>
          <w:sz w:val="30"/>
          <w:szCs w:val="30"/>
        </w:rPr>
        <w:t>　</w:t>
      </w:r>
      <w:r>
        <w:rPr>
          <w:rFonts w:hint="eastAsia" w:ascii="仿宋_GB2312" w:hAnsi="宋体" w:eastAsia="仿宋_GB2312" w:cs="宋体"/>
          <w:sz w:val="30"/>
          <w:szCs w:val="30"/>
        </w:rPr>
        <w:t>出庭检察人员履行以下职责：</w:t>
      </w:r>
    </w:p>
    <w:p w14:paraId="14DAC3A3">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（一）宣读公益诉讼起诉书；</w:t>
      </w:r>
    </w:p>
    <w:p w14:paraId="73DE30E8">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（二）对人民检察院调查收集的证据予以出示和说明，对相关证据进行质证；</w:t>
      </w:r>
    </w:p>
    <w:p w14:paraId="3C364568">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（三）参加法庭调查，进行辩论并发表意见；</w:t>
      </w:r>
    </w:p>
    <w:p w14:paraId="4ECEA384">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（四）依法从事其他诉讼活动。</w:t>
      </w:r>
    </w:p>
    <w:p w14:paraId="473ABF16">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第十条</w:t>
      </w:r>
      <w:r>
        <w:rPr>
          <w:rFonts w:ascii="仿宋_GB2312" w:hAnsi="宋体" w:eastAsia="仿宋_GB2312" w:cs="宋体"/>
          <w:sz w:val="30"/>
          <w:szCs w:val="30"/>
        </w:rPr>
        <w:t>　</w:t>
      </w:r>
      <w:r>
        <w:rPr>
          <w:rFonts w:hint="eastAsia" w:ascii="仿宋_GB2312" w:hAnsi="宋体" w:eastAsia="仿宋_GB2312" w:cs="宋体"/>
          <w:sz w:val="30"/>
          <w:szCs w:val="30"/>
        </w:rPr>
        <w:t>人民检察院不服人民法院第一审判决、裁定的，可以向上一级人民法院提起上诉。</w:t>
      </w:r>
    </w:p>
    <w:p w14:paraId="1635BB20">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第十一条</w:t>
      </w:r>
      <w:r>
        <w:rPr>
          <w:rFonts w:ascii="仿宋_GB2312" w:hAnsi="宋体" w:eastAsia="仿宋_GB2312" w:cs="宋体"/>
          <w:sz w:val="30"/>
          <w:szCs w:val="30"/>
        </w:rPr>
        <w:t>　</w:t>
      </w:r>
      <w:r>
        <w:rPr>
          <w:rFonts w:hint="eastAsia" w:ascii="仿宋_GB2312" w:hAnsi="宋体" w:eastAsia="仿宋_GB2312" w:cs="宋体"/>
          <w:sz w:val="30"/>
          <w:szCs w:val="30"/>
        </w:rPr>
        <w:t>人民法院审理第二审案件，由提起公益诉讼的人民检察院派员出庭，上一级人民检察院也可以派员参加。</w:t>
      </w:r>
    </w:p>
    <w:p w14:paraId="191959B1">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第十二条</w:t>
      </w:r>
      <w:r>
        <w:rPr>
          <w:rFonts w:ascii="仿宋_GB2312" w:hAnsi="宋体" w:eastAsia="仿宋_GB2312" w:cs="宋体"/>
          <w:sz w:val="30"/>
          <w:szCs w:val="30"/>
        </w:rPr>
        <w:t>　</w:t>
      </w:r>
      <w:r>
        <w:rPr>
          <w:rFonts w:hint="eastAsia" w:ascii="仿宋_GB2312" w:hAnsi="宋体" w:eastAsia="仿宋_GB2312" w:cs="宋体"/>
          <w:sz w:val="30"/>
          <w:szCs w:val="30"/>
        </w:rPr>
        <w:t>人民检察院提起公益诉讼案件判决、裁定发生法律效力，被告不履行的，人民法院应当移送执行。</w:t>
      </w:r>
    </w:p>
    <w:p w14:paraId="59A826EE">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二、民事公益诉讼</w:t>
      </w:r>
    </w:p>
    <w:p w14:paraId="0946E660">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第十三条</w:t>
      </w:r>
      <w:r>
        <w:rPr>
          <w:rFonts w:ascii="仿宋_GB2312" w:hAnsi="宋体" w:eastAsia="仿宋_GB2312" w:cs="宋体"/>
          <w:sz w:val="30"/>
          <w:szCs w:val="30"/>
        </w:rPr>
        <w:t>　</w:t>
      </w:r>
      <w:r>
        <w:rPr>
          <w:rFonts w:hint="eastAsia" w:ascii="仿宋_GB2312" w:hAnsi="宋体" w:eastAsia="仿宋_GB2312" w:cs="宋体"/>
          <w:sz w:val="30"/>
          <w:szCs w:val="30"/>
        </w:rPr>
        <w:t>人民检察院在履行职责中发现破坏生态环境和资源保护，食品药品安全领域侵害众多消费者合法权益，侵害英雄烈士等的姓名、肖像、名誉、荣誉等损害社会公共利益的行为，拟提起公益诉讼的，应当依法公告，公告期间为三十日。</w:t>
      </w:r>
    </w:p>
    <w:p w14:paraId="27C6ACA4">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公告期满，法律规定的机关和有关组织、英雄烈士等的近亲属不提起诉讼的，人民检察院可以向人民法院提起诉讼。</w:t>
      </w:r>
    </w:p>
    <w:p w14:paraId="01329EDD">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人民检察院办理侵害英雄烈士等的姓名、肖像、名誉、荣誉的民事公益诉讼案件，也可以直接征询英雄烈士等的近亲属的意见。</w:t>
      </w:r>
    </w:p>
    <w:p w14:paraId="687EFE5D">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第十四条</w:t>
      </w:r>
      <w:r>
        <w:rPr>
          <w:rFonts w:ascii="仿宋_GB2312" w:hAnsi="宋体" w:eastAsia="仿宋_GB2312" w:cs="宋体"/>
          <w:sz w:val="30"/>
          <w:szCs w:val="30"/>
        </w:rPr>
        <w:t>　</w:t>
      </w:r>
      <w:r>
        <w:rPr>
          <w:rFonts w:hint="eastAsia" w:ascii="仿宋_GB2312" w:hAnsi="宋体" w:eastAsia="仿宋_GB2312" w:cs="宋体"/>
          <w:sz w:val="30"/>
          <w:szCs w:val="30"/>
        </w:rPr>
        <w:t>人民检察院提起民事公益诉讼应当提交下列材料：</w:t>
      </w:r>
    </w:p>
    <w:p w14:paraId="5F56D47D">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（一）民事公益诉讼起诉书，并按照被告人数提出副本；</w:t>
      </w:r>
    </w:p>
    <w:p w14:paraId="2B5B3EF7">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（二）被告的行为已经损害社会公共利益的初步证明材料；</w:t>
      </w:r>
    </w:p>
    <w:p w14:paraId="40971B54">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（三）已经履行公告程序、征询英雄烈士等的近亲属意见的证明材料。</w:t>
      </w:r>
    </w:p>
    <w:p w14:paraId="3CA6887D">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第十五条</w:t>
      </w:r>
      <w:r>
        <w:rPr>
          <w:rFonts w:ascii="仿宋_GB2312" w:hAnsi="宋体" w:eastAsia="仿宋_GB2312" w:cs="宋体"/>
          <w:sz w:val="30"/>
          <w:szCs w:val="30"/>
        </w:rPr>
        <w:t>　</w:t>
      </w:r>
      <w:r>
        <w:rPr>
          <w:rFonts w:hint="eastAsia" w:ascii="仿宋_GB2312" w:hAnsi="宋体" w:eastAsia="仿宋_GB2312" w:cs="宋体"/>
          <w:sz w:val="30"/>
          <w:szCs w:val="30"/>
        </w:rPr>
        <w:t>人民检察院依据民事诉讼法第五十五条第二款的规定提起民事公益诉讼，符合民事诉讼法第一百一十九条第二项、第三项、第四项及本解释规定的起诉条件的，人民法院应当登记立案。</w:t>
      </w:r>
    </w:p>
    <w:p w14:paraId="35AB5436">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第十六条</w:t>
      </w:r>
      <w:r>
        <w:rPr>
          <w:rFonts w:ascii="仿宋_GB2312" w:hAnsi="宋体" w:eastAsia="仿宋_GB2312" w:cs="宋体"/>
          <w:sz w:val="30"/>
          <w:szCs w:val="30"/>
        </w:rPr>
        <w:t>　</w:t>
      </w:r>
      <w:r>
        <w:rPr>
          <w:rFonts w:hint="eastAsia" w:ascii="仿宋_GB2312" w:hAnsi="宋体" w:eastAsia="仿宋_GB2312" w:cs="宋体"/>
          <w:sz w:val="30"/>
          <w:szCs w:val="30"/>
        </w:rPr>
        <w:t>人民检察院提起的民事公益诉讼案件中，被告以反诉方式提出诉讼请求的，人民法院不予受理。</w:t>
      </w:r>
    </w:p>
    <w:p w14:paraId="634B53DF">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第十七条</w:t>
      </w:r>
      <w:r>
        <w:rPr>
          <w:rFonts w:ascii="仿宋_GB2312" w:hAnsi="宋体" w:eastAsia="仿宋_GB2312" w:cs="宋体"/>
          <w:sz w:val="30"/>
          <w:szCs w:val="30"/>
        </w:rPr>
        <w:t>　</w:t>
      </w:r>
      <w:r>
        <w:rPr>
          <w:rFonts w:hint="eastAsia" w:ascii="仿宋_GB2312" w:hAnsi="宋体" w:eastAsia="仿宋_GB2312" w:cs="宋体"/>
          <w:sz w:val="30"/>
          <w:szCs w:val="30"/>
        </w:rPr>
        <w:t>人民法院受理人民检察院提起的民事公益诉讼案件后，应当在立案之日起五日内将起诉书副本送达被告。</w:t>
      </w:r>
    </w:p>
    <w:p w14:paraId="76CABE1D">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人民检察院已履行诉前公告程序的，人民法院立案后不再进行公告。</w:t>
      </w:r>
    </w:p>
    <w:p w14:paraId="577140FF">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第十八条</w:t>
      </w:r>
      <w:r>
        <w:rPr>
          <w:rFonts w:ascii="仿宋_GB2312" w:hAnsi="宋体" w:eastAsia="仿宋_GB2312" w:cs="宋体"/>
          <w:sz w:val="30"/>
          <w:szCs w:val="30"/>
        </w:rPr>
        <w:t>　</w:t>
      </w:r>
      <w:r>
        <w:rPr>
          <w:rFonts w:hint="eastAsia" w:ascii="仿宋_GB2312" w:hAnsi="宋体" w:eastAsia="仿宋_GB2312" w:cs="宋体"/>
          <w:sz w:val="30"/>
          <w:szCs w:val="30"/>
        </w:rPr>
        <w:t>人民法院认为人民检察院提出的诉讼请求不足以保护社会公共利益的，可以向其释明变更或者增加停止侵害、恢复原状等诉讼请求。</w:t>
      </w:r>
    </w:p>
    <w:p w14:paraId="27C044F2">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第十九条</w:t>
      </w:r>
      <w:r>
        <w:rPr>
          <w:rFonts w:ascii="仿宋_GB2312" w:hAnsi="宋体" w:eastAsia="仿宋_GB2312" w:cs="宋体"/>
          <w:sz w:val="30"/>
          <w:szCs w:val="30"/>
        </w:rPr>
        <w:t>　</w:t>
      </w:r>
      <w:r>
        <w:rPr>
          <w:rFonts w:hint="eastAsia" w:ascii="仿宋_GB2312" w:hAnsi="宋体" w:eastAsia="仿宋_GB2312" w:cs="宋体"/>
          <w:sz w:val="30"/>
          <w:szCs w:val="30"/>
        </w:rPr>
        <w:t>民事公益诉讼案件审理过程中，人民检察院诉讼请求全部实现而撤回起诉的，人民法院应予准许。</w:t>
      </w:r>
    </w:p>
    <w:p w14:paraId="44332627">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第二十条</w:t>
      </w:r>
      <w:r>
        <w:rPr>
          <w:rFonts w:ascii="仿宋_GB2312" w:hAnsi="宋体" w:eastAsia="仿宋_GB2312" w:cs="宋体"/>
          <w:sz w:val="30"/>
          <w:szCs w:val="30"/>
        </w:rPr>
        <w:t>　</w:t>
      </w:r>
      <w:r>
        <w:rPr>
          <w:rFonts w:hint="eastAsia" w:ascii="仿宋_GB2312" w:hAnsi="宋体" w:eastAsia="仿宋_GB2312" w:cs="宋体"/>
          <w:sz w:val="30"/>
          <w:szCs w:val="30"/>
        </w:rPr>
        <w:t>人民检察院对破坏生态环境和资源保护，食品药品安全领域侵害众多消费者合法权益，侵害英雄烈士等的姓名、肖像、名誉、荣誉等损害社会公共利益的犯罪行为提起刑事公诉时，可以向人民法院一并提起附带民事公益诉讼，由人民法院同一审判组织审理。</w:t>
      </w:r>
    </w:p>
    <w:p w14:paraId="1F81689A">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人民检察院提起的刑事附带民事公益诉讼案件由审理刑事案件的人民法院管辖。</w:t>
      </w:r>
    </w:p>
    <w:p w14:paraId="257FB146">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三、行政公益诉讼</w:t>
      </w:r>
    </w:p>
    <w:p w14:paraId="6C9FE6DC">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第二十一条</w:t>
      </w:r>
      <w:r>
        <w:rPr>
          <w:rFonts w:ascii="仿宋_GB2312" w:hAnsi="宋体" w:eastAsia="仿宋_GB2312" w:cs="宋体"/>
          <w:sz w:val="30"/>
          <w:szCs w:val="30"/>
        </w:rPr>
        <w:t>　</w:t>
      </w:r>
      <w:r>
        <w:rPr>
          <w:rFonts w:hint="eastAsia" w:ascii="仿宋_GB2312" w:hAnsi="宋体" w:eastAsia="仿宋_GB2312" w:cs="宋体"/>
          <w:sz w:val="30"/>
          <w:szCs w:val="30"/>
        </w:rPr>
        <w:t>人民检察院在履行职责中发现生态环境和资源保护、食品药品安全、国有财产保护、国有土地使用权出让等领域负有监督管理职责的行政机关违法行使职权或者不作为，致使国家利益或者社会公共利益受到侵害的，应当向行政机关提出检察建议，督促其依法履行职责。</w:t>
      </w:r>
    </w:p>
    <w:p w14:paraId="53B3B838">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行政机关应当在收到检察建议书之日起两个月内依法履行职责，并书面回复人民检察院。出现国家利益或者社会公共利益损害继续扩大等紧急情形的，行政机关应当在十五日内书面回复。</w:t>
      </w:r>
    </w:p>
    <w:p w14:paraId="3ABEFCCD">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行政机关不依法履行职责的，人民检察院依法向人民法院提起诉讼。</w:t>
      </w:r>
    </w:p>
    <w:p w14:paraId="2DF0A7DB">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第二十二条</w:t>
      </w:r>
      <w:r>
        <w:rPr>
          <w:rFonts w:ascii="仿宋_GB2312" w:hAnsi="宋体" w:eastAsia="仿宋_GB2312" w:cs="宋体"/>
          <w:sz w:val="30"/>
          <w:szCs w:val="30"/>
        </w:rPr>
        <w:t>　</w:t>
      </w:r>
      <w:r>
        <w:rPr>
          <w:rFonts w:hint="eastAsia" w:ascii="仿宋_GB2312" w:hAnsi="宋体" w:eastAsia="仿宋_GB2312" w:cs="宋体"/>
          <w:sz w:val="30"/>
          <w:szCs w:val="30"/>
        </w:rPr>
        <w:t>人民检察院提起行政公益诉讼应当提交下列材料：</w:t>
      </w:r>
    </w:p>
    <w:p w14:paraId="03F0AE5B">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（一）行政公益诉讼起诉书，并按照被告人数提出副本；</w:t>
      </w:r>
    </w:p>
    <w:p w14:paraId="7A6C73F3">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（二）被告违法行使职权或者不作为，致使国家利益或者社会公共利益受到侵害的证明材料；</w:t>
      </w:r>
    </w:p>
    <w:p w14:paraId="316BEAAD">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（三）已经履行诉前程序，行政机关仍不依法履行职责或者纠正违法行为的证明材料。</w:t>
      </w:r>
    </w:p>
    <w:p w14:paraId="1035E64B">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第二十三条</w:t>
      </w:r>
      <w:r>
        <w:rPr>
          <w:rFonts w:ascii="仿宋_GB2312" w:hAnsi="宋体" w:eastAsia="仿宋_GB2312" w:cs="宋体"/>
          <w:sz w:val="30"/>
          <w:szCs w:val="30"/>
        </w:rPr>
        <w:t>　</w:t>
      </w:r>
      <w:r>
        <w:rPr>
          <w:rFonts w:hint="eastAsia" w:ascii="仿宋_GB2312" w:hAnsi="宋体" w:eastAsia="仿宋_GB2312" w:cs="宋体"/>
          <w:sz w:val="30"/>
          <w:szCs w:val="30"/>
        </w:rPr>
        <w:t>人民检察院依据行政诉讼法第二十五条第四款的规定提起行政公益诉讼，符合行政诉讼法第四十九条第二项、第三项、第四项及本解释规定的起诉条件的，人民法院应当登记立案。</w:t>
      </w:r>
    </w:p>
    <w:p w14:paraId="1C5CBA7E">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第二十四条</w:t>
      </w:r>
      <w:r>
        <w:rPr>
          <w:rFonts w:ascii="仿宋_GB2312" w:hAnsi="宋体" w:eastAsia="仿宋_GB2312" w:cs="宋体"/>
          <w:sz w:val="30"/>
          <w:szCs w:val="30"/>
        </w:rPr>
        <w:t>　</w:t>
      </w:r>
      <w:r>
        <w:rPr>
          <w:rFonts w:hint="eastAsia" w:ascii="仿宋_GB2312" w:hAnsi="宋体" w:eastAsia="仿宋_GB2312" w:cs="宋体"/>
          <w:sz w:val="30"/>
          <w:szCs w:val="30"/>
        </w:rPr>
        <w:t>在行政公益诉讼案件审理过程中，被告纠正违法行为或者依法履行职责而使人民检察院的诉讼请求全部实现，人民检察院撤回起诉的，人民法院应当裁定准许；人民检察院变更诉讼请求，请求确认原行政行为违法的，人民法院应当判决确认违法。</w:t>
      </w:r>
    </w:p>
    <w:p w14:paraId="7F52054A">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第二十五条</w:t>
      </w:r>
      <w:r>
        <w:rPr>
          <w:rFonts w:ascii="仿宋_GB2312" w:hAnsi="宋体" w:eastAsia="仿宋_GB2312" w:cs="宋体"/>
          <w:sz w:val="30"/>
          <w:szCs w:val="30"/>
        </w:rPr>
        <w:t>　</w:t>
      </w:r>
      <w:r>
        <w:rPr>
          <w:rFonts w:hint="eastAsia" w:ascii="仿宋_GB2312" w:hAnsi="宋体" w:eastAsia="仿宋_GB2312" w:cs="宋体"/>
          <w:sz w:val="30"/>
          <w:szCs w:val="30"/>
        </w:rPr>
        <w:t>人民法院区分下列情形作出行政公益诉讼判决：</w:t>
      </w:r>
    </w:p>
    <w:p w14:paraId="1F207AE5">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（一）被诉行政行为具有行政诉讼法第七十四条、第七十五条规定情形之一的，判决确认违法或者确认无效，并可以同时判决责令行政机关采取补救措施；</w:t>
      </w:r>
    </w:p>
    <w:p w14:paraId="5A9B73A1">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（二）被诉行政行为具有行政诉讼法第七十条规定情形之一的，判决撤销或者部分撤销，并可以判决被诉行政机关重新作出行政行为；</w:t>
      </w:r>
    </w:p>
    <w:p w14:paraId="4C3C0898">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（三）被诉行政机关不履行法定职责的，判决在一定期限内履行；</w:t>
      </w:r>
    </w:p>
    <w:p w14:paraId="39F35C3D">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（四）被诉行政机关作出的行政处罚明显不当，或者其他行政行为涉及对款额的确定、认定确有错误的，可以判决予以变更；</w:t>
      </w:r>
    </w:p>
    <w:p w14:paraId="2470F5ED">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（五）被诉行政行为证据确凿，适用法律、法规正确，符合法定程序，未超越职权，未滥用职权，无明显不当，或者人民检察院诉请被诉行政机关履行法定职责理由不成立的，判决驳回诉讼请求。</w:t>
      </w:r>
    </w:p>
    <w:p w14:paraId="6F2CBFB2">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人民法院可以将判决结果告知被诉行政机关所属的人民政府或者其他相关的职能部门。</w:t>
      </w:r>
    </w:p>
    <w:p w14:paraId="31847CD3">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四、附则</w:t>
      </w:r>
    </w:p>
    <w:p w14:paraId="71E3616A">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第二十六条</w:t>
      </w:r>
      <w:r>
        <w:rPr>
          <w:rFonts w:ascii="仿宋_GB2312" w:hAnsi="宋体" w:eastAsia="仿宋_GB2312" w:cs="宋体"/>
          <w:sz w:val="30"/>
          <w:szCs w:val="30"/>
        </w:rPr>
        <w:t>　</w:t>
      </w:r>
      <w:r>
        <w:rPr>
          <w:rFonts w:hint="eastAsia" w:ascii="仿宋_GB2312" w:hAnsi="宋体" w:eastAsia="仿宋_GB2312" w:cs="宋体"/>
          <w:sz w:val="30"/>
          <w:szCs w:val="30"/>
        </w:rPr>
        <w:t>本解释未规定的其他事项，适用民事诉讼法、行政诉讼法以及相关司法解释的规定。</w:t>
      </w:r>
    </w:p>
    <w:p w14:paraId="40055BB2">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第二十七条</w:t>
      </w:r>
      <w:r>
        <w:rPr>
          <w:rFonts w:ascii="仿宋_GB2312" w:hAnsi="宋体" w:eastAsia="仿宋_GB2312" w:cs="宋体"/>
          <w:sz w:val="30"/>
          <w:szCs w:val="30"/>
        </w:rPr>
        <w:t>　</w:t>
      </w:r>
      <w:r>
        <w:rPr>
          <w:rFonts w:hint="eastAsia" w:ascii="仿宋_GB2312" w:hAnsi="宋体" w:eastAsia="仿宋_GB2312" w:cs="宋体"/>
          <w:sz w:val="30"/>
          <w:szCs w:val="30"/>
        </w:rPr>
        <w:t>本解释自2018年3月2日起施行。</w:t>
      </w:r>
    </w:p>
    <w:p w14:paraId="5E67E2D5">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最高人民法院、最高人民检察院之前发布的司法解释和规范性文件与本解释不一致的，以本解释为准。</w:t>
      </w:r>
    </w:p>
    <w:p w14:paraId="249C5E8A">
      <w:pPr>
        <w:pStyle w:val="2"/>
        <w:rPr>
          <w:rFonts w:hAnsi="宋体" w:cs="宋体"/>
          <w:u w:val="single"/>
        </w:rPr>
      </w:pPr>
    </w:p>
    <w:sectPr>
      <w:footerReference r:id="rId3" w:type="default"/>
      <w:footerReference r:id="rId4" w:type="even"/>
      <w:pgSz w:w="11906" w:h="16838"/>
      <w:pgMar w:top="1440" w:right="1800" w:bottom="1440" w:left="1800" w:header="851" w:footer="992" w:gutter="0"/>
      <w:pgNumType w:start="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ourier New">
    <w:panose1 w:val="02070309020205020404"/>
    <w:charset w:val="00"/>
    <w:family w:val="modern"/>
    <w:pitch w:val="default"/>
    <w:sig w:usb0="E0002EFF" w:usb1="C0007843" w:usb2="00000009" w:usb3="00000000" w:csb0="400001FF" w:csb1="FFFF0000"/>
  </w:font>
  <w:font w:name="华文中宋">
    <w:altName w:val="宋体"/>
    <w:panose1 w:val="02010600040101010101"/>
    <w:charset w:val="86"/>
    <w:family w:val="auto"/>
    <w:pitch w:val="default"/>
    <w:sig w:usb0="00000287" w:usb1="080F0000" w:usb2="00000000" w:usb3="00000000" w:csb0="0004009F" w:csb1="DFD70000"/>
  </w:font>
  <w:font w:name="仿宋_GB2312">
    <w:altName w:val="仿宋"/>
    <w:panose1 w:val="02010609030101010101"/>
    <w:charset w:val="86"/>
    <w:family w:val="modern"/>
    <w:pitch w:val="default"/>
    <w:sig w:usb0="00000001" w:usb1="080E0000" w:usb2="00000000" w:usb3="00000000" w:csb0="00040000" w:csb1="00000000"/>
  </w:font>
  <w:font w:name="仿宋">
    <w:panose1 w:val="02010609060101010101"/>
    <w:charset w:val="86"/>
    <w:family w:val="auto"/>
    <w:pitch w:val="default"/>
    <w:sig w:usb0="800002BF" w:usb1="38CF7CFA" w:usb2="00000016" w:usb3="00000000" w:csb0="00040001" w:csb1="00000000"/>
  </w:font>
  <w:font w:name="KSOFE44F9426">
    <w:panose1 w:val="02010609060101010101"/>
    <w:charset w:val="86"/>
    <w:family w:val="auto"/>
    <w:pitch w:val="default"/>
    <w:sig w:usb0="00000001"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F3F72A">
    <w:pPr>
      <w:pStyle w:val="4"/>
      <w:framePr w:wrap="around" w:vAnchor="text" w:hAnchor="margin" w:xAlign="outside" w:y="1"/>
      <w:rPr>
        <w:rStyle w:val="8"/>
      </w:rPr>
    </w:pPr>
    <w:r>
      <w:fldChar w:fldCharType="begin"/>
    </w:r>
    <w:r>
      <w:rPr>
        <w:rStyle w:val="8"/>
      </w:rPr>
      <w:instrText xml:space="preserve">PAGE  </w:instrText>
    </w:r>
    <w:r>
      <w:fldChar w:fldCharType="separate"/>
    </w:r>
    <w:r>
      <w:rPr>
        <w:rStyle w:val="8"/>
      </w:rPr>
      <w:t>167</w:t>
    </w:r>
    <w:r>
      <w:fldChar w:fldCharType="end"/>
    </w:r>
  </w:p>
  <w:p w14:paraId="3CBAB3D3">
    <w:pPr>
      <w:pStyle w:val="4"/>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2DB3E1">
    <w:pPr>
      <w:pStyle w:val="4"/>
      <w:framePr w:wrap="around" w:vAnchor="text" w:hAnchor="margin" w:xAlign="outside" w:y="1"/>
      <w:rPr>
        <w:rStyle w:val="8"/>
      </w:rPr>
    </w:pPr>
    <w:r>
      <w:fldChar w:fldCharType="begin"/>
    </w:r>
    <w:r>
      <w:rPr>
        <w:rStyle w:val="8"/>
      </w:rPr>
      <w:instrText xml:space="preserve">PAGE  </w:instrText>
    </w:r>
    <w:r>
      <w:fldChar w:fldCharType="end"/>
    </w:r>
  </w:p>
  <w:p w14:paraId="709D9315">
    <w:pPr>
      <w:pStyle w:val="4"/>
      <w:ind w:right="360" w:firstLine="360"/>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bordersDoNotSurroundHeader w:val="1"/>
  <w:bordersDoNotSurroundFooter w:val="1"/>
  <w:documentProtection w:enforcement="0"/>
  <w:defaultTabStop w:val="420"/>
  <w:hyphenationZone w:val="36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2D6C55"/>
    <w:rsid w:val="000051BA"/>
    <w:rsid w:val="00007DC9"/>
    <w:rsid w:val="00022FF2"/>
    <w:rsid w:val="000246CF"/>
    <w:rsid w:val="00026B55"/>
    <w:rsid w:val="000300E0"/>
    <w:rsid w:val="000407C2"/>
    <w:rsid w:val="0004157A"/>
    <w:rsid w:val="00041639"/>
    <w:rsid w:val="00046FD0"/>
    <w:rsid w:val="00060A39"/>
    <w:rsid w:val="00060B3A"/>
    <w:rsid w:val="000658AA"/>
    <w:rsid w:val="00070A8B"/>
    <w:rsid w:val="000720A0"/>
    <w:rsid w:val="00072E51"/>
    <w:rsid w:val="000831A5"/>
    <w:rsid w:val="00092662"/>
    <w:rsid w:val="00093500"/>
    <w:rsid w:val="00094871"/>
    <w:rsid w:val="00095B97"/>
    <w:rsid w:val="000A67EC"/>
    <w:rsid w:val="000B1F15"/>
    <w:rsid w:val="000B47FF"/>
    <w:rsid w:val="000C4793"/>
    <w:rsid w:val="000D7352"/>
    <w:rsid w:val="000E4EE9"/>
    <w:rsid w:val="000E5187"/>
    <w:rsid w:val="000E56CF"/>
    <w:rsid w:val="000E6D88"/>
    <w:rsid w:val="000F150B"/>
    <w:rsid w:val="000F2196"/>
    <w:rsid w:val="000F2D91"/>
    <w:rsid w:val="00105EA6"/>
    <w:rsid w:val="001066EE"/>
    <w:rsid w:val="00106D59"/>
    <w:rsid w:val="0012052D"/>
    <w:rsid w:val="001211C7"/>
    <w:rsid w:val="00125415"/>
    <w:rsid w:val="00131D55"/>
    <w:rsid w:val="00133F36"/>
    <w:rsid w:val="00141FB6"/>
    <w:rsid w:val="00156266"/>
    <w:rsid w:val="00157374"/>
    <w:rsid w:val="001614DD"/>
    <w:rsid w:val="001617A2"/>
    <w:rsid w:val="00162880"/>
    <w:rsid w:val="0016489F"/>
    <w:rsid w:val="0016665A"/>
    <w:rsid w:val="00170A71"/>
    <w:rsid w:val="001778DA"/>
    <w:rsid w:val="001A7520"/>
    <w:rsid w:val="001B131A"/>
    <w:rsid w:val="001B153F"/>
    <w:rsid w:val="001B6523"/>
    <w:rsid w:val="001D4E14"/>
    <w:rsid w:val="001D5662"/>
    <w:rsid w:val="001E1AB1"/>
    <w:rsid w:val="002064F7"/>
    <w:rsid w:val="00206B2B"/>
    <w:rsid w:val="0021015E"/>
    <w:rsid w:val="0021638E"/>
    <w:rsid w:val="002216B9"/>
    <w:rsid w:val="002236FB"/>
    <w:rsid w:val="002240C0"/>
    <w:rsid w:val="0023259F"/>
    <w:rsid w:val="00233F94"/>
    <w:rsid w:val="00235183"/>
    <w:rsid w:val="00241E35"/>
    <w:rsid w:val="002428F9"/>
    <w:rsid w:val="0025742F"/>
    <w:rsid w:val="00257467"/>
    <w:rsid w:val="002671B1"/>
    <w:rsid w:val="00271C80"/>
    <w:rsid w:val="00277543"/>
    <w:rsid w:val="00281EEF"/>
    <w:rsid w:val="0028710F"/>
    <w:rsid w:val="002A0E27"/>
    <w:rsid w:val="002A0E47"/>
    <w:rsid w:val="002A1765"/>
    <w:rsid w:val="002A1BB0"/>
    <w:rsid w:val="002A7E25"/>
    <w:rsid w:val="002B5847"/>
    <w:rsid w:val="002B5E8C"/>
    <w:rsid w:val="002C11D2"/>
    <w:rsid w:val="002C2CC8"/>
    <w:rsid w:val="002D6C55"/>
    <w:rsid w:val="002E52C2"/>
    <w:rsid w:val="002E71C4"/>
    <w:rsid w:val="00300D5D"/>
    <w:rsid w:val="00304596"/>
    <w:rsid w:val="00306548"/>
    <w:rsid w:val="00311EB0"/>
    <w:rsid w:val="00313AEE"/>
    <w:rsid w:val="0031621E"/>
    <w:rsid w:val="00327650"/>
    <w:rsid w:val="003344E4"/>
    <w:rsid w:val="00334544"/>
    <w:rsid w:val="003370AB"/>
    <w:rsid w:val="003407E4"/>
    <w:rsid w:val="00340D0A"/>
    <w:rsid w:val="00342C41"/>
    <w:rsid w:val="00344576"/>
    <w:rsid w:val="00345685"/>
    <w:rsid w:val="003543FF"/>
    <w:rsid w:val="00356973"/>
    <w:rsid w:val="00356AAC"/>
    <w:rsid w:val="00357579"/>
    <w:rsid w:val="00357968"/>
    <w:rsid w:val="00374592"/>
    <w:rsid w:val="00384827"/>
    <w:rsid w:val="003854B1"/>
    <w:rsid w:val="003871CA"/>
    <w:rsid w:val="003902DE"/>
    <w:rsid w:val="00390825"/>
    <w:rsid w:val="00394561"/>
    <w:rsid w:val="00395336"/>
    <w:rsid w:val="003B50D6"/>
    <w:rsid w:val="003C0536"/>
    <w:rsid w:val="003D7E4C"/>
    <w:rsid w:val="003E737D"/>
    <w:rsid w:val="003F2926"/>
    <w:rsid w:val="003F534F"/>
    <w:rsid w:val="00403942"/>
    <w:rsid w:val="00422466"/>
    <w:rsid w:val="00422EA0"/>
    <w:rsid w:val="00424C9C"/>
    <w:rsid w:val="00430221"/>
    <w:rsid w:val="00431DB2"/>
    <w:rsid w:val="00432CA7"/>
    <w:rsid w:val="004358E6"/>
    <w:rsid w:val="00440B14"/>
    <w:rsid w:val="00447D9F"/>
    <w:rsid w:val="0045162B"/>
    <w:rsid w:val="00454D12"/>
    <w:rsid w:val="00463561"/>
    <w:rsid w:val="004724D5"/>
    <w:rsid w:val="00473BA4"/>
    <w:rsid w:val="00473EAA"/>
    <w:rsid w:val="004745A3"/>
    <w:rsid w:val="0048272B"/>
    <w:rsid w:val="00493ABE"/>
    <w:rsid w:val="004A69A0"/>
    <w:rsid w:val="004B0465"/>
    <w:rsid w:val="004B1A57"/>
    <w:rsid w:val="004B2619"/>
    <w:rsid w:val="004B4FF6"/>
    <w:rsid w:val="004B7D8C"/>
    <w:rsid w:val="004C1EAA"/>
    <w:rsid w:val="004C4118"/>
    <w:rsid w:val="004C4DF7"/>
    <w:rsid w:val="004C569C"/>
    <w:rsid w:val="004F5158"/>
    <w:rsid w:val="00506C84"/>
    <w:rsid w:val="005142A1"/>
    <w:rsid w:val="00517CAB"/>
    <w:rsid w:val="00536EBF"/>
    <w:rsid w:val="0053713F"/>
    <w:rsid w:val="00542147"/>
    <w:rsid w:val="005433C2"/>
    <w:rsid w:val="005502F2"/>
    <w:rsid w:val="005533DE"/>
    <w:rsid w:val="00562083"/>
    <w:rsid w:val="0057423C"/>
    <w:rsid w:val="0058350A"/>
    <w:rsid w:val="00586344"/>
    <w:rsid w:val="00594376"/>
    <w:rsid w:val="005A56F6"/>
    <w:rsid w:val="005A6C12"/>
    <w:rsid w:val="005A73D8"/>
    <w:rsid w:val="005C1972"/>
    <w:rsid w:val="005C6779"/>
    <w:rsid w:val="005D3469"/>
    <w:rsid w:val="005E2A4A"/>
    <w:rsid w:val="005E48B7"/>
    <w:rsid w:val="005F1B3D"/>
    <w:rsid w:val="00602816"/>
    <w:rsid w:val="00604ACB"/>
    <w:rsid w:val="00606C5B"/>
    <w:rsid w:val="00610947"/>
    <w:rsid w:val="00612F03"/>
    <w:rsid w:val="006171AA"/>
    <w:rsid w:val="006178C3"/>
    <w:rsid w:val="00621BAF"/>
    <w:rsid w:val="0062410E"/>
    <w:rsid w:val="00626CE8"/>
    <w:rsid w:val="00661621"/>
    <w:rsid w:val="006711F4"/>
    <w:rsid w:val="0068140B"/>
    <w:rsid w:val="00685825"/>
    <w:rsid w:val="0069347C"/>
    <w:rsid w:val="006B086F"/>
    <w:rsid w:val="006C6067"/>
    <w:rsid w:val="006E1FF4"/>
    <w:rsid w:val="006E7630"/>
    <w:rsid w:val="006F0A7E"/>
    <w:rsid w:val="006F6FC3"/>
    <w:rsid w:val="006F7D77"/>
    <w:rsid w:val="007024D7"/>
    <w:rsid w:val="00715180"/>
    <w:rsid w:val="00720A73"/>
    <w:rsid w:val="00720CAF"/>
    <w:rsid w:val="00723C50"/>
    <w:rsid w:val="00724377"/>
    <w:rsid w:val="007276B4"/>
    <w:rsid w:val="00733E0F"/>
    <w:rsid w:val="00745D25"/>
    <w:rsid w:val="00746229"/>
    <w:rsid w:val="007506EE"/>
    <w:rsid w:val="0075447F"/>
    <w:rsid w:val="00754A2D"/>
    <w:rsid w:val="007643CE"/>
    <w:rsid w:val="00764ADF"/>
    <w:rsid w:val="00765D0B"/>
    <w:rsid w:val="00766157"/>
    <w:rsid w:val="00767F68"/>
    <w:rsid w:val="0077490A"/>
    <w:rsid w:val="007775EF"/>
    <w:rsid w:val="00780D87"/>
    <w:rsid w:val="007A51E0"/>
    <w:rsid w:val="007A6544"/>
    <w:rsid w:val="007A7FD3"/>
    <w:rsid w:val="007B2410"/>
    <w:rsid w:val="007C01D1"/>
    <w:rsid w:val="007C5705"/>
    <w:rsid w:val="007D13B8"/>
    <w:rsid w:val="007D529B"/>
    <w:rsid w:val="007D77CE"/>
    <w:rsid w:val="00802CDC"/>
    <w:rsid w:val="00803ECE"/>
    <w:rsid w:val="00805E1D"/>
    <w:rsid w:val="00813FEC"/>
    <w:rsid w:val="00814E29"/>
    <w:rsid w:val="00823C1E"/>
    <w:rsid w:val="00826D77"/>
    <w:rsid w:val="00827294"/>
    <w:rsid w:val="0083338D"/>
    <w:rsid w:val="008701AB"/>
    <w:rsid w:val="0087139A"/>
    <w:rsid w:val="00877798"/>
    <w:rsid w:val="008802DB"/>
    <w:rsid w:val="00881967"/>
    <w:rsid w:val="00885F48"/>
    <w:rsid w:val="00890F76"/>
    <w:rsid w:val="0089274E"/>
    <w:rsid w:val="008A08FA"/>
    <w:rsid w:val="008E1146"/>
    <w:rsid w:val="008E70E5"/>
    <w:rsid w:val="008F50DB"/>
    <w:rsid w:val="008F5238"/>
    <w:rsid w:val="008F7723"/>
    <w:rsid w:val="00904BC8"/>
    <w:rsid w:val="00911248"/>
    <w:rsid w:val="00913A4E"/>
    <w:rsid w:val="00925F75"/>
    <w:rsid w:val="00941FB4"/>
    <w:rsid w:val="0094340F"/>
    <w:rsid w:val="00971108"/>
    <w:rsid w:val="0097410F"/>
    <w:rsid w:val="00974280"/>
    <w:rsid w:val="00974393"/>
    <w:rsid w:val="0097704C"/>
    <w:rsid w:val="00986E71"/>
    <w:rsid w:val="00991865"/>
    <w:rsid w:val="00992211"/>
    <w:rsid w:val="009942EB"/>
    <w:rsid w:val="009A1862"/>
    <w:rsid w:val="009A78E1"/>
    <w:rsid w:val="009A7FCF"/>
    <w:rsid w:val="009B548C"/>
    <w:rsid w:val="009D18B6"/>
    <w:rsid w:val="009E6F62"/>
    <w:rsid w:val="009E7F86"/>
    <w:rsid w:val="009F1030"/>
    <w:rsid w:val="009F1B6D"/>
    <w:rsid w:val="00A02039"/>
    <w:rsid w:val="00A04BD7"/>
    <w:rsid w:val="00A20EDD"/>
    <w:rsid w:val="00A212C7"/>
    <w:rsid w:val="00A23406"/>
    <w:rsid w:val="00A27EDD"/>
    <w:rsid w:val="00A35D41"/>
    <w:rsid w:val="00A40953"/>
    <w:rsid w:val="00A44C88"/>
    <w:rsid w:val="00A459E3"/>
    <w:rsid w:val="00A53464"/>
    <w:rsid w:val="00A571FE"/>
    <w:rsid w:val="00A636AF"/>
    <w:rsid w:val="00A773EC"/>
    <w:rsid w:val="00A83D6A"/>
    <w:rsid w:val="00AA03DB"/>
    <w:rsid w:val="00AA164E"/>
    <w:rsid w:val="00AA3B2D"/>
    <w:rsid w:val="00AA7268"/>
    <w:rsid w:val="00AB0D6D"/>
    <w:rsid w:val="00AB68DD"/>
    <w:rsid w:val="00AC2B0B"/>
    <w:rsid w:val="00AD35D8"/>
    <w:rsid w:val="00AD6BB8"/>
    <w:rsid w:val="00AF6D19"/>
    <w:rsid w:val="00B018B8"/>
    <w:rsid w:val="00B1436F"/>
    <w:rsid w:val="00B17FDC"/>
    <w:rsid w:val="00B22148"/>
    <w:rsid w:val="00B2377E"/>
    <w:rsid w:val="00B25C4D"/>
    <w:rsid w:val="00B32A99"/>
    <w:rsid w:val="00B364E6"/>
    <w:rsid w:val="00B47F03"/>
    <w:rsid w:val="00B62010"/>
    <w:rsid w:val="00B6417D"/>
    <w:rsid w:val="00B712AC"/>
    <w:rsid w:val="00B82084"/>
    <w:rsid w:val="00B95E1A"/>
    <w:rsid w:val="00BB4808"/>
    <w:rsid w:val="00BD62E5"/>
    <w:rsid w:val="00BD715F"/>
    <w:rsid w:val="00BD7A11"/>
    <w:rsid w:val="00BE0134"/>
    <w:rsid w:val="00BE421E"/>
    <w:rsid w:val="00BE428E"/>
    <w:rsid w:val="00BE6A42"/>
    <w:rsid w:val="00BE72AA"/>
    <w:rsid w:val="00BF009A"/>
    <w:rsid w:val="00BF2167"/>
    <w:rsid w:val="00BF4E21"/>
    <w:rsid w:val="00BF6AB5"/>
    <w:rsid w:val="00C03182"/>
    <w:rsid w:val="00C10C97"/>
    <w:rsid w:val="00C41CE2"/>
    <w:rsid w:val="00C452E4"/>
    <w:rsid w:val="00C53D36"/>
    <w:rsid w:val="00C57E0D"/>
    <w:rsid w:val="00C616FC"/>
    <w:rsid w:val="00C636EE"/>
    <w:rsid w:val="00C672E3"/>
    <w:rsid w:val="00C7181C"/>
    <w:rsid w:val="00C73C73"/>
    <w:rsid w:val="00C748B2"/>
    <w:rsid w:val="00C75F27"/>
    <w:rsid w:val="00C76A21"/>
    <w:rsid w:val="00C85BE4"/>
    <w:rsid w:val="00C865F7"/>
    <w:rsid w:val="00CA3B61"/>
    <w:rsid w:val="00CA6F62"/>
    <w:rsid w:val="00CB05CD"/>
    <w:rsid w:val="00CB268F"/>
    <w:rsid w:val="00CC5C8E"/>
    <w:rsid w:val="00CD046D"/>
    <w:rsid w:val="00CD15F8"/>
    <w:rsid w:val="00CD207F"/>
    <w:rsid w:val="00CE30FF"/>
    <w:rsid w:val="00CE4E73"/>
    <w:rsid w:val="00CF0128"/>
    <w:rsid w:val="00CF0812"/>
    <w:rsid w:val="00CF1F59"/>
    <w:rsid w:val="00CF245A"/>
    <w:rsid w:val="00CF41FE"/>
    <w:rsid w:val="00CF4321"/>
    <w:rsid w:val="00CF5E94"/>
    <w:rsid w:val="00CF7BE1"/>
    <w:rsid w:val="00D0443A"/>
    <w:rsid w:val="00D07F94"/>
    <w:rsid w:val="00D1130C"/>
    <w:rsid w:val="00D16667"/>
    <w:rsid w:val="00D16B69"/>
    <w:rsid w:val="00D21DEB"/>
    <w:rsid w:val="00D3514F"/>
    <w:rsid w:val="00D5052C"/>
    <w:rsid w:val="00D6266A"/>
    <w:rsid w:val="00D81223"/>
    <w:rsid w:val="00D860D5"/>
    <w:rsid w:val="00D902BF"/>
    <w:rsid w:val="00D91F48"/>
    <w:rsid w:val="00D97443"/>
    <w:rsid w:val="00DB1764"/>
    <w:rsid w:val="00DB2440"/>
    <w:rsid w:val="00DB3C8A"/>
    <w:rsid w:val="00DB5F18"/>
    <w:rsid w:val="00DC5F89"/>
    <w:rsid w:val="00DD0C51"/>
    <w:rsid w:val="00DD7AE6"/>
    <w:rsid w:val="00E06E17"/>
    <w:rsid w:val="00E11578"/>
    <w:rsid w:val="00E2376E"/>
    <w:rsid w:val="00E25C09"/>
    <w:rsid w:val="00E35402"/>
    <w:rsid w:val="00E379EC"/>
    <w:rsid w:val="00E42D97"/>
    <w:rsid w:val="00E42DA2"/>
    <w:rsid w:val="00E47E0D"/>
    <w:rsid w:val="00E526C3"/>
    <w:rsid w:val="00E56A87"/>
    <w:rsid w:val="00E56E52"/>
    <w:rsid w:val="00E854B0"/>
    <w:rsid w:val="00E9403C"/>
    <w:rsid w:val="00E956E5"/>
    <w:rsid w:val="00E95DF8"/>
    <w:rsid w:val="00E97496"/>
    <w:rsid w:val="00EB642C"/>
    <w:rsid w:val="00EB67B5"/>
    <w:rsid w:val="00EB6A82"/>
    <w:rsid w:val="00EB79DB"/>
    <w:rsid w:val="00EE1F86"/>
    <w:rsid w:val="00EE4190"/>
    <w:rsid w:val="00F01156"/>
    <w:rsid w:val="00F04A75"/>
    <w:rsid w:val="00F11389"/>
    <w:rsid w:val="00F11CAA"/>
    <w:rsid w:val="00F14865"/>
    <w:rsid w:val="00F2565B"/>
    <w:rsid w:val="00F3114F"/>
    <w:rsid w:val="00F3147A"/>
    <w:rsid w:val="00F31FF1"/>
    <w:rsid w:val="00F347B6"/>
    <w:rsid w:val="00F37571"/>
    <w:rsid w:val="00F44A15"/>
    <w:rsid w:val="00F4779A"/>
    <w:rsid w:val="00F64D94"/>
    <w:rsid w:val="00F70562"/>
    <w:rsid w:val="00F744B5"/>
    <w:rsid w:val="00F74986"/>
    <w:rsid w:val="00F845F5"/>
    <w:rsid w:val="00F84788"/>
    <w:rsid w:val="00F865EA"/>
    <w:rsid w:val="00F90AF4"/>
    <w:rsid w:val="00F92C7B"/>
    <w:rsid w:val="00F9667A"/>
    <w:rsid w:val="00FA21BD"/>
    <w:rsid w:val="00FB46C7"/>
    <w:rsid w:val="00FC2B5F"/>
    <w:rsid w:val="00FD0009"/>
    <w:rsid w:val="00FD51B5"/>
    <w:rsid w:val="00FF1DB7"/>
    <w:rsid w:val="00FF402A"/>
    <w:rsid w:val="00FF690A"/>
    <w:rsid w:val="019C5A24"/>
    <w:rsid w:val="03681C30"/>
    <w:rsid w:val="13DD182C"/>
    <w:rsid w:val="1F9E1891"/>
    <w:rsid w:val="268D6AC0"/>
    <w:rsid w:val="2A805FE5"/>
    <w:rsid w:val="350A1AC5"/>
    <w:rsid w:val="369F33B8"/>
    <w:rsid w:val="3ACC239F"/>
    <w:rsid w:val="3E68728B"/>
    <w:rsid w:val="4151009B"/>
    <w:rsid w:val="599A34D6"/>
    <w:rsid w:val="7168442A"/>
    <w:rsid w:val="786C02C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uiPriority="0" w:name="annotation text"/>
    <w:lsdException w:unhideWhenUsed="0" w:uiPriority="0" w:semiHidden="0" w:name="header"/>
    <w:lsdException w:unhideWhenUsed="0" w:uiPriority="0"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unhideWhenUsed="0" w:uiPriority="0" w:semiHidden="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uiPriority="1" w:semiHidden="0" w:name="Default Paragraph Font"/>
    <w:lsdException w:uiPriority="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uiPriority="0" w:name="Hyperlink"/>
    <w:lsdException w:uiPriority="0" w:name="FollowedHyperlink"/>
    <w:lsdException w:qFormat="1" w:unhideWhenUsed="0" w:uiPriority="0" w:semiHidden="0" w:name="Strong"/>
    <w:lsdException w:qFormat="1" w:unhideWhenUsed="0" w:uiPriority="0" w:semiHidden="0" w:name="Emphasis"/>
    <w:lsdException w:uiPriority="0" w:name="Document Map"/>
    <w:lsdException w:unhideWhenUsed="0" w:uiPriority="99" w:semiHidden="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semiHidden="0"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7">
    <w:name w:val="Default Paragraph Font"/>
    <w:unhideWhenUsed/>
    <w:uiPriority w:val="1"/>
  </w:style>
  <w:style w:type="table" w:default="1" w:styleId="6">
    <w:name w:val="Normal Table"/>
    <w:unhideWhenUsed/>
    <w:qFormat/>
    <w:uiPriority w:val="99"/>
    <w:tblPr>
      <w:tblStyle w:val="6"/>
      <w:tblCellMar>
        <w:top w:w="0" w:type="dxa"/>
        <w:left w:w="108" w:type="dxa"/>
        <w:bottom w:w="0" w:type="dxa"/>
        <w:right w:w="108" w:type="dxa"/>
      </w:tblCellMar>
    </w:tblPr>
  </w:style>
  <w:style w:type="paragraph" w:styleId="2">
    <w:name w:val="Plain Text"/>
    <w:basedOn w:val="1"/>
    <w:link w:val="9"/>
    <w:uiPriority w:val="99"/>
    <w:rPr>
      <w:rFonts w:ascii="宋体" w:hAnsi="Courier New" w:cs="Courier New"/>
      <w:szCs w:val="21"/>
    </w:rPr>
  </w:style>
  <w:style w:type="paragraph" w:styleId="3">
    <w:name w:val="Balloon Text"/>
    <w:basedOn w:val="1"/>
    <w:link w:val="10"/>
    <w:qFormat/>
    <w:uiPriority w:val="0"/>
    <w:rPr>
      <w:sz w:val="18"/>
      <w:szCs w:val="18"/>
    </w:rPr>
  </w:style>
  <w:style w:type="paragraph" w:styleId="4">
    <w:name w:val="footer"/>
    <w:basedOn w:val="1"/>
    <w:uiPriority w:val="0"/>
    <w:pPr>
      <w:tabs>
        <w:tab w:val="center" w:pos="4153"/>
        <w:tab w:val="right" w:pos="8306"/>
      </w:tabs>
      <w:snapToGrid w:val="0"/>
      <w:jc w:val="left"/>
    </w:pPr>
    <w:rPr>
      <w:sz w:val="18"/>
      <w:szCs w:val="18"/>
    </w:rPr>
  </w:style>
  <w:style w:type="paragraph" w:styleId="5">
    <w:name w:val="header"/>
    <w:basedOn w:val="1"/>
    <w:link w:val="11"/>
    <w:uiPriority w:val="0"/>
    <w:pPr>
      <w:pBdr>
        <w:bottom w:val="single" w:color="auto" w:sz="6" w:space="1"/>
      </w:pBdr>
      <w:tabs>
        <w:tab w:val="center" w:pos="4153"/>
        <w:tab w:val="right" w:pos="8306"/>
      </w:tabs>
      <w:snapToGrid w:val="0"/>
      <w:jc w:val="center"/>
    </w:pPr>
    <w:rPr>
      <w:sz w:val="18"/>
      <w:szCs w:val="18"/>
    </w:rPr>
  </w:style>
  <w:style w:type="character" w:styleId="8">
    <w:name w:val="page number"/>
    <w:basedOn w:val="7"/>
    <w:uiPriority w:val="0"/>
  </w:style>
  <w:style w:type="character" w:customStyle="1" w:styleId="9">
    <w:name w:val="纯文本 Char"/>
    <w:basedOn w:val="7"/>
    <w:link w:val="2"/>
    <w:qFormat/>
    <w:uiPriority w:val="99"/>
    <w:rPr>
      <w:rFonts w:ascii="宋体" w:hAnsi="Courier New" w:cs="Courier New"/>
      <w:kern w:val="2"/>
      <w:sz w:val="21"/>
      <w:szCs w:val="21"/>
    </w:rPr>
  </w:style>
  <w:style w:type="character" w:customStyle="1" w:styleId="10">
    <w:name w:val="批注框文本 Char"/>
    <w:basedOn w:val="7"/>
    <w:link w:val="3"/>
    <w:uiPriority w:val="0"/>
    <w:rPr>
      <w:kern w:val="2"/>
      <w:sz w:val="18"/>
      <w:szCs w:val="18"/>
    </w:rPr>
  </w:style>
  <w:style w:type="character" w:customStyle="1" w:styleId="11">
    <w:name w:val="页眉 Char"/>
    <w:basedOn w:val="7"/>
    <w:link w:val="5"/>
    <w:qFormat/>
    <w:uiPriority w:val="0"/>
    <w:rPr>
      <w:kern w:val="2"/>
      <w:sz w:val="18"/>
      <w:szCs w:val="18"/>
    </w:rPr>
  </w:style>
  <w:style w:type="paragraph" w:customStyle="1" w:styleId="12">
    <w:name w:val="默认段落字体 Para Char Char Char Char Char Char Char"/>
    <w:basedOn w:val="1"/>
    <w:uiPriority w:val="0"/>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Lenovo (Beijing) Limited</Company>
  <Pages>6</Pages>
  <Words>14550</Words>
  <Characters>82936</Characters>
  <Lines>691</Lines>
  <Paragraphs>194</Paragraphs>
  <TotalTime>0</TotalTime>
  <ScaleCrop>false</ScaleCrop>
  <LinksUpToDate>false</LinksUpToDate>
  <CharactersWithSpaces>97292</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2021-03-02T06:55:00Z</dcterms:created>
  <dc:creator>Lenovo User</dc:creator>
  <cp:lastModifiedBy>Administrator</cp:lastModifiedBy>
  <cp:lastPrinted>2014-04-03T09:04:00Z</cp:lastPrinted>
  <dcterms:modified xsi:type="dcterms:W3CDTF">2026-05-24T09:38:34Z</dcterms:modified>
  <dc:title>《最高人民法院、最高人民检察院关于废止1980年1月1日至1997年6月30日期间制发的部分司法解释和司法解释性质文件的决定》已于2012年11月19日由最高人民法院审判委员会第1560次会议、2012年12月19日由最高人民检察院第十一届检察委员会第83次会议通过，现予公布，自2013年1月18日起施行</dc:title>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72899CE4890F44A38A46A51F152B1A46_13</vt:lpwstr>
  </property>
</Properties>
</file>