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D1B1D">
      <w:pPr>
        <w:pStyle w:val="2"/>
        <w:spacing w:line="520" w:lineRule="exact"/>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284F7D76">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关于对与证券交易所监管职能相关的诉讼案件</w:t>
      </w:r>
    </w:p>
    <w:p w14:paraId="4B101E17">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管辖与受理问题的规定</w:t>
      </w:r>
    </w:p>
    <w:p w14:paraId="4B211E1A">
      <w:pPr>
        <w:pStyle w:val="2"/>
        <w:spacing w:line="520" w:lineRule="exact"/>
        <w:jc w:val="center"/>
        <w:rPr>
          <w:rFonts w:hint="eastAsia" w:ascii="仿宋_GB2312" w:hAnsi="宋体" w:eastAsia="仿宋_GB2312" w:cs="宋体"/>
          <w:sz w:val="30"/>
          <w:szCs w:val="30"/>
        </w:rPr>
      </w:pPr>
    </w:p>
    <w:p w14:paraId="455E584D">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（2004年11月18日最高人民法院审判委员会</w:t>
      </w:r>
    </w:p>
    <w:p w14:paraId="6FF53252">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第1333次会议通过，根据2020年12月23日最高人民法院</w:t>
      </w:r>
    </w:p>
    <w:p w14:paraId="13B18838">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审判委员会第1823次会议通过的《最高人民法院关于修改</w:t>
      </w:r>
    </w:p>
    <w:p w14:paraId="27D8A5A7">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〈最高人民法院关于人民法院民事调解工作若干问题的规定〉</w:t>
      </w:r>
    </w:p>
    <w:p w14:paraId="0A426D94">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等十九件民事诉讼类司法解释的决定》修正）</w:t>
      </w:r>
    </w:p>
    <w:p w14:paraId="78A0C482">
      <w:pPr>
        <w:pStyle w:val="2"/>
        <w:spacing w:line="520" w:lineRule="exact"/>
        <w:rPr>
          <w:rFonts w:ascii="仿宋_GB2312" w:hAnsi="宋体" w:eastAsia="仿宋_GB2312" w:cs="宋体"/>
          <w:sz w:val="30"/>
          <w:szCs w:val="30"/>
        </w:rPr>
      </w:pPr>
    </w:p>
    <w:p w14:paraId="394A3F3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为正确及时地管辖、受理与证券交易所监管职能相关的诉讼案件，特作出以下规定：</w:t>
      </w:r>
    </w:p>
    <w:p w14:paraId="2E1816A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根据《中华人民共和国民事诉讼法》第三十七条和《中华人民共和国行政诉讼法》第二十三条的有关规定，指定上海证券交易所和深圳证券交易所所在地的中级人民法院分别管辖以上海证券交易所和深圳证券交易所为被告或第三人的与证券交易所监管职能相关的第一审民事和行政案件。</w:t>
      </w:r>
    </w:p>
    <w:p w14:paraId="0C065E4B">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二、与证券交易所监管职能相关的诉讼案件包括：</w:t>
      </w:r>
    </w:p>
    <w:p w14:paraId="70459CC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证券交易所根据《中华人民共和国公司法》《中华人民共和国证券法》《中华人民共和国证券投资基金法》《证券交易所管理办法》等法律、法规、规章的规定，对证券发行人及其相关人员、证券交易所会员及其相关人员、证券上市和交易活动作出处理决定引发的诉讼；</w:t>
      </w:r>
    </w:p>
    <w:p w14:paraId="0F931C4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（二）证券交易所根据国务院证券监督管理机构的依法授权，对证券发行人及其相关人员、证券交易所会员及其相关人员、证券上市和交易活动作出处理决定引发的诉讼；</w:t>
      </w:r>
    </w:p>
    <w:p w14:paraId="6299D86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（三）证券交易所根据其章程、业务规则、业务合同的规定，对证券发行人及其相关人员、证券交易所会员及其相关人员、证券上市和交易活动作出处理决定引发的诉讼；</w:t>
      </w:r>
    </w:p>
    <w:p w14:paraId="1F58D50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（四）证券交易所在履行监管职能过程中引发的其他诉讼。</w:t>
      </w:r>
    </w:p>
    <w:p w14:paraId="0847253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三、投资者对证券交易所履行监管职责过程中对证券发行人及其相关人员、证券交易所会员及其相关人员、证券上市和交易活动作出的不直接涉及投资者利益的行为提起的诉讼，人民法院不予受理。</w:t>
      </w:r>
    </w:p>
    <w:p w14:paraId="73D30531">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四、本规定自发布之日起施行。</w:t>
      </w:r>
    </w:p>
    <w:p w14:paraId="0204705A">
      <w:pPr>
        <w:pStyle w:val="2"/>
        <w:rPr>
          <w:rFonts w:hAnsi="宋体" w:cs="宋体"/>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3AA8A">
    <w:pPr>
      <w:pStyle w:val="4"/>
      <w:framePr w:wrap="around" w:vAnchor="text" w:hAnchor="margin" w:xAlign="outside" w:y="1"/>
      <w:rPr>
        <w:rStyle w:val="8"/>
      </w:rPr>
    </w:pPr>
    <w:r>
      <w:fldChar w:fldCharType="begin"/>
    </w:r>
    <w:r>
      <w:rPr>
        <w:rStyle w:val="8"/>
      </w:rPr>
      <w:instrText xml:space="preserve">PAGE  </w:instrText>
    </w:r>
    <w:r>
      <w:fldChar w:fldCharType="separate"/>
    </w:r>
    <w:r>
      <w:rPr>
        <w:rStyle w:val="8"/>
      </w:rPr>
      <w:t>167</w:t>
    </w:r>
    <w:r>
      <w:fldChar w:fldCharType="end"/>
    </w:r>
  </w:p>
  <w:p w14:paraId="552FD236">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BC44C">
    <w:pPr>
      <w:pStyle w:val="4"/>
      <w:framePr w:wrap="around" w:vAnchor="text" w:hAnchor="margin" w:xAlign="outside" w:y="1"/>
      <w:rPr>
        <w:rStyle w:val="8"/>
      </w:rPr>
    </w:pPr>
    <w:r>
      <w:fldChar w:fldCharType="begin"/>
    </w:r>
    <w:r>
      <w:rPr>
        <w:rStyle w:val="8"/>
      </w:rPr>
      <w:instrText xml:space="preserve">PAGE  </w:instrText>
    </w:r>
    <w:r>
      <w:fldChar w:fldCharType="end"/>
    </w:r>
  </w:p>
  <w:p w14:paraId="1828F352">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07C2"/>
    <w:rsid w:val="0004157A"/>
    <w:rsid w:val="00041639"/>
    <w:rsid w:val="00046FD0"/>
    <w:rsid w:val="00060A39"/>
    <w:rsid w:val="00060B3A"/>
    <w:rsid w:val="000658AA"/>
    <w:rsid w:val="00070A8B"/>
    <w:rsid w:val="000720A0"/>
    <w:rsid w:val="00072E51"/>
    <w:rsid w:val="000831A5"/>
    <w:rsid w:val="00092662"/>
    <w:rsid w:val="00093500"/>
    <w:rsid w:val="00094871"/>
    <w:rsid w:val="00095B97"/>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052D"/>
    <w:rsid w:val="001211C7"/>
    <w:rsid w:val="00125415"/>
    <w:rsid w:val="00131D55"/>
    <w:rsid w:val="00133F36"/>
    <w:rsid w:val="00141FB6"/>
    <w:rsid w:val="00156266"/>
    <w:rsid w:val="00157374"/>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36FB"/>
    <w:rsid w:val="002240C0"/>
    <w:rsid w:val="0023259F"/>
    <w:rsid w:val="00233F94"/>
    <w:rsid w:val="00235183"/>
    <w:rsid w:val="00241E35"/>
    <w:rsid w:val="002428F9"/>
    <w:rsid w:val="0025742F"/>
    <w:rsid w:val="00257467"/>
    <w:rsid w:val="002671B1"/>
    <w:rsid w:val="00271C80"/>
    <w:rsid w:val="00277543"/>
    <w:rsid w:val="00281EEF"/>
    <w:rsid w:val="0028710F"/>
    <w:rsid w:val="002A0E27"/>
    <w:rsid w:val="002A0E47"/>
    <w:rsid w:val="002A1765"/>
    <w:rsid w:val="002A1BB0"/>
    <w:rsid w:val="002A7E25"/>
    <w:rsid w:val="002B5847"/>
    <w:rsid w:val="002B5E8C"/>
    <w:rsid w:val="002C11D2"/>
    <w:rsid w:val="002C2CC8"/>
    <w:rsid w:val="002D6C55"/>
    <w:rsid w:val="002E52C2"/>
    <w:rsid w:val="002E71C4"/>
    <w:rsid w:val="00300D5D"/>
    <w:rsid w:val="00304596"/>
    <w:rsid w:val="00306548"/>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737D"/>
    <w:rsid w:val="003F2926"/>
    <w:rsid w:val="003F534F"/>
    <w:rsid w:val="00403942"/>
    <w:rsid w:val="00422466"/>
    <w:rsid w:val="00422EA0"/>
    <w:rsid w:val="00424C9C"/>
    <w:rsid w:val="00430221"/>
    <w:rsid w:val="00431DB2"/>
    <w:rsid w:val="00432CA7"/>
    <w:rsid w:val="004358E6"/>
    <w:rsid w:val="00440B14"/>
    <w:rsid w:val="00447D9F"/>
    <w:rsid w:val="0045162B"/>
    <w:rsid w:val="00454D12"/>
    <w:rsid w:val="00463561"/>
    <w:rsid w:val="004724D5"/>
    <w:rsid w:val="00473BA4"/>
    <w:rsid w:val="00473EAA"/>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A73D8"/>
    <w:rsid w:val="005C1972"/>
    <w:rsid w:val="005C6779"/>
    <w:rsid w:val="005D3469"/>
    <w:rsid w:val="005E2A4A"/>
    <w:rsid w:val="005E48B7"/>
    <w:rsid w:val="005F1B3D"/>
    <w:rsid w:val="00602816"/>
    <w:rsid w:val="00604ACB"/>
    <w:rsid w:val="00606C5B"/>
    <w:rsid w:val="00610947"/>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46229"/>
    <w:rsid w:val="007506EE"/>
    <w:rsid w:val="0075447F"/>
    <w:rsid w:val="00754A2D"/>
    <w:rsid w:val="007643CE"/>
    <w:rsid w:val="00764ADF"/>
    <w:rsid w:val="00765D0B"/>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27294"/>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1FB4"/>
    <w:rsid w:val="0094340F"/>
    <w:rsid w:val="00971108"/>
    <w:rsid w:val="0097410F"/>
    <w:rsid w:val="00974280"/>
    <w:rsid w:val="00974393"/>
    <w:rsid w:val="0097704C"/>
    <w:rsid w:val="00986E71"/>
    <w:rsid w:val="00991865"/>
    <w:rsid w:val="00992211"/>
    <w:rsid w:val="009942EB"/>
    <w:rsid w:val="009A1862"/>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3464"/>
    <w:rsid w:val="00A571FE"/>
    <w:rsid w:val="00A636AF"/>
    <w:rsid w:val="00A773EC"/>
    <w:rsid w:val="00A83D6A"/>
    <w:rsid w:val="00AA03DB"/>
    <w:rsid w:val="00AA164E"/>
    <w:rsid w:val="00AA3B2D"/>
    <w:rsid w:val="00AA7268"/>
    <w:rsid w:val="00AB0D6D"/>
    <w:rsid w:val="00AB68DD"/>
    <w:rsid w:val="00AC2B0B"/>
    <w:rsid w:val="00AD35D8"/>
    <w:rsid w:val="00AD6BB8"/>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E72AA"/>
    <w:rsid w:val="00BF009A"/>
    <w:rsid w:val="00BF2167"/>
    <w:rsid w:val="00BF4E21"/>
    <w:rsid w:val="00BF6AB5"/>
    <w:rsid w:val="00C03182"/>
    <w:rsid w:val="00C10C97"/>
    <w:rsid w:val="00C41CE2"/>
    <w:rsid w:val="00C452E4"/>
    <w:rsid w:val="00C53D36"/>
    <w:rsid w:val="00C57E0D"/>
    <w:rsid w:val="00C616FC"/>
    <w:rsid w:val="00C636EE"/>
    <w:rsid w:val="00C672E3"/>
    <w:rsid w:val="00C7181C"/>
    <w:rsid w:val="00C73C73"/>
    <w:rsid w:val="00C748B2"/>
    <w:rsid w:val="00C75F27"/>
    <w:rsid w:val="00C76A21"/>
    <w:rsid w:val="00C85BE4"/>
    <w:rsid w:val="00C865F7"/>
    <w:rsid w:val="00CA3B61"/>
    <w:rsid w:val="00CA6F62"/>
    <w:rsid w:val="00CB05CD"/>
    <w:rsid w:val="00CB268F"/>
    <w:rsid w:val="00CC5C8E"/>
    <w:rsid w:val="00CD046D"/>
    <w:rsid w:val="00CD15F8"/>
    <w:rsid w:val="00CD207F"/>
    <w:rsid w:val="00CE30FF"/>
    <w:rsid w:val="00CE4E73"/>
    <w:rsid w:val="00CF0128"/>
    <w:rsid w:val="00CF0812"/>
    <w:rsid w:val="00CF1F59"/>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02BF"/>
    <w:rsid w:val="00D91F48"/>
    <w:rsid w:val="00D97443"/>
    <w:rsid w:val="00DB1764"/>
    <w:rsid w:val="00DB2440"/>
    <w:rsid w:val="00DB3C8A"/>
    <w:rsid w:val="00DB5F18"/>
    <w:rsid w:val="00DC5F89"/>
    <w:rsid w:val="00DD0C51"/>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1DB7"/>
    <w:rsid w:val="00FF402A"/>
    <w:rsid w:val="00FF690A"/>
    <w:rsid w:val="019C5A24"/>
    <w:rsid w:val="03681C30"/>
    <w:rsid w:val="04BE31CF"/>
    <w:rsid w:val="101126FB"/>
    <w:rsid w:val="13D968D2"/>
    <w:rsid w:val="13DD182C"/>
    <w:rsid w:val="1F9E1891"/>
    <w:rsid w:val="2A805FE5"/>
    <w:rsid w:val="350A1AC5"/>
    <w:rsid w:val="42051D95"/>
    <w:rsid w:val="460C43AB"/>
    <w:rsid w:val="59137542"/>
    <w:rsid w:val="59662EEB"/>
    <w:rsid w:val="786C02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Style w:val="6"/>
      <w:tblCellMar>
        <w:top w:w="0" w:type="dxa"/>
        <w:left w:w="108" w:type="dxa"/>
        <w:bottom w:w="0" w:type="dxa"/>
        <w:right w:w="108" w:type="dxa"/>
      </w:tblCellMar>
    </w:tblPr>
  </w:style>
  <w:style w:type="paragraph" w:styleId="2">
    <w:name w:val="Plain Text"/>
    <w:basedOn w:val="1"/>
    <w:link w:val="10"/>
    <w:uiPriority w:val="99"/>
    <w:rPr>
      <w:rFonts w:ascii="宋体" w:hAnsi="Courier New" w:cs="Courier New"/>
      <w:szCs w:val="21"/>
    </w:rPr>
  </w:style>
  <w:style w:type="paragraph" w:styleId="3">
    <w:name w:val="Balloon Text"/>
    <w:basedOn w:val="1"/>
    <w:link w:val="9"/>
    <w:qFormat/>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link w:val="11"/>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character" w:customStyle="1" w:styleId="9">
    <w:name w:val="批注框文本 Char"/>
    <w:basedOn w:val="7"/>
    <w:link w:val="3"/>
    <w:uiPriority w:val="0"/>
    <w:rPr>
      <w:kern w:val="2"/>
      <w:sz w:val="18"/>
      <w:szCs w:val="18"/>
    </w:rPr>
  </w:style>
  <w:style w:type="character" w:customStyle="1" w:styleId="10">
    <w:name w:val="纯文本 Char"/>
    <w:basedOn w:val="7"/>
    <w:link w:val="2"/>
    <w:qFormat/>
    <w:uiPriority w:val="99"/>
    <w:rPr>
      <w:rFonts w:ascii="宋体" w:hAnsi="Courier New" w:cs="Courier New"/>
      <w:kern w:val="2"/>
      <w:sz w:val="21"/>
      <w:szCs w:val="21"/>
    </w:rPr>
  </w:style>
  <w:style w:type="character" w:customStyle="1" w:styleId="11">
    <w:name w:val="页眉 Char"/>
    <w:basedOn w:val="7"/>
    <w:link w:val="5"/>
    <w:qFormat/>
    <w:uiPriority w:val="0"/>
    <w:rPr>
      <w:kern w:val="2"/>
      <w:sz w:val="18"/>
      <w:szCs w:val="18"/>
    </w:rPr>
  </w:style>
  <w:style w:type="paragraph" w:customStyle="1" w:styleId="12">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2</Pages>
  <Words>14550</Words>
  <Characters>82936</Characters>
  <Lines>691</Lines>
  <Paragraphs>194</Paragraphs>
  <TotalTime>10</TotalTime>
  <ScaleCrop>false</ScaleCrop>
  <LinksUpToDate>false</LinksUpToDate>
  <CharactersWithSpaces>97292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2021-03-02T06:55:00Z</dcterms:created>
  <dc:creator>Lenovo User</dc:creator>
  <cp:lastModifiedBy>Administrator</cp:lastModifiedBy>
  <cp:lastPrinted>2014-04-03T09:04:00Z</cp:lastPrinted>
  <dcterms:modified xsi:type="dcterms:W3CDTF">2026-05-24T09:38:37Z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4CC30BAD100A468EB3BA6E1FD4A4720E_13</vt:lpwstr>
  </property>
</Properties>
</file>