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868A3">
      <w:pPr>
        <w:pStyle w:val="2"/>
        <w:spacing w:line="520" w:lineRule="exact"/>
        <w:jc w:val="center"/>
        <w:rPr>
          <w:rFonts w:ascii="华文中宋" w:hAnsi="华文中宋" w:eastAsia="华文中宋" w:cs="宋体"/>
          <w:sz w:val="36"/>
          <w:szCs w:val="36"/>
        </w:rPr>
      </w:pPr>
      <w:bookmarkStart w:id="0" w:name="_GoBack"/>
      <w:bookmarkEnd w:id="0"/>
      <w:r>
        <w:rPr>
          <w:rFonts w:hint="eastAsia" w:ascii="华文中宋" w:hAnsi="华文中宋" w:eastAsia="华文中宋" w:cs="宋体"/>
          <w:sz w:val="36"/>
          <w:szCs w:val="36"/>
        </w:rPr>
        <w:t>最高人民法院</w:t>
      </w:r>
    </w:p>
    <w:p w14:paraId="5174E315">
      <w:pPr>
        <w:pStyle w:val="2"/>
        <w:spacing w:line="520" w:lineRule="exact"/>
        <w:jc w:val="center"/>
        <w:rPr>
          <w:rFonts w:ascii="华文中宋" w:hAnsi="华文中宋" w:eastAsia="华文中宋" w:cs="宋体"/>
          <w:sz w:val="36"/>
          <w:szCs w:val="36"/>
        </w:rPr>
      </w:pPr>
      <w:r>
        <w:rPr>
          <w:rFonts w:hint="eastAsia" w:ascii="华文中宋" w:hAnsi="华文中宋" w:eastAsia="华文中宋" w:cs="宋体"/>
          <w:sz w:val="36"/>
          <w:szCs w:val="36"/>
        </w:rPr>
        <w:t>关于涉外民商事案件诉讼管辖若干问题的规定</w:t>
      </w:r>
    </w:p>
    <w:p w14:paraId="6C599B40">
      <w:pPr>
        <w:pStyle w:val="2"/>
        <w:spacing w:line="520" w:lineRule="exact"/>
        <w:jc w:val="center"/>
        <w:rPr>
          <w:rFonts w:hint="eastAsia" w:ascii="仿宋_GB2312" w:hAnsi="宋体" w:eastAsia="仿宋_GB2312" w:cs="宋体"/>
          <w:sz w:val="30"/>
          <w:szCs w:val="30"/>
        </w:rPr>
      </w:pPr>
    </w:p>
    <w:p w14:paraId="5D2D6258">
      <w:pPr>
        <w:pStyle w:val="2"/>
        <w:spacing w:line="520" w:lineRule="exact"/>
        <w:jc w:val="center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（2001年12月25日最高人民法院审判委员会</w:t>
      </w:r>
    </w:p>
    <w:p w14:paraId="016E913F">
      <w:pPr>
        <w:pStyle w:val="2"/>
        <w:spacing w:line="520" w:lineRule="exact"/>
        <w:jc w:val="center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第1203次会议通过,根据2020年12月23日最高人民法院</w:t>
      </w:r>
    </w:p>
    <w:p w14:paraId="4CD680E8">
      <w:pPr>
        <w:pStyle w:val="2"/>
        <w:spacing w:line="520" w:lineRule="exact"/>
        <w:jc w:val="center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审判委员会第1823次会议通过的《最高人民法院关于修改</w:t>
      </w:r>
    </w:p>
    <w:p w14:paraId="36C54B02">
      <w:pPr>
        <w:pStyle w:val="2"/>
        <w:spacing w:line="520" w:lineRule="exact"/>
        <w:jc w:val="center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〈最高人民法院关于人民法院民事调解工作若干问题的规定〉</w:t>
      </w:r>
    </w:p>
    <w:p w14:paraId="2A2FB448">
      <w:pPr>
        <w:pStyle w:val="2"/>
        <w:spacing w:line="520" w:lineRule="exact"/>
        <w:jc w:val="center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等十九件民事诉讼类司法解释的决定》修正）</w:t>
      </w:r>
    </w:p>
    <w:p w14:paraId="0E0708F4">
      <w:pPr>
        <w:pStyle w:val="2"/>
        <w:spacing w:line="520" w:lineRule="exact"/>
        <w:rPr>
          <w:rFonts w:ascii="仿宋_GB2312" w:hAnsi="宋体" w:eastAsia="仿宋_GB2312" w:cs="宋体"/>
          <w:sz w:val="30"/>
          <w:szCs w:val="30"/>
        </w:rPr>
      </w:pPr>
    </w:p>
    <w:p w14:paraId="33BA240A">
      <w:pPr>
        <w:pStyle w:val="2"/>
        <w:spacing w:line="520" w:lineRule="exact"/>
        <w:rPr>
          <w:rFonts w:ascii="仿宋_GB2312" w:hAnsi="宋体" w:eastAsia="仿宋_GB2312" w:cs="宋体"/>
          <w:sz w:val="30"/>
          <w:szCs w:val="30"/>
        </w:rPr>
      </w:pPr>
    </w:p>
    <w:p w14:paraId="2BE10B9C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为正确审理涉外民商事案件，依法保护中外当事人的合法权益，根据《中华人民共和国民事诉讼法》第十八条的规定，现将有关涉外民商事案件诉讼管辖的问题规定如下：</w:t>
      </w:r>
    </w:p>
    <w:p w14:paraId="33D4C38A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第一条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第一审涉外民商事案件由下列人民法院管辖：</w:t>
      </w:r>
    </w:p>
    <w:p w14:paraId="5B4E800C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（一）国务院批准设立的经济技术开发区人民法院；</w:t>
      </w:r>
    </w:p>
    <w:p w14:paraId="52C69466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（二）省会、自治区首府、直辖市所在地的中级人民法院；</w:t>
      </w:r>
    </w:p>
    <w:p w14:paraId="4BA39BAD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（三）经济特区、计划单列市中级人民法院；</w:t>
      </w:r>
    </w:p>
    <w:p w14:paraId="3EA42804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（四）最高人民法院指定的其他中级人民法院；</w:t>
      </w:r>
    </w:p>
    <w:p w14:paraId="39482FB9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（五）高级人民法院。</w:t>
      </w:r>
    </w:p>
    <w:p w14:paraId="46327CCD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上述中级人民法院的区域管辖范围由所在地的高级人民法院确定。</w:t>
      </w:r>
    </w:p>
    <w:p w14:paraId="3377084F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第二条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对国务院批准设立的经济技术开发区人民法院所作的第一审判决、裁定不服的，其第二审由所在地中级人民法院管辖。</w:t>
      </w:r>
    </w:p>
    <w:p w14:paraId="0635DD0B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第三条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本规定适用于下列案件：</w:t>
      </w:r>
    </w:p>
    <w:p w14:paraId="54CBB143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（一）涉外合同和侵权纠纷案件；</w:t>
      </w:r>
    </w:p>
    <w:p w14:paraId="2B766AC0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（二）信用证纠纷案件；</w:t>
      </w:r>
    </w:p>
    <w:p w14:paraId="09B65FB7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（三）申请撤销、承认与强制执行国际仲裁裁决的案件；</w:t>
      </w:r>
    </w:p>
    <w:p w14:paraId="4D85AB0D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（四）审查有关涉外民商事仲裁条款效力的案件；</w:t>
      </w:r>
    </w:p>
    <w:p w14:paraId="721F1342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（五）申请承认和强制执行外国法院民商事判决、裁定的案件。</w:t>
      </w:r>
    </w:p>
    <w:p w14:paraId="0FD7692C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第四条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发生在与外国接壤的边境省份的边境贸易纠纷案件，涉外房地产案件和涉外知识产权案件，不适用本规定。</w:t>
      </w:r>
    </w:p>
    <w:p w14:paraId="6B172DCD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第五条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涉及香港、澳门特别行政区和台湾地区当事人的民商事纠纷案件的管辖，参照本规定处理。</w:t>
      </w:r>
    </w:p>
    <w:p w14:paraId="79728F5B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第六条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高级人民法院应当对涉外民商事案件的管辖实施监督，凡越权受理涉外民商事案件的，应当通知或者裁定将案件移送有管辖权的人民法院审理。</w:t>
      </w:r>
    </w:p>
    <w:p w14:paraId="5404E454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第七条</w:t>
      </w:r>
      <w:r>
        <w:rPr>
          <w:rFonts w:ascii="仿宋_GB2312" w:hAnsi="宋体" w:eastAsia="仿宋_GB2312" w:cs="宋体"/>
          <w:sz w:val="30"/>
          <w:szCs w:val="30"/>
        </w:rPr>
        <w:t>　</w:t>
      </w:r>
      <w:r>
        <w:rPr>
          <w:rFonts w:hint="eastAsia" w:ascii="仿宋_GB2312" w:hAnsi="宋体" w:eastAsia="仿宋_GB2312" w:cs="宋体"/>
          <w:sz w:val="30"/>
          <w:szCs w:val="30"/>
        </w:rPr>
        <w:t>本规定于2002年3月1日起施行。本规定施行前已经受理的案件由原受理人民法院继续审理。</w:t>
      </w:r>
    </w:p>
    <w:p w14:paraId="7BDBF0D8">
      <w:pPr>
        <w:pStyle w:val="2"/>
        <w:spacing w:line="520" w:lineRule="exact"/>
        <w:ind w:firstLine="600" w:firstLineChars="20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sz w:val="30"/>
          <w:szCs w:val="30"/>
        </w:rPr>
        <w:t>本规定发布前的有关司法解释、规定与本规定不一致的，以本规定为准。</w:t>
      </w:r>
    </w:p>
    <w:p w14:paraId="446C49AE">
      <w:pPr>
        <w:pStyle w:val="2"/>
        <w:rPr>
          <w:rFonts w:hAnsi="宋体" w:cs="宋体"/>
          <w:u w:val="single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start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4EC8A"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167</w:t>
    </w:r>
    <w:r>
      <w:fldChar w:fldCharType="end"/>
    </w:r>
  </w:p>
  <w:p w14:paraId="28197A2E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A4038"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2B0DE891"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6C55"/>
    <w:rsid w:val="000051BA"/>
    <w:rsid w:val="00007DC9"/>
    <w:rsid w:val="00022FF2"/>
    <w:rsid w:val="000246CF"/>
    <w:rsid w:val="00026B55"/>
    <w:rsid w:val="000300E0"/>
    <w:rsid w:val="000407C2"/>
    <w:rsid w:val="0004157A"/>
    <w:rsid w:val="00041639"/>
    <w:rsid w:val="00046FD0"/>
    <w:rsid w:val="00060A39"/>
    <w:rsid w:val="00060B3A"/>
    <w:rsid w:val="000658AA"/>
    <w:rsid w:val="00070A8B"/>
    <w:rsid w:val="000720A0"/>
    <w:rsid w:val="00072E51"/>
    <w:rsid w:val="000831A5"/>
    <w:rsid w:val="00092662"/>
    <w:rsid w:val="00093500"/>
    <w:rsid w:val="00094871"/>
    <w:rsid w:val="00095B97"/>
    <w:rsid w:val="000A67EC"/>
    <w:rsid w:val="000B1F15"/>
    <w:rsid w:val="000B47FF"/>
    <w:rsid w:val="000C4793"/>
    <w:rsid w:val="000D7352"/>
    <w:rsid w:val="000E4EE9"/>
    <w:rsid w:val="000E5187"/>
    <w:rsid w:val="000E56CF"/>
    <w:rsid w:val="000E6D88"/>
    <w:rsid w:val="000F150B"/>
    <w:rsid w:val="000F2196"/>
    <w:rsid w:val="000F2D91"/>
    <w:rsid w:val="00105EA6"/>
    <w:rsid w:val="001066EE"/>
    <w:rsid w:val="00106D59"/>
    <w:rsid w:val="0012052D"/>
    <w:rsid w:val="001211C7"/>
    <w:rsid w:val="00125415"/>
    <w:rsid w:val="00131D55"/>
    <w:rsid w:val="00133F36"/>
    <w:rsid w:val="00141FB6"/>
    <w:rsid w:val="00156266"/>
    <w:rsid w:val="00157374"/>
    <w:rsid w:val="001614DD"/>
    <w:rsid w:val="001617A2"/>
    <w:rsid w:val="00162880"/>
    <w:rsid w:val="0016489F"/>
    <w:rsid w:val="0016665A"/>
    <w:rsid w:val="00170A71"/>
    <w:rsid w:val="001778DA"/>
    <w:rsid w:val="001A7520"/>
    <w:rsid w:val="001B131A"/>
    <w:rsid w:val="001B153F"/>
    <w:rsid w:val="001B6523"/>
    <w:rsid w:val="001D4E14"/>
    <w:rsid w:val="001D5662"/>
    <w:rsid w:val="001E1AB1"/>
    <w:rsid w:val="002064F7"/>
    <w:rsid w:val="00206B2B"/>
    <w:rsid w:val="0021015E"/>
    <w:rsid w:val="0021638E"/>
    <w:rsid w:val="002216B9"/>
    <w:rsid w:val="002236FB"/>
    <w:rsid w:val="002240C0"/>
    <w:rsid w:val="0023259F"/>
    <w:rsid w:val="00233F94"/>
    <w:rsid w:val="00235183"/>
    <w:rsid w:val="00241E35"/>
    <w:rsid w:val="002428F9"/>
    <w:rsid w:val="0025742F"/>
    <w:rsid w:val="00257467"/>
    <w:rsid w:val="002671B1"/>
    <w:rsid w:val="00271C80"/>
    <w:rsid w:val="00277543"/>
    <w:rsid w:val="00281EEF"/>
    <w:rsid w:val="0028710F"/>
    <w:rsid w:val="002A0E27"/>
    <w:rsid w:val="002A0E47"/>
    <w:rsid w:val="002A1765"/>
    <w:rsid w:val="002A1BB0"/>
    <w:rsid w:val="002A7E25"/>
    <w:rsid w:val="002B5847"/>
    <w:rsid w:val="002B5E8C"/>
    <w:rsid w:val="002C11D2"/>
    <w:rsid w:val="002C2CC8"/>
    <w:rsid w:val="002D6C55"/>
    <w:rsid w:val="002E52C2"/>
    <w:rsid w:val="002E71C4"/>
    <w:rsid w:val="00300D5D"/>
    <w:rsid w:val="00304596"/>
    <w:rsid w:val="00306548"/>
    <w:rsid w:val="00311EB0"/>
    <w:rsid w:val="00313AEE"/>
    <w:rsid w:val="0031621E"/>
    <w:rsid w:val="00327650"/>
    <w:rsid w:val="003344E4"/>
    <w:rsid w:val="00334544"/>
    <w:rsid w:val="003370AB"/>
    <w:rsid w:val="003407E4"/>
    <w:rsid w:val="00340D0A"/>
    <w:rsid w:val="00342C41"/>
    <w:rsid w:val="00344576"/>
    <w:rsid w:val="00345685"/>
    <w:rsid w:val="003543FF"/>
    <w:rsid w:val="00356973"/>
    <w:rsid w:val="00356AAC"/>
    <w:rsid w:val="00357579"/>
    <w:rsid w:val="00357968"/>
    <w:rsid w:val="00374592"/>
    <w:rsid w:val="00384827"/>
    <w:rsid w:val="003854B1"/>
    <w:rsid w:val="003871CA"/>
    <w:rsid w:val="003902DE"/>
    <w:rsid w:val="00390825"/>
    <w:rsid w:val="00394561"/>
    <w:rsid w:val="00395336"/>
    <w:rsid w:val="003B50D6"/>
    <w:rsid w:val="003C0536"/>
    <w:rsid w:val="003D7E4C"/>
    <w:rsid w:val="003E737D"/>
    <w:rsid w:val="003F2926"/>
    <w:rsid w:val="003F534F"/>
    <w:rsid w:val="00403942"/>
    <w:rsid w:val="00422466"/>
    <w:rsid w:val="00422EA0"/>
    <w:rsid w:val="00424C9C"/>
    <w:rsid w:val="00430221"/>
    <w:rsid w:val="00431DB2"/>
    <w:rsid w:val="00432CA7"/>
    <w:rsid w:val="004358E6"/>
    <w:rsid w:val="00440B14"/>
    <w:rsid w:val="00447D9F"/>
    <w:rsid w:val="0045162B"/>
    <w:rsid w:val="00454D12"/>
    <w:rsid w:val="00463561"/>
    <w:rsid w:val="004724D5"/>
    <w:rsid w:val="00473BA4"/>
    <w:rsid w:val="00473EAA"/>
    <w:rsid w:val="004745A3"/>
    <w:rsid w:val="0048272B"/>
    <w:rsid w:val="00493ABE"/>
    <w:rsid w:val="004A69A0"/>
    <w:rsid w:val="004B0465"/>
    <w:rsid w:val="004B1A57"/>
    <w:rsid w:val="004B2619"/>
    <w:rsid w:val="004B4FF6"/>
    <w:rsid w:val="004B7D8C"/>
    <w:rsid w:val="004C1EAA"/>
    <w:rsid w:val="004C4118"/>
    <w:rsid w:val="004C4DF7"/>
    <w:rsid w:val="004C569C"/>
    <w:rsid w:val="004F5158"/>
    <w:rsid w:val="00506C84"/>
    <w:rsid w:val="005142A1"/>
    <w:rsid w:val="00517CAB"/>
    <w:rsid w:val="00536EBF"/>
    <w:rsid w:val="0053713F"/>
    <w:rsid w:val="00542147"/>
    <w:rsid w:val="005433C2"/>
    <w:rsid w:val="005502F2"/>
    <w:rsid w:val="005533DE"/>
    <w:rsid w:val="00562083"/>
    <w:rsid w:val="0057423C"/>
    <w:rsid w:val="0058350A"/>
    <w:rsid w:val="00586344"/>
    <w:rsid w:val="00594376"/>
    <w:rsid w:val="005A56F6"/>
    <w:rsid w:val="005A6C12"/>
    <w:rsid w:val="005A73D8"/>
    <w:rsid w:val="005C1972"/>
    <w:rsid w:val="005C6779"/>
    <w:rsid w:val="005D3469"/>
    <w:rsid w:val="005E2A4A"/>
    <w:rsid w:val="005E48B7"/>
    <w:rsid w:val="005F1B3D"/>
    <w:rsid w:val="00602816"/>
    <w:rsid w:val="00604ACB"/>
    <w:rsid w:val="00606C5B"/>
    <w:rsid w:val="00610947"/>
    <w:rsid w:val="00612F03"/>
    <w:rsid w:val="006171AA"/>
    <w:rsid w:val="006178C3"/>
    <w:rsid w:val="00621BAF"/>
    <w:rsid w:val="0062410E"/>
    <w:rsid w:val="00626CE8"/>
    <w:rsid w:val="00661621"/>
    <w:rsid w:val="006711F4"/>
    <w:rsid w:val="0068140B"/>
    <w:rsid w:val="00685825"/>
    <w:rsid w:val="0069347C"/>
    <w:rsid w:val="006B086F"/>
    <w:rsid w:val="006C6067"/>
    <w:rsid w:val="006E1FF4"/>
    <w:rsid w:val="006E7630"/>
    <w:rsid w:val="006F0A7E"/>
    <w:rsid w:val="006F6FC3"/>
    <w:rsid w:val="006F7D77"/>
    <w:rsid w:val="007024D7"/>
    <w:rsid w:val="00715180"/>
    <w:rsid w:val="00720A73"/>
    <w:rsid w:val="00720CAF"/>
    <w:rsid w:val="00723C50"/>
    <w:rsid w:val="00724377"/>
    <w:rsid w:val="007276B4"/>
    <w:rsid w:val="00733E0F"/>
    <w:rsid w:val="00745D25"/>
    <w:rsid w:val="00746229"/>
    <w:rsid w:val="007506EE"/>
    <w:rsid w:val="0075447F"/>
    <w:rsid w:val="00754A2D"/>
    <w:rsid w:val="007643CE"/>
    <w:rsid w:val="00764ADF"/>
    <w:rsid w:val="00765D0B"/>
    <w:rsid w:val="00766157"/>
    <w:rsid w:val="00767F68"/>
    <w:rsid w:val="0077490A"/>
    <w:rsid w:val="007775EF"/>
    <w:rsid w:val="00780D87"/>
    <w:rsid w:val="007A51E0"/>
    <w:rsid w:val="007A6544"/>
    <w:rsid w:val="007A7FD3"/>
    <w:rsid w:val="007B2410"/>
    <w:rsid w:val="007C01D1"/>
    <w:rsid w:val="007C5705"/>
    <w:rsid w:val="007D13B8"/>
    <w:rsid w:val="007D529B"/>
    <w:rsid w:val="007D77CE"/>
    <w:rsid w:val="00802CDC"/>
    <w:rsid w:val="00803ECE"/>
    <w:rsid w:val="00805E1D"/>
    <w:rsid w:val="00813FEC"/>
    <w:rsid w:val="00814E29"/>
    <w:rsid w:val="00823C1E"/>
    <w:rsid w:val="00826D77"/>
    <w:rsid w:val="00827294"/>
    <w:rsid w:val="0083338D"/>
    <w:rsid w:val="008701AB"/>
    <w:rsid w:val="0087139A"/>
    <w:rsid w:val="00877798"/>
    <w:rsid w:val="008802DB"/>
    <w:rsid w:val="00881967"/>
    <w:rsid w:val="00885F48"/>
    <w:rsid w:val="00890F76"/>
    <w:rsid w:val="0089274E"/>
    <w:rsid w:val="008A08FA"/>
    <w:rsid w:val="008E1146"/>
    <w:rsid w:val="008E70E5"/>
    <w:rsid w:val="008F50DB"/>
    <w:rsid w:val="008F5238"/>
    <w:rsid w:val="008F7723"/>
    <w:rsid w:val="00904BC8"/>
    <w:rsid w:val="00911248"/>
    <w:rsid w:val="00913A4E"/>
    <w:rsid w:val="00925F75"/>
    <w:rsid w:val="00941FB4"/>
    <w:rsid w:val="0094340F"/>
    <w:rsid w:val="00971108"/>
    <w:rsid w:val="0097410F"/>
    <w:rsid w:val="00974280"/>
    <w:rsid w:val="00974393"/>
    <w:rsid w:val="0097704C"/>
    <w:rsid w:val="00986E71"/>
    <w:rsid w:val="00991865"/>
    <w:rsid w:val="00992211"/>
    <w:rsid w:val="009942EB"/>
    <w:rsid w:val="009A1862"/>
    <w:rsid w:val="009A78E1"/>
    <w:rsid w:val="009A7FCF"/>
    <w:rsid w:val="009B548C"/>
    <w:rsid w:val="009D18B6"/>
    <w:rsid w:val="009E6F62"/>
    <w:rsid w:val="009E7F86"/>
    <w:rsid w:val="009F1030"/>
    <w:rsid w:val="009F1B6D"/>
    <w:rsid w:val="00A02039"/>
    <w:rsid w:val="00A04BD7"/>
    <w:rsid w:val="00A20EDD"/>
    <w:rsid w:val="00A212C7"/>
    <w:rsid w:val="00A23406"/>
    <w:rsid w:val="00A27EDD"/>
    <w:rsid w:val="00A35D41"/>
    <w:rsid w:val="00A40953"/>
    <w:rsid w:val="00A44C88"/>
    <w:rsid w:val="00A459E3"/>
    <w:rsid w:val="00A53464"/>
    <w:rsid w:val="00A571FE"/>
    <w:rsid w:val="00A636AF"/>
    <w:rsid w:val="00A773EC"/>
    <w:rsid w:val="00A83D6A"/>
    <w:rsid w:val="00AA03DB"/>
    <w:rsid w:val="00AA164E"/>
    <w:rsid w:val="00AA3B2D"/>
    <w:rsid w:val="00AA7268"/>
    <w:rsid w:val="00AB0D6D"/>
    <w:rsid w:val="00AB68DD"/>
    <w:rsid w:val="00AC2B0B"/>
    <w:rsid w:val="00AD35D8"/>
    <w:rsid w:val="00AD6BB8"/>
    <w:rsid w:val="00AF6D19"/>
    <w:rsid w:val="00B018B8"/>
    <w:rsid w:val="00B1436F"/>
    <w:rsid w:val="00B17FDC"/>
    <w:rsid w:val="00B22148"/>
    <w:rsid w:val="00B2377E"/>
    <w:rsid w:val="00B25C4D"/>
    <w:rsid w:val="00B32A99"/>
    <w:rsid w:val="00B364E6"/>
    <w:rsid w:val="00B47F03"/>
    <w:rsid w:val="00B62010"/>
    <w:rsid w:val="00B6417D"/>
    <w:rsid w:val="00B712AC"/>
    <w:rsid w:val="00B82084"/>
    <w:rsid w:val="00B95E1A"/>
    <w:rsid w:val="00BB4808"/>
    <w:rsid w:val="00BD62E5"/>
    <w:rsid w:val="00BD715F"/>
    <w:rsid w:val="00BD7A11"/>
    <w:rsid w:val="00BE0134"/>
    <w:rsid w:val="00BE421E"/>
    <w:rsid w:val="00BE428E"/>
    <w:rsid w:val="00BE6A42"/>
    <w:rsid w:val="00BE72AA"/>
    <w:rsid w:val="00BF009A"/>
    <w:rsid w:val="00BF2167"/>
    <w:rsid w:val="00BF4E21"/>
    <w:rsid w:val="00BF6AB5"/>
    <w:rsid w:val="00C03182"/>
    <w:rsid w:val="00C10C97"/>
    <w:rsid w:val="00C41CE2"/>
    <w:rsid w:val="00C452E4"/>
    <w:rsid w:val="00C53D36"/>
    <w:rsid w:val="00C57E0D"/>
    <w:rsid w:val="00C616FC"/>
    <w:rsid w:val="00C636EE"/>
    <w:rsid w:val="00C672E3"/>
    <w:rsid w:val="00C7181C"/>
    <w:rsid w:val="00C73C73"/>
    <w:rsid w:val="00C748B2"/>
    <w:rsid w:val="00C75F27"/>
    <w:rsid w:val="00C76A21"/>
    <w:rsid w:val="00C85BE4"/>
    <w:rsid w:val="00C865F7"/>
    <w:rsid w:val="00CA3B61"/>
    <w:rsid w:val="00CA6F62"/>
    <w:rsid w:val="00CB05CD"/>
    <w:rsid w:val="00CB268F"/>
    <w:rsid w:val="00CC5C8E"/>
    <w:rsid w:val="00CD046D"/>
    <w:rsid w:val="00CD15F8"/>
    <w:rsid w:val="00CD207F"/>
    <w:rsid w:val="00CE30FF"/>
    <w:rsid w:val="00CE4E73"/>
    <w:rsid w:val="00CF0128"/>
    <w:rsid w:val="00CF0812"/>
    <w:rsid w:val="00CF1F59"/>
    <w:rsid w:val="00CF245A"/>
    <w:rsid w:val="00CF41FE"/>
    <w:rsid w:val="00CF4321"/>
    <w:rsid w:val="00CF5E94"/>
    <w:rsid w:val="00CF7BE1"/>
    <w:rsid w:val="00D0443A"/>
    <w:rsid w:val="00D07F94"/>
    <w:rsid w:val="00D1130C"/>
    <w:rsid w:val="00D16667"/>
    <w:rsid w:val="00D16B69"/>
    <w:rsid w:val="00D21DEB"/>
    <w:rsid w:val="00D3514F"/>
    <w:rsid w:val="00D5052C"/>
    <w:rsid w:val="00D6266A"/>
    <w:rsid w:val="00D81223"/>
    <w:rsid w:val="00D860D5"/>
    <w:rsid w:val="00D902BF"/>
    <w:rsid w:val="00D91F48"/>
    <w:rsid w:val="00D97443"/>
    <w:rsid w:val="00DB1764"/>
    <w:rsid w:val="00DB2440"/>
    <w:rsid w:val="00DB3C8A"/>
    <w:rsid w:val="00DB5F18"/>
    <w:rsid w:val="00DC5F89"/>
    <w:rsid w:val="00DD0C51"/>
    <w:rsid w:val="00DD7AE6"/>
    <w:rsid w:val="00E06E17"/>
    <w:rsid w:val="00E11578"/>
    <w:rsid w:val="00E2376E"/>
    <w:rsid w:val="00E25C09"/>
    <w:rsid w:val="00E35402"/>
    <w:rsid w:val="00E379EC"/>
    <w:rsid w:val="00E42D97"/>
    <w:rsid w:val="00E42DA2"/>
    <w:rsid w:val="00E47E0D"/>
    <w:rsid w:val="00E526C3"/>
    <w:rsid w:val="00E56A87"/>
    <w:rsid w:val="00E56E52"/>
    <w:rsid w:val="00E854B0"/>
    <w:rsid w:val="00E9403C"/>
    <w:rsid w:val="00E956E5"/>
    <w:rsid w:val="00E95DF8"/>
    <w:rsid w:val="00E97496"/>
    <w:rsid w:val="00EB642C"/>
    <w:rsid w:val="00EB67B5"/>
    <w:rsid w:val="00EB6A82"/>
    <w:rsid w:val="00EB79DB"/>
    <w:rsid w:val="00EE1F86"/>
    <w:rsid w:val="00EE4190"/>
    <w:rsid w:val="00F01156"/>
    <w:rsid w:val="00F04A75"/>
    <w:rsid w:val="00F11389"/>
    <w:rsid w:val="00F11CAA"/>
    <w:rsid w:val="00F14865"/>
    <w:rsid w:val="00F2565B"/>
    <w:rsid w:val="00F3114F"/>
    <w:rsid w:val="00F3147A"/>
    <w:rsid w:val="00F31FF1"/>
    <w:rsid w:val="00F347B6"/>
    <w:rsid w:val="00F37571"/>
    <w:rsid w:val="00F44A15"/>
    <w:rsid w:val="00F4779A"/>
    <w:rsid w:val="00F64D94"/>
    <w:rsid w:val="00F70562"/>
    <w:rsid w:val="00F744B5"/>
    <w:rsid w:val="00F74986"/>
    <w:rsid w:val="00F845F5"/>
    <w:rsid w:val="00F84788"/>
    <w:rsid w:val="00F865EA"/>
    <w:rsid w:val="00F90AF4"/>
    <w:rsid w:val="00F92C7B"/>
    <w:rsid w:val="00F9667A"/>
    <w:rsid w:val="00FA21BD"/>
    <w:rsid w:val="00FB46C7"/>
    <w:rsid w:val="00FC2B5F"/>
    <w:rsid w:val="00FD0009"/>
    <w:rsid w:val="00FD51B5"/>
    <w:rsid w:val="00FF1DB7"/>
    <w:rsid w:val="00FF402A"/>
    <w:rsid w:val="00FF690A"/>
    <w:rsid w:val="019C5A24"/>
    <w:rsid w:val="03681C30"/>
    <w:rsid w:val="04BE31CF"/>
    <w:rsid w:val="0DDC66AA"/>
    <w:rsid w:val="101126FB"/>
    <w:rsid w:val="13DD182C"/>
    <w:rsid w:val="1F9E1891"/>
    <w:rsid w:val="235B04E1"/>
    <w:rsid w:val="2A805FE5"/>
    <w:rsid w:val="350A1AC5"/>
    <w:rsid w:val="3F4E515C"/>
    <w:rsid w:val="41C62FFE"/>
    <w:rsid w:val="428F40D2"/>
    <w:rsid w:val="460C43AB"/>
    <w:rsid w:val="4BFA6B0A"/>
    <w:rsid w:val="53BC3944"/>
    <w:rsid w:val="55F731B5"/>
    <w:rsid w:val="5CAB4FB7"/>
    <w:rsid w:val="5E013299"/>
    <w:rsid w:val="6D72573D"/>
    <w:rsid w:val="786C02C8"/>
    <w:rsid w:val="7C7702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iPriority w:val="99"/>
    <w:rPr>
      <w:rFonts w:ascii="宋体" w:hAnsi="Courier New" w:cs="Courier New"/>
      <w:szCs w:val="21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纯文本 Char"/>
    <w:basedOn w:val="7"/>
    <w:link w:val="2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3"/>
    <w:uiPriority w:val="0"/>
    <w:rPr>
      <w:kern w:val="2"/>
      <w:sz w:val="18"/>
      <w:szCs w:val="18"/>
    </w:rPr>
  </w:style>
  <w:style w:type="paragraph" w:customStyle="1" w:styleId="12">
    <w:name w:val="默认段落字体 Para Char Char Char Char Char Char Char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2</Pages>
  <Words>14550</Words>
  <Characters>82936</Characters>
  <Lines>691</Lines>
  <Paragraphs>194</Paragraphs>
  <TotalTime>4</TotalTime>
  <ScaleCrop>false</ScaleCrop>
  <LinksUpToDate>false</LinksUpToDate>
  <CharactersWithSpaces>97292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2021-03-02T06:55:00Z</dcterms:created>
  <dc:creator>Lenovo User</dc:creator>
  <cp:lastModifiedBy>Administrator</cp:lastModifiedBy>
  <cp:lastPrinted>2014-04-03T09:04:00Z</cp:lastPrinted>
  <dcterms:modified xsi:type="dcterms:W3CDTF">2026-05-24T09:38:37Z</dcterms:modified>
  <dc:title>《最高人民法院、最高人民检察院关于废止1980年1月1日至1997年6月30日期间制发的部分司法解释和司法解释性质文件的决定》已于2012年11月19日由最高人民法院审判委员会第1560次会议、2012年12月19日由最高人民检察院第十一届检察委员会第83次会议通过，现予公布，自2013年1月18日起施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BA791C23ABEE4142B14B4266F9F08F71_13</vt:lpwstr>
  </property>
</Properties>
</file>