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C440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0" w:firstLineChars="0"/>
        <w:jc w:val="center"/>
        <w:textAlignment w:val="auto"/>
        <w:rPr>
          <w:rFonts w:ascii="华文中宋" w:hAnsi="华文中宋" w:eastAsia="华文中宋" w:cs="宋体"/>
          <w:sz w:val="36"/>
          <w:szCs w:val="36"/>
        </w:rPr>
      </w:pPr>
      <w:bookmarkStart w:id="0" w:name="_GoBack"/>
      <w:bookmarkEnd w:id="0"/>
      <w:r>
        <w:rPr>
          <w:rFonts w:hint="eastAsia" w:ascii="华文中宋" w:hAnsi="华文中宋" w:eastAsia="华文中宋" w:cs="宋体"/>
          <w:sz w:val="36"/>
          <w:szCs w:val="36"/>
        </w:rPr>
        <w:t>最高人民法院</w:t>
      </w:r>
    </w:p>
    <w:p w14:paraId="60586F5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0" w:firstLineChars="0"/>
        <w:jc w:val="center"/>
        <w:textAlignment w:val="auto"/>
        <w:rPr>
          <w:rFonts w:hint="eastAsia" w:ascii="华文中宋" w:hAnsi="华文中宋" w:eastAsia="华文中宋" w:cs="宋体"/>
          <w:sz w:val="36"/>
          <w:szCs w:val="36"/>
        </w:rPr>
      </w:pPr>
      <w:r>
        <w:rPr>
          <w:rFonts w:hint="eastAsia" w:ascii="华文中宋" w:hAnsi="华文中宋" w:eastAsia="华文中宋" w:cs="宋体"/>
          <w:sz w:val="36"/>
          <w:szCs w:val="36"/>
        </w:rPr>
        <w:t>关于确定民事侵权精神损害赔偿责任若干问题的解释</w:t>
      </w:r>
    </w:p>
    <w:p w14:paraId="0788FFA2">
      <w:pPr>
        <w:pStyle w:val="3"/>
        <w:spacing w:line="520" w:lineRule="exact"/>
        <w:ind w:firstLine="720" w:firstLineChars="200"/>
        <w:jc w:val="center"/>
        <w:rPr>
          <w:rFonts w:hint="eastAsia" w:ascii="华文中宋" w:hAnsi="华文中宋" w:eastAsia="华文中宋" w:cs="宋体"/>
          <w:sz w:val="36"/>
          <w:szCs w:val="36"/>
        </w:rPr>
      </w:pPr>
    </w:p>
    <w:p w14:paraId="0C0CADAD">
      <w:pPr>
        <w:pStyle w:val="3"/>
        <w:spacing w:line="520" w:lineRule="exact"/>
        <w:ind w:firstLine="600" w:firstLineChars="200"/>
        <w:jc w:val="center"/>
        <w:rPr>
          <w:rFonts w:hint="eastAsia"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（2001年2月26日最高人民法院审判委员会第1161次会议通过，根据2020年12月23日最高人民法院审判委员会第1823次会议通过的《最高人民法院关于修改〈最高人民法院关于在民事审判工作中适用《中华人民共和国工会法》若干问题的解释〉等二十七件民事类司法解释的决定》修正）</w:t>
      </w:r>
    </w:p>
    <w:p w14:paraId="6F82DFFF">
      <w:pPr>
        <w:pStyle w:val="3"/>
        <w:spacing w:line="520" w:lineRule="exact"/>
        <w:ind w:firstLine="640" w:firstLineChars="200"/>
        <w:rPr>
          <w:rFonts w:ascii="仿宋_GB2312" w:hAnsi="宋体" w:eastAsia="仿宋_GB2312" w:cs="宋体"/>
          <w:sz w:val="32"/>
          <w:szCs w:val="32"/>
        </w:rPr>
      </w:pPr>
    </w:p>
    <w:p w14:paraId="59660DE8">
      <w:pPr>
        <w:pStyle w:val="3"/>
        <w:spacing w:line="520" w:lineRule="exact"/>
        <w:ind w:firstLine="600" w:firstLineChars="200"/>
        <w:rPr>
          <w:rFonts w:hint="eastAsia" w:ascii="仿宋_GB2312" w:hAnsi="宋体" w:eastAsia="仿宋_GB2312" w:cs="宋体"/>
          <w:sz w:val="30"/>
          <w:szCs w:val="30"/>
          <w:lang w:eastAsia="zh-CN"/>
        </w:rPr>
      </w:pPr>
      <w:r>
        <w:rPr>
          <w:rFonts w:hint="eastAsia" w:ascii="仿宋_GB2312" w:hAnsi="宋体" w:eastAsia="仿宋_GB2312" w:cs="宋体"/>
          <w:sz w:val="30"/>
          <w:szCs w:val="30"/>
        </w:rPr>
        <w:t>为在审理民事侵权案件中正确确定精神损害赔偿责任，根据《中华人民共和国民法典》等有关法律规定，结合审判实践，制定本解释。</w:t>
      </w:r>
    </w:p>
    <w:p w14:paraId="24EC0E4F">
      <w:pPr>
        <w:pStyle w:val="3"/>
        <w:spacing w:line="520" w:lineRule="exact"/>
        <w:ind w:firstLine="600" w:firstLineChars="200"/>
        <w:rPr>
          <w:rFonts w:hint="eastAsia" w:ascii="仿宋_GB2312" w:hAnsi="宋体" w:eastAsia="仿宋_GB2312" w:cs="宋体"/>
          <w:sz w:val="30"/>
          <w:szCs w:val="30"/>
          <w:lang w:eastAsia="zh-CN"/>
        </w:rPr>
      </w:pPr>
      <w:r>
        <w:rPr>
          <w:rFonts w:hint="eastAsia" w:ascii="仿宋_GB2312" w:hAnsi="宋体" w:eastAsia="仿宋_GB2312" w:cs="宋体"/>
          <w:sz w:val="30"/>
          <w:szCs w:val="30"/>
          <w:lang w:eastAsia="zh-CN"/>
        </w:rPr>
        <w:t>第一条　</w:t>
      </w:r>
      <w:r>
        <w:rPr>
          <w:rFonts w:hint="eastAsia" w:ascii="仿宋_GB2312" w:hAnsi="宋体" w:eastAsia="仿宋_GB2312" w:cs="宋体"/>
          <w:sz w:val="30"/>
          <w:szCs w:val="30"/>
        </w:rPr>
        <w:t>因人身权益或者具有人身意义的特定物受到侵害，自然人或者其近亲属向人民法院提起诉讼请求精神损害赔偿的，人民法院应当依法予以受理。</w:t>
      </w:r>
    </w:p>
    <w:p w14:paraId="0CB57F24">
      <w:pPr>
        <w:pStyle w:val="3"/>
        <w:spacing w:line="520" w:lineRule="exact"/>
        <w:ind w:firstLine="600" w:firstLineChars="200"/>
        <w:rPr>
          <w:rFonts w:hint="eastAsia" w:ascii="仿宋_GB2312" w:hAnsi="宋体" w:eastAsia="仿宋_GB2312" w:cs="宋体"/>
          <w:sz w:val="30"/>
          <w:szCs w:val="30"/>
          <w:lang w:eastAsia="zh-CN"/>
        </w:rPr>
      </w:pPr>
      <w:r>
        <w:rPr>
          <w:rFonts w:hint="eastAsia" w:ascii="仿宋_GB2312" w:hAnsi="宋体" w:eastAsia="仿宋_GB2312" w:cs="宋体"/>
          <w:sz w:val="30"/>
          <w:szCs w:val="30"/>
          <w:lang w:eastAsia="zh-CN"/>
        </w:rPr>
        <w:t>第二条　</w:t>
      </w:r>
      <w:r>
        <w:rPr>
          <w:rFonts w:hint="eastAsia" w:ascii="仿宋_GB2312" w:hAnsi="宋体" w:eastAsia="仿宋_GB2312" w:cs="宋体"/>
          <w:sz w:val="30"/>
          <w:szCs w:val="30"/>
        </w:rPr>
        <w:t>非法使被监护人脱离监护，导致亲子关系或者近亲属间的亲属关系遭受严重损害，监护人向人民法院起诉请求赔偿精神损害的，人民法院应当依法予以受理。</w:t>
      </w:r>
    </w:p>
    <w:p w14:paraId="752DFEC5">
      <w:pPr>
        <w:pStyle w:val="3"/>
        <w:spacing w:line="520" w:lineRule="exact"/>
        <w:ind w:firstLine="600" w:firstLineChars="200"/>
        <w:rPr>
          <w:rFonts w:hint="eastAsia" w:ascii="仿宋_GB2312" w:hAnsi="宋体" w:eastAsia="仿宋_GB2312" w:cs="宋体"/>
          <w:sz w:val="30"/>
          <w:szCs w:val="30"/>
          <w:lang w:eastAsia="zh-CN"/>
        </w:rPr>
      </w:pPr>
      <w:r>
        <w:rPr>
          <w:rFonts w:hint="eastAsia" w:ascii="仿宋_GB2312" w:hAnsi="宋体" w:eastAsia="仿宋_GB2312" w:cs="宋体"/>
          <w:sz w:val="30"/>
          <w:szCs w:val="30"/>
          <w:lang w:eastAsia="zh-CN"/>
        </w:rPr>
        <w:t>第三条　</w:t>
      </w:r>
      <w:r>
        <w:rPr>
          <w:rFonts w:hint="eastAsia" w:ascii="仿宋_GB2312" w:hAnsi="宋体" w:eastAsia="仿宋_GB2312" w:cs="宋体"/>
          <w:sz w:val="30"/>
          <w:szCs w:val="30"/>
        </w:rPr>
        <w:t>死者的姓名、肖像、名誉、荣誉、隐私、遗体、遗骨等受到侵害，其近亲属向人民法院提起诉讼请求精神损害赔偿的，人民法院应当依法予以支持。</w:t>
      </w:r>
    </w:p>
    <w:p w14:paraId="75FDE355">
      <w:pPr>
        <w:pStyle w:val="3"/>
        <w:spacing w:line="520" w:lineRule="exact"/>
        <w:ind w:firstLine="600" w:firstLineChars="200"/>
        <w:rPr>
          <w:rFonts w:hint="eastAsia" w:ascii="仿宋_GB2312" w:hAnsi="宋体" w:eastAsia="仿宋_GB2312" w:cs="宋体"/>
          <w:sz w:val="30"/>
          <w:szCs w:val="30"/>
          <w:lang w:eastAsia="zh-CN"/>
        </w:rPr>
      </w:pPr>
      <w:r>
        <w:rPr>
          <w:rFonts w:hint="eastAsia" w:ascii="仿宋_GB2312" w:hAnsi="宋体" w:eastAsia="仿宋_GB2312" w:cs="宋体"/>
          <w:sz w:val="30"/>
          <w:szCs w:val="30"/>
          <w:lang w:eastAsia="zh-CN"/>
        </w:rPr>
        <w:t>第四条　</w:t>
      </w:r>
      <w:r>
        <w:rPr>
          <w:rFonts w:hint="eastAsia" w:ascii="仿宋_GB2312" w:hAnsi="宋体" w:eastAsia="仿宋_GB2312" w:cs="宋体"/>
          <w:sz w:val="30"/>
          <w:szCs w:val="30"/>
        </w:rPr>
        <w:t>法人或者非法人组织以名誉权、荣誉权、名称权遭受侵害为由，向人民法院起诉请求精神损害赔偿的，人民法院不予支持。</w:t>
      </w:r>
    </w:p>
    <w:p w14:paraId="0900A012">
      <w:pPr>
        <w:pStyle w:val="3"/>
        <w:spacing w:line="520" w:lineRule="exact"/>
        <w:ind w:firstLine="600" w:firstLineChars="200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  <w:lang w:eastAsia="zh-CN"/>
        </w:rPr>
        <w:t>第五条　</w:t>
      </w:r>
      <w:r>
        <w:rPr>
          <w:rFonts w:hint="eastAsia" w:ascii="仿宋_GB2312" w:hAnsi="宋体" w:eastAsia="仿宋_GB2312" w:cs="宋体"/>
          <w:sz w:val="30"/>
          <w:szCs w:val="30"/>
        </w:rPr>
        <w:t>精神损害的赔偿数额根据以下因素确定：</w:t>
      </w:r>
    </w:p>
    <w:p w14:paraId="7CDDD885">
      <w:pPr>
        <w:pStyle w:val="3"/>
        <w:spacing w:line="520" w:lineRule="exact"/>
        <w:ind w:firstLine="600" w:firstLineChars="200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（一）侵权人的过错程度，但是法律另有规定的除外；</w:t>
      </w:r>
    </w:p>
    <w:p w14:paraId="0ABF9FD9">
      <w:pPr>
        <w:pStyle w:val="3"/>
        <w:spacing w:line="520" w:lineRule="exact"/>
        <w:ind w:firstLine="600" w:firstLineChars="200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（二）侵权行为的目的、方式、场合等具体情节；</w:t>
      </w:r>
    </w:p>
    <w:p w14:paraId="47DA1713">
      <w:pPr>
        <w:pStyle w:val="3"/>
        <w:spacing w:line="520" w:lineRule="exact"/>
        <w:ind w:firstLine="600" w:firstLineChars="200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（三）侵权行为所造成的后果；</w:t>
      </w:r>
    </w:p>
    <w:p w14:paraId="1D43868A">
      <w:pPr>
        <w:pStyle w:val="3"/>
        <w:spacing w:line="520" w:lineRule="exact"/>
        <w:ind w:firstLine="600" w:firstLineChars="200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（四）侵权人的获利情况；</w:t>
      </w:r>
    </w:p>
    <w:p w14:paraId="23690FB5">
      <w:pPr>
        <w:pStyle w:val="3"/>
        <w:spacing w:line="520" w:lineRule="exact"/>
        <w:ind w:firstLine="600" w:firstLineChars="200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（五）侵权人承担责任的经济能力；</w:t>
      </w:r>
    </w:p>
    <w:p w14:paraId="70C5BC32">
      <w:pPr>
        <w:pStyle w:val="3"/>
        <w:spacing w:line="520" w:lineRule="exact"/>
        <w:ind w:firstLine="600" w:firstLineChars="200"/>
        <w:rPr>
          <w:rFonts w:hint="eastAsia" w:ascii="仿宋_GB2312" w:hAnsi="宋体" w:eastAsia="仿宋_GB2312" w:cs="宋体"/>
          <w:sz w:val="30"/>
          <w:szCs w:val="30"/>
          <w:lang w:eastAsia="zh-CN"/>
        </w:rPr>
      </w:pPr>
      <w:r>
        <w:rPr>
          <w:rFonts w:hint="eastAsia" w:ascii="仿宋_GB2312" w:hAnsi="宋体" w:eastAsia="仿宋_GB2312" w:cs="宋体"/>
          <w:sz w:val="30"/>
          <w:szCs w:val="30"/>
        </w:rPr>
        <w:t>（六）受理诉讼法院所在地的平均生活水平。</w:t>
      </w:r>
    </w:p>
    <w:p w14:paraId="43644105">
      <w:pPr>
        <w:pStyle w:val="3"/>
        <w:spacing w:line="520" w:lineRule="exact"/>
        <w:ind w:firstLine="600" w:firstLineChars="200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  <w:lang w:eastAsia="zh-CN"/>
        </w:rPr>
        <w:t>第六条　</w:t>
      </w:r>
      <w:r>
        <w:rPr>
          <w:rFonts w:hint="eastAsia" w:ascii="仿宋_GB2312" w:hAnsi="宋体" w:eastAsia="仿宋_GB2312" w:cs="宋体"/>
          <w:sz w:val="30"/>
          <w:szCs w:val="30"/>
        </w:rPr>
        <w:t>在本解释公布施行之前已经生效施行的司法解释，其内容有与本解释不一致的，以本解释为准。</w:t>
      </w: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pgNumType w:start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830249">
    <w:pPr>
      <w:pStyle w:val="5"/>
      <w:framePr w:wrap="around" w:vAnchor="text" w:hAnchor="margin" w:xAlign="outside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separate"/>
    </w:r>
    <w:r>
      <w:rPr>
        <w:rStyle w:val="9"/>
      </w:rPr>
      <w:t>126</w:t>
    </w:r>
    <w:r>
      <w:fldChar w:fldCharType="end"/>
    </w:r>
  </w:p>
  <w:p w14:paraId="656F9178">
    <w:pPr>
      <w:pStyle w:val="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F01D9">
    <w:pPr>
      <w:pStyle w:val="5"/>
      <w:framePr w:wrap="around" w:vAnchor="text" w:hAnchor="margin" w:xAlign="outside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end"/>
    </w:r>
  </w:p>
  <w:p w14:paraId="3E20ACEA">
    <w:pPr>
      <w:pStyle w:val="5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6C55"/>
    <w:rsid w:val="000051BA"/>
    <w:rsid w:val="00007DC9"/>
    <w:rsid w:val="00022FF2"/>
    <w:rsid w:val="000246CF"/>
    <w:rsid w:val="00026B55"/>
    <w:rsid w:val="000300E0"/>
    <w:rsid w:val="0004157A"/>
    <w:rsid w:val="00041639"/>
    <w:rsid w:val="00046FD0"/>
    <w:rsid w:val="00060A39"/>
    <w:rsid w:val="00060B3A"/>
    <w:rsid w:val="000658AA"/>
    <w:rsid w:val="00070A8B"/>
    <w:rsid w:val="000720A0"/>
    <w:rsid w:val="00072E51"/>
    <w:rsid w:val="000831A5"/>
    <w:rsid w:val="00092662"/>
    <w:rsid w:val="00093500"/>
    <w:rsid w:val="00094871"/>
    <w:rsid w:val="000A67EC"/>
    <w:rsid w:val="000B0BEB"/>
    <w:rsid w:val="000B1F15"/>
    <w:rsid w:val="000B47FF"/>
    <w:rsid w:val="000C4793"/>
    <w:rsid w:val="000D7352"/>
    <w:rsid w:val="000E4EE9"/>
    <w:rsid w:val="000E5187"/>
    <w:rsid w:val="000E56CF"/>
    <w:rsid w:val="000E6D88"/>
    <w:rsid w:val="000F150B"/>
    <w:rsid w:val="000F2196"/>
    <w:rsid w:val="000F2D91"/>
    <w:rsid w:val="00105EA6"/>
    <w:rsid w:val="001066EE"/>
    <w:rsid w:val="00106D59"/>
    <w:rsid w:val="001211C7"/>
    <w:rsid w:val="0012392B"/>
    <w:rsid w:val="00125415"/>
    <w:rsid w:val="00133F36"/>
    <w:rsid w:val="00141FB6"/>
    <w:rsid w:val="00156266"/>
    <w:rsid w:val="001614DD"/>
    <w:rsid w:val="001617A2"/>
    <w:rsid w:val="00162880"/>
    <w:rsid w:val="0016489F"/>
    <w:rsid w:val="0016665A"/>
    <w:rsid w:val="00170A71"/>
    <w:rsid w:val="001778DA"/>
    <w:rsid w:val="001A7520"/>
    <w:rsid w:val="001B131A"/>
    <w:rsid w:val="001B153F"/>
    <w:rsid w:val="001B6523"/>
    <w:rsid w:val="001D4E14"/>
    <w:rsid w:val="001D5662"/>
    <w:rsid w:val="001E1AB1"/>
    <w:rsid w:val="002064F7"/>
    <w:rsid w:val="00206B2B"/>
    <w:rsid w:val="0021015E"/>
    <w:rsid w:val="0021638E"/>
    <w:rsid w:val="002216B9"/>
    <w:rsid w:val="002255D9"/>
    <w:rsid w:val="0023259F"/>
    <w:rsid w:val="00233F94"/>
    <w:rsid w:val="00235183"/>
    <w:rsid w:val="00241E35"/>
    <w:rsid w:val="002428F9"/>
    <w:rsid w:val="0025742F"/>
    <w:rsid w:val="002612F3"/>
    <w:rsid w:val="002671B1"/>
    <w:rsid w:val="00271C80"/>
    <w:rsid w:val="00277543"/>
    <w:rsid w:val="00281EEF"/>
    <w:rsid w:val="0028390D"/>
    <w:rsid w:val="0028710F"/>
    <w:rsid w:val="002A0E27"/>
    <w:rsid w:val="002A0E47"/>
    <w:rsid w:val="002A1765"/>
    <w:rsid w:val="002A1BB0"/>
    <w:rsid w:val="002A7E25"/>
    <w:rsid w:val="002B5E8C"/>
    <w:rsid w:val="002C11D2"/>
    <w:rsid w:val="002C2CC8"/>
    <w:rsid w:val="002D6C55"/>
    <w:rsid w:val="002E52C2"/>
    <w:rsid w:val="002E71C4"/>
    <w:rsid w:val="00300D5D"/>
    <w:rsid w:val="00304596"/>
    <w:rsid w:val="00311EB0"/>
    <w:rsid w:val="00313AEE"/>
    <w:rsid w:val="0031621E"/>
    <w:rsid w:val="00327650"/>
    <w:rsid w:val="003344E4"/>
    <w:rsid w:val="00334544"/>
    <w:rsid w:val="003370AB"/>
    <w:rsid w:val="003407E4"/>
    <w:rsid w:val="00340D0A"/>
    <w:rsid w:val="00342C41"/>
    <w:rsid w:val="00344576"/>
    <w:rsid w:val="00345685"/>
    <w:rsid w:val="003543FF"/>
    <w:rsid w:val="0035523C"/>
    <w:rsid w:val="00356973"/>
    <w:rsid w:val="00356AAC"/>
    <w:rsid w:val="00357579"/>
    <w:rsid w:val="00357968"/>
    <w:rsid w:val="00374592"/>
    <w:rsid w:val="00384827"/>
    <w:rsid w:val="003854B1"/>
    <w:rsid w:val="003871CA"/>
    <w:rsid w:val="003902DE"/>
    <w:rsid w:val="00390825"/>
    <w:rsid w:val="00394561"/>
    <w:rsid w:val="00395336"/>
    <w:rsid w:val="003A38EC"/>
    <w:rsid w:val="003B50D6"/>
    <w:rsid w:val="003C0536"/>
    <w:rsid w:val="003D7E4C"/>
    <w:rsid w:val="003E737D"/>
    <w:rsid w:val="003F534F"/>
    <w:rsid w:val="0040207F"/>
    <w:rsid w:val="00403942"/>
    <w:rsid w:val="00422EA0"/>
    <w:rsid w:val="00424C9C"/>
    <w:rsid w:val="00430221"/>
    <w:rsid w:val="00431DB2"/>
    <w:rsid w:val="00432CA7"/>
    <w:rsid w:val="004358E6"/>
    <w:rsid w:val="00440B14"/>
    <w:rsid w:val="00447D9F"/>
    <w:rsid w:val="00454D12"/>
    <w:rsid w:val="00463561"/>
    <w:rsid w:val="0046510C"/>
    <w:rsid w:val="004724D5"/>
    <w:rsid w:val="00473BA4"/>
    <w:rsid w:val="004745A3"/>
    <w:rsid w:val="0048272B"/>
    <w:rsid w:val="00493ABE"/>
    <w:rsid w:val="0049468F"/>
    <w:rsid w:val="004A69A0"/>
    <w:rsid w:val="004B0465"/>
    <w:rsid w:val="004B1A57"/>
    <w:rsid w:val="004B2619"/>
    <w:rsid w:val="004B4FF6"/>
    <w:rsid w:val="004B7D8C"/>
    <w:rsid w:val="004C1EAA"/>
    <w:rsid w:val="004C4118"/>
    <w:rsid w:val="004C4DF7"/>
    <w:rsid w:val="004C569C"/>
    <w:rsid w:val="004D639F"/>
    <w:rsid w:val="004F5158"/>
    <w:rsid w:val="00506C84"/>
    <w:rsid w:val="005142A1"/>
    <w:rsid w:val="00517CAB"/>
    <w:rsid w:val="00531D2C"/>
    <w:rsid w:val="00536EBF"/>
    <w:rsid w:val="0053713F"/>
    <w:rsid w:val="00542147"/>
    <w:rsid w:val="005433C2"/>
    <w:rsid w:val="005502F2"/>
    <w:rsid w:val="005533DE"/>
    <w:rsid w:val="00562083"/>
    <w:rsid w:val="0057423C"/>
    <w:rsid w:val="0058350A"/>
    <w:rsid w:val="00586344"/>
    <w:rsid w:val="00594376"/>
    <w:rsid w:val="005A56F6"/>
    <w:rsid w:val="005A6C12"/>
    <w:rsid w:val="005C1972"/>
    <w:rsid w:val="005D3469"/>
    <w:rsid w:val="005D38BC"/>
    <w:rsid w:val="005E2A4A"/>
    <w:rsid w:val="005E48B7"/>
    <w:rsid w:val="005F1B3D"/>
    <w:rsid w:val="00602816"/>
    <w:rsid w:val="00604ACB"/>
    <w:rsid w:val="00606C5B"/>
    <w:rsid w:val="00612F03"/>
    <w:rsid w:val="006171AA"/>
    <w:rsid w:val="006178C3"/>
    <w:rsid w:val="00621BAF"/>
    <w:rsid w:val="0062410E"/>
    <w:rsid w:val="00626CE8"/>
    <w:rsid w:val="00661621"/>
    <w:rsid w:val="006711F4"/>
    <w:rsid w:val="0068140B"/>
    <w:rsid w:val="00685825"/>
    <w:rsid w:val="0069347C"/>
    <w:rsid w:val="006B086F"/>
    <w:rsid w:val="006C6067"/>
    <w:rsid w:val="006E1FF4"/>
    <w:rsid w:val="006E7630"/>
    <w:rsid w:val="006F0A7E"/>
    <w:rsid w:val="006F6FC3"/>
    <w:rsid w:val="006F7D77"/>
    <w:rsid w:val="007024D7"/>
    <w:rsid w:val="00715180"/>
    <w:rsid w:val="00720A73"/>
    <w:rsid w:val="00720CAF"/>
    <w:rsid w:val="00723C50"/>
    <w:rsid w:val="00724377"/>
    <w:rsid w:val="007276B4"/>
    <w:rsid w:val="00733E0F"/>
    <w:rsid w:val="00745D25"/>
    <w:rsid w:val="007506EE"/>
    <w:rsid w:val="0075447F"/>
    <w:rsid w:val="00754A2D"/>
    <w:rsid w:val="007643CE"/>
    <w:rsid w:val="00764ADF"/>
    <w:rsid w:val="00766157"/>
    <w:rsid w:val="00766773"/>
    <w:rsid w:val="00767F68"/>
    <w:rsid w:val="0077490A"/>
    <w:rsid w:val="007775EF"/>
    <w:rsid w:val="00780D87"/>
    <w:rsid w:val="00790C7E"/>
    <w:rsid w:val="007A51E0"/>
    <w:rsid w:val="007A6544"/>
    <w:rsid w:val="007A7FD3"/>
    <w:rsid w:val="007B2410"/>
    <w:rsid w:val="007C01D1"/>
    <w:rsid w:val="007C5705"/>
    <w:rsid w:val="007D13B8"/>
    <w:rsid w:val="007D529B"/>
    <w:rsid w:val="007D77CE"/>
    <w:rsid w:val="00802B89"/>
    <w:rsid w:val="00802CDC"/>
    <w:rsid w:val="00803ECE"/>
    <w:rsid w:val="00805E1D"/>
    <w:rsid w:val="008107D6"/>
    <w:rsid w:val="00813FEC"/>
    <w:rsid w:val="00814E29"/>
    <w:rsid w:val="00823C1E"/>
    <w:rsid w:val="00826D77"/>
    <w:rsid w:val="00831FAD"/>
    <w:rsid w:val="0083338D"/>
    <w:rsid w:val="00856321"/>
    <w:rsid w:val="008701AB"/>
    <w:rsid w:val="0087139A"/>
    <w:rsid w:val="00877798"/>
    <w:rsid w:val="008802DB"/>
    <w:rsid w:val="00881967"/>
    <w:rsid w:val="00883024"/>
    <w:rsid w:val="00885F48"/>
    <w:rsid w:val="00890F76"/>
    <w:rsid w:val="0089274E"/>
    <w:rsid w:val="008A08FA"/>
    <w:rsid w:val="008B42DE"/>
    <w:rsid w:val="008E1146"/>
    <w:rsid w:val="008E70E5"/>
    <w:rsid w:val="008F50DB"/>
    <w:rsid w:val="008F5238"/>
    <w:rsid w:val="008F7723"/>
    <w:rsid w:val="00900E6A"/>
    <w:rsid w:val="00904BC8"/>
    <w:rsid w:val="00911248"/>
    <w:rsid w:val="00913A4E"/>
    <w:rsid w:val="00925F75"/>
    <w:rsid w:val="009369EC"/>
    <w:rsid w:val="0094340F"/>
    <w:rsid w:val="00971108"/>
    <w:rsid w:val="0097410F"/>
    <w:rsid w:val="00974280"/>
    <w:rsid w:val="00974393"/>
    <w:rsid w:val="0097704C"/>
    <w:rsid w:val="00982375"/>
    <w:rsid w:val="00986E71"/>
    <w:rsid w:val="00992211"/>
    <w:rsid w:val="009942EB"/>
    <w:rsid w:val="00996C7E"/>
    <w:rsid w:val="009A1862"/>
    <w:rsid w:val="009A78E1"/>
    <w:rsid w:val="009A7FCF"/>
    <w:rsid w:val="009B548C"/>
    <w:rsid w:val="009C1982"/>
    <w:rsid w:val="009D18B6"/>
    <w:rsid w:val="009E6F62"/>
    <w:rsid w:val="009E7F86"/>
    <w:rsid w:val="009F1030"/>
    <w:rsid w:val="009F1B6D"/>
    <w:rsid w:val="00A02039"/>
    <w:rsid w:val="00A04BD7"/>
    <w:rsid w:val="00A20EDD"/>
    <w:rsid w:val="00A212C7"/>
    <w:rsid w:val="00A23406"/>
    <w:rsid w:val="00A27EDD"/>
    <w:rsid w:val="00A35D41"/>
    <w:rsid w:val="00A40953"/>
    <w:rsid w:val="00A44C88"/>
    <w:rsid w:val="00A459E3"/>
    <w:rsid w:val="00A571FE"/>
    <w:rsid w:val="00A636AF"/>
    <w:rsid w:val="00A773EC"/>
    <w:rsid w:val="00AA03DB"/>
    <w:rsid w:val="00AA164E"/>
    <w:rsid w:val="00AA3B2D"/>
    <w:rsid w:val="00AA7268"/>
    <w:rsid w:val="00AB0D6D"/>
    <w:rsid w:val="00AB68DD"/>
    <w:rsid w:val="00AC2B0B"/>
    <w:rsid w:val="00AD35D8"/>
    <w:rsid w:val="00AD3C0A"/>
    <w:rsid w:val="00AD6BB8"/>
    <w:rsid w:val="00AF6D19"/>
    <w:rsid w:val="00B018B8"/>
    <w:rsid w:val="00B04775"/>
    <w:rsid w:val="00B1436F"/>
    <w:rsid w:val="00B17FDC"/>
    <w:rsid w:val="00B22148"/>
    <w:rsid w:val="00B2377E"/>
    <w:rsid w:val="00B25C4D"/>
    <w:rsid w:val="00B32A99"/>
    <w:rsid w:val="00B364E6"/>
    <w:rsid w:val="00B47F03"/>
    <w:rsid w:val="00B62010"/>
    <w:rsid w:val="00B6417D"/>
    <w:rsid w:val="00B712AC"/>
    <w:rsid w:val="00B77E8D"/>
    <w:rsid w:val="00B82084"/>
    <w:rsid w:val="00B95E1A"/>
    <w:rsid w:val="00BB4808"/>
    <w:rsid w:val="00BC1EF9"/>
    <w:rsid w:val="00BC7800"/>
    <w:rsid w:val="00BD62E5"/>
    <w:rsid w:val="00BD715F"/>
    <w:rsid w:val="00BD7A11"/>
    <w:rsid w:val="00BE0134"/>
    <w:rsid w:val="00BE421E"/>
    <w:rsid w:val="00BE428E"/>
    <w:rsid w:val="00BE6A42"/>
    <w:rsid w:val="00BF009A"/>
    <w:rsid w:val="00BF029E"/>
    <w:rsid w:val="00BF2167"/>
    <w:rsid w:val="00BF4E21"/>
    <w:rsid w:val="00BF6AB5"/>
    <w:rsid w:val="00C03182"/>
    <w:rsid w:val="00C10C97"/>
    <w:rsid w:val="00C32ED8"/>
    <w:rsid w:val="00C35BCE"/>
    <w:rsid w:val="00C41CE2"/>
    <w:rsid w:val="00C452E4"/>
    <w:rsid w:val="00C53D36"/>
    <w:rsid w:val="00C57E0D"/>
    <w:rsid w:val="00C636EE"/>
    <w:rsid w:val="00C672E3"/>
    <w:rsid w:val="00C7181C"/>
    <w:rsid w:val="00C73C73"/>
    <w:rsid w:val="00C748B2"/>
    <w:rsid w:val="00C75F27"/>
    <w:rsid w:val="00C76A21"/>
    <w:rsid w:val="00C85BE4"/>
    <w:rsid w:val="00C865F7"/>
    <w:rsid w:val="00CA3B61"/>
    <w:rsid w:val="00CB05CD"/>
    <w:rsid w:val="00CB268F"/>
    <w:rsid w:val="00CD046D"/>
    <w:rsid w:val="00CD15F8"/>
    <w:rsid w:val="00CD207F"/>
    <w:rsid w:val="00CF0128"/>
    <w:rsid w:val="00CF0812"/>
    <w:rsid w:val="00CF2427"/>
    <w:rsid w:val="00CF245A"/>
    <w:rsid w:val="00CF41FE"/>
    <w:rsid w:val="00CF4321"/>
    <w:rsid w:val="00CF5E94"/>
    <w:rsid w:val="00CF7BE1"/>
    <w:rsid w:val="00D0443A"/>
    <w:rsid w:val="00D07F94"/>
    <w:rsid w:val="00D1130C"/>
    <w:rsid w:val="00D16667"/>
    <w:rsid w:val="00D16B69"/>
    <w:rsid w:val="00D21DEB"/>
    <w:rsid w:val="00D3514F"/>
    <w:rsid w:val="00D5052C"/>
    <w:rsid w:val="00D6266A"/>
    <w:rsid w:val="00D81223"/>
    <w:rsid w:val="00D860D5"/>
    <w:rsid w:val="00D91F48"/>
    <w:rsid w:val="00D97443"/>
    <w:rsid w:val="00DB1764"/>
    <w:rsid w:val="00DB2440"/>
    <w:rsid w:val="00DB3C8A"/>
    <w:rsid w:val="00DB5F18"/>
    <w:rsid w:val="00DC5F89"/>
    <w:rsid w:val="00DD0C51"/>
    <w:rsid w:val="00DD7AE6"/>
    <w:rsid w:val="00DE7F05"/>
    <w:rsid w:val="00E019B4"/>
    <w:rsid w:val="00E06E17"/>
    <w:rsid w:val="00E11578"/>
    <w:rsid w:val="00E2376E"/>
    <w:rsid w:val="00E25262"/>
    <w:rsid w:val="00E25C09"/>
    <w:rsid w:val="00E35402"/>
    <w:rsid w:val="00E379EC"/>
    <w:rsid w:val="00E42D97"/>
    <w:rsid w:val="00E42DA2"/>
    <w:rsid w:val="00E43AE3"/>
    <w:rsid w:val="00E47E0D"/>
    <w:rsid w:val="00E526C3"/>
    <w:rsid w:val="00E56A87"/>
    <w:rsid w:val="00E56E52"/>
    <w:rsid w:val="00E74BD4"/>
    <w:rsid w:val="00E854B0"/>
    <w:rsid w:val="00E9403C"/>
    <w:rsid w:val="00E956E5"/>
    <w:rsid w:val="00E95DF8"/>
    <w:rsid w:val="00E97496"/>
    <w:rsid w:val="00EB642C"/>
    <w:rsid w:val="00EB67B5"/>
    <w:rsid w:val="00EB6A82"/>
    <w:rsid w:val="00EB79DB"/>
    <w:rsid w:val="00EE1F86"/>
    <w:rsid w:val="00EE4190"/>
    <w:rsid w:val="00F01156"/>
    <w:rsid w:val="00F04A75"/>
    <w:rsid w:val="00F11389"/>
    <w:rsid w:val="00F11CAA"/>
    <w:rsid w:val="00F14865"/>
    <w:rsid w:val="00F2565B"/>
    <w:rsid w:val="00F3114F"/>
    <w:rsid w:val="00F3147A"/>
    <w:rsid w:val="00F31FF1"/>
    <w:rsid w:val="00F347B6"/>
    <w:rsid w:val="00F37571"/>
    <w:rsid w:val="00F44A15"/>
    <w:rsid w:val="00F4779A"/>
    <w:rsid w:val="00F64D94"/>
    <w:rsid w:val="00F70562"/>
    <w:rsid w:val="00F744B5"/>
    <w:rsid w:val="00F74986"/>
    <w:rsid w:val="00F845F5"/>
    <w:rsid w:val="00F84788"/>
    <w:rsid w:val="00F865EA"/>
    <w:rsid w:val="00F90AF4"/>
    <w:rsid w:val="00F92C7B"/>
    <w:rsid w:val="00F9667A"/>
    <w:rsid w:val="00FA21BD"/>
    <w:rsid w:val="00FB46C7"/>
    <w:rsid w:val="00FC2B5F"/>
    <w:rsid w:val="00FC2D0C"/>
    <w:rsid w:val="00FD0009"/>
    <w:rsid w:val="00FD51B5"/>
    <w:rsid w:val="00FE2ABF"/>
    <w:rsid w:val="00FF402A"/>
    <w:rsid w:val="00FF690A"/>
    <w:rsid w:val="034B546D"/>
    <w:rsid w:val="054555D3"/>
    <w:rsid w:val="068469B4"/>
    <w:rsid w:val="069E3BE4"/>
    <w:rsid w:val="07964AB5"/>
    <w:rsid w:val="0B825A33"/>
    <w:rsid w:val="0BA242D5"/>
    <w:rsid w:val="0C0834C7"/>
    <w:rsid w:val="0EA7448D"/>
    <w:rsid w:val="10B4046A"/>
    <w:rsid w:val="14D71881"/>
    <w:rsid w:val="18B1664C"/>
    <w:rsid w:val="1C2A3428"/>
    <w:rsid w:val="1C925F96"/>
    <w:rsid w:val="1D8745BA"/>
    <w:rsid w:val="1E0A71BE"/>
    <w:rsid w:val="20EF0AEB"/>
    <w:rsid w:val="21AC359F"/>
    <w:rsid w:val="225E6916"/>
    <w:rsid w:val="23EC0E3B"/>
    <w:rsid w:val="28777A7F"/>
    <w:rsid w:val="2BE11C8A"/>
    <w:rsid w:val="2D0D3DF4"/>
    <w:rsid w:val="2D9322EC"/>
    <w:rsid w:val="2DDE133A"/>
    <w:rsid w:val="32393A41"/>
    <w:rsid w:val="331E6CE5"/>
    <w:rsid w:val="33B66513"/>
    <w:rsid w:val="37F65C02"/>
    <w:rsid w:val="3AA25129"/>
    <w:rsid w:val="3D103530"/>
    <w:rsid w:val="3DD135ED"/>
    <w:rsid w:val="411D018A"/>
    <w:rsid w:val="421A789E"/>
    <w:rsid w:val="45744752"/>
    <w:rsid w:val="468700B9"/>
    <w:rsid w:val="478663EF"/>
    <w:rsid w:val="497A654E"/>
    <w:rsid w:val="49F41E37"/>
    <w:rsid w:val="4E2D1AF2"/>
    <w:rsid w:val="4EBE4674"/>
    <w:rsid w:val="55AA15C6"/>
    <w:rsid w:val="5708400C"/>
    <w:rsid w:val="5A227BDF"/>
    <w:rsid w:val="5E9C51FC"/>
    <w:rsid w:val="601A7539"/>
    <w:rsid w:val="693E1A31"/>
    <w:rsid w:val="6F6E05E0"/>
    <w:rsid w:val="71665566"/>
    <w:rsid w:val="73534409"/>
    <w:rsid w:val="74F95CC7"/>
    <w:rsid w:val="757F36BB"/>
    <w:rsid w:val="762D4645"/>
    <w:rsid w:val="7B4C3176"/>
    <w:rsid w:val="7FFF6E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99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uiPriority w:val="0"/>
    <w:pPr>
      <w:jc w:val="center"/>
    </w:pPr>
    <w:rPr>
      <w:rFonts w:eastAsia="楷体"/>
      <w:sz w:val="32"/>
    </w:rPr>
  </w:style>
  <w:style w:type="paragraph" w:styleId="3">
    <w:name w:val="Plain Text"/>
    <w:basedOn w:val="1"/>
    <w:link w:val="11"/>
    <w:qFormat/>
    <w:uiPriority w:val="99"/>
    <w:rPr>
      <w:rFonts w:ascii="宋体" w:hAnsi="Courier New" w:cs="Courier New"/>
      <w:szCs w:val="21"/>
    </w:rPr>
  </w:style>
  <w:style w:type="paragraph" w:styleId="4">
    <w:name w:val="Balloon Text"/>
    <w:basedOn w:val="1"/>
    <w:link w:val="10"/>
    <w:qFormat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page number"/>
    <w:basedOn w:val="8"/>
    <w:uiPriority w:val="0"/>
  </w:style>
  <w:style w:type="character" w:customStyle="1" w:styleId="10">
    <w:name w:val="批注框文本 Char"/>
    <w:basedOn w:val="8"/>
    <w:link w:val="4"/>
    <w:uiPriority w:val="0"/>
    <w:rPr>
      <w:kern w:val="2"/>
      <w:sz w:val="18"/>
      <w:szCs w:val="18"/>
    </w:rPr>
  </w:style>
  <w:style w:type="character" w:customStyle="1" w:styleId="11">
    <w:name w:val="纯文本 Char"/>
    <w:basedOn w:val="8"/>
    <w:link w:val="3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2">
    <w:name w:val="页眉 Char"/>
    <w:basedOn w:val="8"/>
    <w:link w:val="6"/>
    <w:uiPriority w:val="0"/>
    <w:rPr>
      <w:kern w:val="2"/>
      <w:sz w:val="18"/>
      <w:szCs w:val="18"/>
    </w:rPr>
  </w:style>
  <w:style w:type="paragraph" w:customStyle="1" w:styleId="13">
    <w:name w:val="默认段落字体 Para Char Char Char Char Char Char Char"/>
    <w:basedOn w:val="1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 (Beijing) Limited</Company>
  <Pages>2</Pages>
  <Words>10233</Words>
  <Characters>58333</Characters>
  <Lines>486</Lines>
  <Paragraphs>136</Paragraphs>
  <TotalTime>44</TotalTime>
  <ScaleCrop>false</ScaleCrop>
  <LinksUpToDate>false</LinksUpToDate>
  <CharactersWithSpaces>68430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2021-03-02T06:37:00Z</dcterms:created>
  <dc:creator>Lenovo User</dc:creator>
  <cp:lastModifiedBy>Administrator</cp:lastModifiedBy>
  <cp:lastPrinted>2014-04-03T09:04:00Z</cp:lastPrinted>
  <dcterms:modified xsi:type="dcterms:W3CDTF">2026-05-24T09:38:38Z</dcterms:modified>
  <dc:title>《最高人民法院、最高人民检察院关于废止1980年1月1日至1997年6月30日期间制发的部分司法解释和司法解释性质文件的决定》已于2012年11月19日由最高人民法院审判委员会第1560次会议、2012年12月19日由最高人民检察院第十一届检察委员会第83次会议通过，现予公布，自2013年1月18日起施行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D2A86E2F7A8E45DB8ACE416A1133CF91_13</vt:lpwstr>
  </property>
</Properties>
</file>