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6BE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0：启动闪屏页</w:t>
      </w:r>
    </w:p>
    <w:p w14:paraId="5FF811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石板房航拍图作为启动背景，但不要直接放长段说明。</w:t>
      </w:r>
    </w:p>
    <w:p w14:paraId="74183E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画面底部加一句引导语：“从一抹蓝开始，走进布依族的日常。”</w:t>
      </w:r>
    </w:p>
    <w:p w14:paraId="37B8F0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点击后进入首页，闪屏停留约 2 秒后自动跳转（可跳过）。</w:t>
      </w:r>
    </w:p>
    <w:p w14:paraId="11E29160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3040" cy="3937000"/>
            <wp:effectExtent l="0" t="0" r="3810" b="635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71BAF">
      <w:pPr>
        <w:rPr>
          <w:rFonts w:hint="eastAsia" w:ascii="宋体" w:hAnsi="宋体" w:eastAsia="宋体" w:cs="宋体"/>
          <w:sz w:val="24"/>
          <w:szCs w:val="24"/>
        </w:rPr>
      </w:pPr>
    </w:p>
    <w:p w14:paraId="1697C2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1：首页</w:t>
      </w:r>
    </w:p>
    <w:p w14:paraId="4E712A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不做信息流，直接放三张入口卡片，分别对应三个板块：</w:t>
      </w:r>
    </w:p>
    <w:p w14:paraId="2A9515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蓝染工坊 —— 图标：染缸/蜡刀</w:t>
      </w:r>
    </w:p>
    <w:p w14:paraId="2217AE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古寨戏台 —— 图标：铜鼓/勒尤</w:t>
      </w:r>
    </w:p>
    <w:p w14:paraId="726F2C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节令风物 —— 图标：五色糯米饭/粽叶</w:t>
      </w:r>
    </w:p>
    <w:p w14:paraId="1D875F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首页底部保留一句石板房相关的短文案：“石板房顺应山地而生，蓝染与歌声顺着日子而长。”</w:t>
      </w:r>
    </w:p>
    <w:p w14:paraId="4BE205BD">
      <w:pPr>
        <w:rPr>
          <w:rFonts w:hint="eastAsia" w:ascii="宋体" w:hAnsi="宋体" w:eastAsia="宋体" w:cs="宋体"/>
          <w:sz w:val="24"/>
          <w:szCs w:val="24"/>
        </w:rPr>
      </w:pPr>
    </w:p>
    <w:p w14:paraId="320516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板块一：蓝染工坊（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看得见的技艺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7BD363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（蜡染）、（服饰）、（蜡染纹样拼贴）</w:t>
      </w:r>
    </w:p>
    <w:p w14:paraId="1969CF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2：蜡染工序页</w:t>
      </w:r>
    </w:p>
    <w:p w14:paraId="3D8C46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两张实拍图：点蜡（蜡刀绘制） 和 老人展示蜡染布。</w:t>
      </w:r>
    </w:p>
    <w:p w14:paraId="55487A20">
      <w:pPr>
        <w:rPr>
          <w:rFonts w:hint="eastAsia" w:ascii="宋体" w:hAnsi="宋体" w:eastAsia="宋体" w:cs="宋体"/>
          <w:sz w:val="24"/>
          <w:szCs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1854835</wp:posOffset>
            </wp:positionH>
            <wp:positionV relativeFrom="paragraph">
              <wp:posOffset>90170</wp:posOffset>
            </wp:positionV>
            <wp:extent cx="2978150" cy="2250440"/>
            <wp:effectExtent l="0" t="0" r="12700" b="0"/>
            <wp:wrapTight wrapText="bothSides">
              <wp:wrapPolygon>
                <wp:start x="0" y="0"/>
                <wp:lineTo x="0" y="21393"/>
                <wp:lineTo x="21416" y="21393"/>
                <wp:lineTo x="21416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748790" cy="2226945"/>
            <wp:effectExtent l="0" t="0" r="3810" b="190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76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把说明拆成“工序滑动条”，用 4 个步骤呈现：画蜡 → 浸染 → 脱蜡 → 晾晒。</w:t>
      </w:r>
    </w:p>
    <w:p w14:paraId="66ED7C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每步配一句短说明，例如：</w:t>
      </w:r>
    </w:p>
    <w:p w14:paraId="2EF86C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画蜡：蜂蜡熔在蜡刀上，纹样顺着布面走。</w:t>
      </w:r>
    </w:p>
    <w:p w14:paraId="59B2B0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浸染：反复浸入靛蓝染缸，颜色由浅入深。</w:t>
      </w:r>
    </w:p>
    <w:p w14:paraId="03B4F2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增加一个简易交互：“调蓝”滑块，拖动控制浸染次数，颜色从浅蓝渐变到深靛，让用户直观感受“反复浸染”的工艺逻辑。</w:t>
      </w:r>
    </w:p>
    <w:p w14:paraId="478024D4">
      <w:pPr>
        <w:rPr>
          <w:rFonts w:hint="eastAsia" w:ascii="宋体" w:hAnsi="宋体" w:eastAsia="宋体" w:cs="宋体"/>
          <w:sz w:val="24"/>
          <w:szCs w:val="24"/>
        </w:rPr>
      </w:pPr>
    </w:p>
    <w:p w14:paraId="13A7E3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3：纹样图鉴页</w:t>
      </w:r>
    </w:p>
    <w:p w14:paraId="12A5D4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 4—6 个纹样卡片展示常见几何纹、水波纹、田畴纹等。</w:t>
      </w:r>
    </w:p>
    <w:p w14:paraId="7A8DAF7C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9230" cy="4504690"/>
            <wp:effectExtent l="0" t="0" r="7620" b="1016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47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每个纹样配一句释义，不写长段，例如：“水波纹——记录迁徙路上的河流记忆。”</w:t>
      </w:r>
    </w:p>
    <w:p w14:paraId="3544EA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点击纹样可放大查看，并标注“该纹样可用于拼贴创作”。</w:t>
      </w:r>
    </w:p>
    <w:p w14:paraId="494A6A48">
      <w:pPr>
        <w:rPr>
          <w:rFonts w:hint="eastAsia" w:ascii="宋体" w:hAnsi="宋体" w:eastAsia="宋体" w:cs="宋体"/>
          <w:sz w:val="24"/>
          <w:szCs w:val="24"/>
        </w:rPr>
      </w:pPr>
    </w:p>
    <w:p w14:paraId="7D65E7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4：传统服饰页</w:t>
      </w:r>
    </w:p>
    <w:p w14:paraId="5DF9A8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（三位身着不同布依服饰的女性）。</w:t>
      </w:r>
    </w:p>
    <w:p w14:paraId="3C8FB436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0500" cy="3369310"/>
            <wp:effectExtent l="0" t="0" r="6350" b="254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D4B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“节庆与日常，穿在身上的族群记忆。”</w:t>
      </w:r>
    </w:p>
    <w:p w14:paraId="01B578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用标签形式区分：头饰 / 上衣 / 围腰 / 裙装，点击标签在图片上高亮对应部位。</w:t>
      </w:r>
    </w:p>
    <w:p w14:paraId="6A33F7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底部加一句：“服饰纹样与蜡染纹样同源，可在‘纹样图鉴’中继续查看。”（实现板块内串联）</w:t>
      </w:r>
    </w:p>
    <w:p w14:paraId="702FF84D">
      <w:pPr>
        <w:rPr>
          <w:rFonts w:hint="eastAsia" w:ascii="宋体" w:hAnsi="宋体" w:eastAsia="宋体" w:cs="宋体"/>
          <w:sz w:val="24"/>
          <w:szCs w:val="24"/>
        </w:rPr>
      </w:pPr>
    </w:p>
    <w:p w14:paraId="380738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5：纹样拼贴互动页</w:t>
      </w:r>
    </w:p>
    <w:p w14:paraId="6137A0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拼贴互动机制，简化操作：用户从图鉴中选 3—5 个纹样，拖入一个方形画布，自由组合。</w:t>
      </w:r>
    </w:p>
    <w:p w14:paraId="0AA1E6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完成后生成一张“我的布依纹样卡”，可保存或分享。</w:t>
      </w:r>
    </w:p>
    <w:p w14:paraId="0D3A94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页面底部文案承接原文：“让传统纹样融入现代审美，让非遗在指尖活起来。”</w:t>
      </w:r>
    </w:p>
    <w:p w14:paraId="74060D1D">
      <w:pPr>
        <w:rPr>
          <w:rFonts w:hint="eastAsia" w:ascii="宋体" w:hAnsi="宋体" w:eastAsia="宋体" w:cs="宋体"/>
          <w:sz w:val="24"/>
          <w:szCs w:val="24"/>
        </w:rPr>
      </w:pPr>
    </w:p>
    <w:p w14:paraId="75D2E6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板块二：古寨戏台（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听得见的表演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3DCC1E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（传统乐器）、（布依戏/谷艺）、（古歌与民间传说）、（查白歌节）</w:t>
      </w:r>
    </w:p>
    <w:p w14:paraId="2CA5C9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6：八音坐唱与乐器页</w:t>
      </w:r>
    </w:p>
    <w:p w14:paraId="51A82800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3040" cy="3027045"/>
            <wp:effectExtent l="0" t="0" r="3810" b="1905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EF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用音频卡片呈现：勒尤、牛骨胡、铜鼓、月琴等，每张卡片配 15—30 秒音频片段。</w:t>
      </w:r>
    </w:p>
    <w:p w14:paraId="4A3AD1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音频播放按钮做大，默认不自动播放。</w:t>
      </w:r>
    </w:p>
    <w:p w14:paraId="12CB20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文案收束为一句：“乐器依附歌舞而生，也把布依人的情感留在了声音里。”</w:t>
      </w:r>
    </w:p>
    <w:p w14:paraId="6CFBC13B">
      <w:pPr>
        <w:rPr>
          <w:rFonts w:hint="eastAsia" w:ascii="宋体" w:hAnsi="宋体" w:eastAsia="宋体" w:cs="宋体"/>
          <w:sz w:val="24"/>
          <w:szCs w:val="24"/>
        </w:rPr>
      </w:pPr>
    </w:p>
    <w:p w14:paraId="61F281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7：布依戏（谷艺）页</w:t>
      </w:r>
    </w:p>
    <w:p w14:paraId="5E37472B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025650" cy="3048000"/>
            <wp:effectExtent l="0" t="0" r="12700" b="0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EB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 3 个关键词卡片介绍：国家级非遗 / 融合民歌与舞蹈 / 以戏剧叙事记录民族故事。</w:t>
      </w:r>
    </w:p>
    <w:p w14:paraId="285788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增加一个 30 秒以内的演出片段音频或视频（如素材不足，可用静态图+唱段音频）。</w:t>
      </w:r>
    </w:p>
    <w:p w14:paraId="73F42A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文案精简为：“布依戏把民族故事搬上舞台，也把伦理观念唱给后人听。”</w:t>
      </w:r>
    </w:p>
    <w:p w14:paraId="590CDB92">
      <w:pPr>
        <w:rPr>
          <w:rFonts w:hint="eastAsia" w:ascii="宋体" w:hAnsi="宋体" w:eastAsia="宋体" w:cs="宋体"/>
          <w:sz w:val="24"/>
          <w:szCs w:val="24"/>
        </w:rPr>
      </w:pPr>
    </w:p>
    <w:p w14:paraId="75C388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8：古歌与民间传说页</w:t>
      </w:r>
    </w:p>
    <w:p w14:paraId="483AC656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1510030" cy="1773555"/>
            <wp:effectExtent l="0" t="0" r="0" b="1714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7059">
      <w:pPr>
        <w:rPr>
          <w:rFonts w:hint="eastAsia" w:ascii="宋体" w:hAnsi="宋体" w:eastAsia="宋体" w:cs="宋体"/>
          <w:sz w:val="24"/>
          <w:szCs w:val="24"/>
        </w:rPr>
      </w:pPr>
    </w:p>
    <w:p w14:paraId="665B36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强调“无本民族通用文字，依靠口耳相传”这一核心信息。</w:t>
      </w:r>
    </w:p>
    <w:p w14:paraId="2B8FDE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用一条“口传链”时间轴展示：创世 → 迁徙 → 生产经验 → 价值观念。</w:t>
      </w:r>
    </w:p>
    <w:p w14:paraId="2CA83C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增加一个“听一段古歌”音频按钮（若有素材），没有音频则用文字卡片呈现一段短古歌译文。</w:t>
      </w:r>
    </w:p>
    <w:p w14:paraId="4E138313">
      <w:pPr>
        <w:rPr>
          <w:rFonts w:hint="eastAsia" w:ascii="宋体" w:hAnsi="宋体" w:eastAsia="宋体" w:cs="宋体"/>
          <w:sz w:val="24"/>
          <w:szCs w:val="24"/>
        </w:rPr>
      </w:pPr>
    </w:p>
    <w:p w14:paraId="532E00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9：查白歌节与“浪哨”页</w:t>
      </w:r>
    </w:p>
    <w:p w14:paraId="1AC9FD11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1525270" cy="2259330"/>
            <wp:effectExtent l="0" t="0" r="17780" b="762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2EFA8">
      <w:pPr>
        <w:rPr>
          <w:rFonts w:hint="eastAsia" w:ascii="宋体" w:hAnsi="宋体" w:eastAsia="宋体" w:cs="宋体"/>
          <w:sz w:val="24"/>
          <w:szCs w:val="24"/>
        </w:rPr>
      </w:pPr>
    </w:p>
    <w:p w14:paraId="6ADD33D1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7DD7EA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将“浪哨”作为关键词突出：“浪哨——以歌传情的青年社交习俗。”</w:t>
      </w:r>
    </w:p>
    <w:p w14:paraId="018BFC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用一句话讲清查白歌节的来源与功能：“依托民间传说形成，以歌传情，是布依口头歌谣文化的重要传承场景。”</w:t>
      </w:r>
    </w:p>
    <w:p w14:paraId="5CBA8D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可与“节令风物”板块的“六月六”形成呼应，但本页侧重“歌”，不展开节日流程。</w:t>
      </w:r>
    </w:p>
    <w:p w14:paraId="25C97B51">
      <w:pPr>
        <w:rPr>
          <w:rFonts w:hint="eastAsia" w:ascii="宋体" w:hAnsi="宋体" w:eastAsia="宋体" w:cs="宋体"/>
          <w:sz w:val="24"/>
          <w:szCs w:val="24"/>
        </w:rPr>
      </w:pPr>
    </w:p>
    <w:p w14:paraId="212C0F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板块三：节令风物（生活与习俗）</w:t>
      </w:r>
    </w:p>
    <w:p w14:paraId="07A40F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（六月六）、（饮食）、（婚恋习俗）、（文化地理分布）</w:t>
      </w:r>
    </w:p>
    <w:p w14:paraId="5A6DB0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10：六月六时间轴页</w:t>
      </w:r>
    </w:p>
    <w:p w14:paraId="1ED9DB90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1135" cy="3375025"/>
            <wp:effectExtent l="0" t="0" r="5715" b="15875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96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用横向时间轴呈现六月六当天活动：清晨祭祖 → 包粽 → 丢花包 → 对歌 → 夜晚歌舞。</w:t>
      </w:r>
    </w:p>
    <w:p w14:paraId="469DB5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每个节点配一句短说明，并标注“敬农祈福、族群团聚”的节日内涵。</w:t>
      </w:r>
    </w:p>
    <w:p w14:paraId="3E3FCB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原文中“最为盛大的传统年节”保留为页面副标题。</w:t>
      </w:r>
    </w:p>
    <w:p w14:paraId="45DFE519">
      <w:pPr>
        <w:rPr>
          <w:rFonts w:hint="eastAsia" w:ascii="宋体" w:hAnsi="宋体" w:eastAsia="宋体" w:cs="宋体"/>
          <w:sz w:val="24"/>
          <w:szCs w:val="24"/>
        </w:rPr>
      </w:pPr>
    </w:p>
    <w:p w14:paraId="2FD6EB9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11：饮食文化页</w:t>
      </w:r>
    </w:p>
    <w:p w14:paraId="5578FE5A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1135" cy="2876550"/>
            <wp:effectExtent l="0" t="0" r="5715" b="0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9E8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增加一个“五色糯米饭图谱”小模块：用色块或插画标注枫香叶、红蓝草、黄栀子等天然染料来源。</w:t>
      </w:r>
    </w:p>
    <w:p w14:paraId="7CE66C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文案强调：“食物与节庆、祭祀、待客礼仪深度绑定，吃的是饭，传的是礼。”</w:t>
      </w:r>
    </w:p>
    <w:p w14:paraId="442DFD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不做菜谱堆砌，保持文化解释的轻量感。</w:t>
      </w:r>
    </w:p>
    <w:p w14:paraId="2719E3C6">
      <w:pPr>
        <w:rPr>
          <w:rFonts w:hint="eastAsia" w:ascii="宋体" w:hAnsi="宋体" w:eastAsia="宋体" w:cs="宋体"/>
          <w:sz w:val="24"/>
          <w:szCs w:val="24"/>
        </w:rPr>
      </w:pPr>
    </w:p>
    <w:p w14:paraId="7EC2BB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12：婚恋习俗页</w:t>
      </w:r>
    </w:p>
    <w:p w14:paraId="623338F1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086225" cy="2611755"/>
            <wp:effectExtent l="0" t="0" r="9525" b="17145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7F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突出“浪哨”自由交往特色，用两步说明：自由交往（浪哨）→ 整套婚恋礼仪。</w:t>
      </w:r>
    </w:p>
    <w:p w14:paraId="363895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文案收束为：“重礼重情，尊重青年，是布依族传统社会文化的底色。”</w:t>
      </w:r>
    </w:p>
    <w:p w14:paraId="47E3E3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避免与“查白歌节”页重复，本页侧重礼仪流程，不展开对歌。</w:t>
      </w:r>
    </w:p>
    <w:p w14:paraId="22B7FF8E">
      <w:pPr>
        <w:rPr>
          <w:rFonts w:hint="eastAsia" w:ascii="宋体" w:hAnsi="宋体" w:eastAsia="宋体" w:cs="宋体"/>
          <w:sz w:val="24"/>
          <w:szCs w:val="24"/>
        </w:rPr>
      </w:pPr>
    </w:p>
    <w:p w14:paraId="1440E4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13：文化地理分布页</w:t>
      </w:r>
    </w:p>
    <w:p w14:paraId="17112D5F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800600" cy="3429000"/>
            <wp:effectExtent l="0" t="0" r="0" b="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C7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点击区域可弹出该地差异化的民俗标签（如“石板房分布”“蜡染特色”“布依戏流传地”）。</w:t>
      </w:r>
    </w:p>
    <w:p w14:paraId="6249FC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文案收束为：“地域环境塑造民俗差异，分布格局帮助理解布依文化的多样性。”</w:t>
      </w:r>
    </w:p>
    <w:p w14:paraId="368E23D7">
      <w:pPr>
        <w:rPr>
          <w:rFonts w:hint="eastAsia" w:ascii="宋体" w:hAnsi="宋体" w:eastAsia="宋体" w:cs="宋体"/>
          <w:sz w:val="24"/>
          <w:szCs w:val="24"/>
        </w:rPr>
      </w:pPr>
    </w:p>
    <w:p w14:paraId="7795D0C9">
      <w:pPr>
        <w:rPr>
          <w:rFonts w:hint="eastAsia" w:ascii="宋体" w:hAnsi="宋体" w:eastAsia="宋体" w:cs="宋体"/>
          <w:sz w:val="24"/>
          <w:szCs w:val="24"/>
        </w:rPr>
      </w:pPr>
    </w:p>
    <w:p w14:paraId="3DE59377">
      <w:pPr>
        <w:rPr>
          <w:rFonts w:hint="eastAsia" w:ascii="宋体" w:hAnsi="宋体" w:eastAsia="宋体" w:cs="宋体"/>
          <w:sz w:val="24"/>
          <w:szCs w:val="24"/>
        </w:rPr>
      </w:pPr>
    </w:p>
    <w:p w14:paraId="0642E5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 14：布依文创展示页（收尾页）</w:t>
      </w:r>
    </w:p>
    <w:p w14:paraId="068CBBE8">
      <w:r>
        <w:drawing>
          <wp:inline distT="0" distB="0" distL="114300" distR="114300">
            <wp:extent cx="2402840" cy="1760220"/>
            <wp:effectExtent l="0" t="0" r="16510" b="1143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43A2">
      <w:pPr>
        <w:rPr>
          <w:rFonts w:hint="eastAsia"/>
        </w:rPr>
      </w:pPr>
    </w:p>
    <w:p w14:paraId="0E4EE4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展示 3—4 件文创示例：纹样帆布包、蜡染围巾、五色糯米饭冰箱贴、铜鼓纹书签。</w:t>
      </w:r>
    </w:p>
    <w:p w14:paraId="2A34DB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文案承接原文：“把传统民俗符号转化为现代文创，降低民族文化接受门槛，让非遗走进当代生活。”</w:t>
      </w:r>
    </w:p>
    <w:p w14:paraId="0BAB43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页面底部可放一个“我的纹样卡”入口，回连页面 5 的拼贴成果，形成闭环。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9477E0"/>
    <w:rsid w:val="419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2026-10-21T13:41:00Z</dcterms:created>
  <dc:creator>_欣欣子</dc:creator>
  <cp:lastModifiedBy>_欣欣子</cp:lastModifiedBy>
  <dcterms:modified xsi:type="dcterms:W3CDTF">2026-10-21T14:43:37Z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650B8343AFC24934A2316559C8C799EE_11</vt:lpwstr>
  </property>
  <property fmtid="{D5CDD505-2E9C-101B-9397-08002B2CF9AE}" pid="4" name="KSOTemplateDocerSaveRecord">
    <vt:lpwstr>eyJoZGlkIjoiZDljOTNjOWJmNDdiNmNiZDIwNGFiMjdiZGYwYjRjNjMiLCJ1c2VySWQiOiIxMDgxMzk1NjQzIn0=</vt:lpwstr>
  </property>
</Properties>
</file>