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56" w:beforeLines="50" w:after="156" w:afterLines="50" w:line="240" w:lineRule="auto"/>
        <w:jc w:val="center"/>
        <w:outlineLvl w:val="1"/>
        <w:rPr>
          <w:rFonts w:ascii="Times New Roman" w:hAnsi="Times New Roman" w:eastAsia="黑体"/>
          <w:bCs/>
          <w:sz w:val="32"/>
          <w:szCs w:val="32"/>
          <w:highlight w:val="none"/>
        </w:rPr>
      </w:pPr>
      <w:r>
        <w:rPr>
          <w:rFonts w:ascii="Times New Roman" w:hAnsi="Times New Roman" w:eastAsia="黑体"/>
          <w:bCs/>
          <w:sz w:val="32"/>
          <w:szCs w:val="32"/>
          <w:highlight w:val="none"/>
        </w:rPr>
        <w:t>化学需氧量</w:t>
      </w:r>
      <w:r>
        <w:rPr>
          <w:rFonts w:hint="eastAsia" w:ascii="Times New Roman" w:hAnsi="Times New Roman" w:eastAsia="黑体"/>
          <w:bCs/>
          <w:sz w:val="32"/>
          <w:szCs w:val="32"/>
          <w:highlight w:val="none"/>
        </w:rPr>
        <w:t>（</w:t>
      </w:r>
      <w:r>
        <w:rPr>
          <w:rFonts w:ascii="Times New Roman" w:hAnsi="Times New Roman" w:eastAsia="黑体"/>
          <w:bCs/>
          <w:sz w:val="32"/>
          <w:szCs w:val="32"/>
          <w:highlight w:val="none"/>
        </w:rPr>
        <w:t>氯气校正法</w:t>
      </w:r>
      <w:r>
        <w:rPr>
          <w:rFonts w:hint="eastAsia" w:ascii="Times New Roman" w:hAnsi="Times New Roman" w:eastAsia="黑体"/>
          <w:bCs/>
          <w:sz w:val="32"/>
          <w:szCs w:val="32"/>
          <w:highlight w:val="none"/>
        </w:rPr>
        <w:t>）</w:t>
      </w:r>
      <w:r>
        <w:rPr>
          <w:rFonts w:ascii="Times New Roman" w:hAnsi="Times New Roman" w:eastAsia="黑体"/>
          <w:bCs/>
          <w:sz w:val="32"/>
          <w:szCs w:val="32"/>
          <w:highlight w:val="none"/>
        </w:rPr>
        <w:t>分析原始记录表</w:t>
      </w:r>
    </w:p>
    <w:tbl>
      <w:tblPr>
        <w:tblStyle w:val="3"/>
        <w:tblW w:w="14058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14"/>
        <w:gridCol w:w="1114"/>
        <w:gridCol w:w="1114"/>
        <w:gridCol w:w="1114"/>
        <w:gridCol w:w="1143"/>
        <w:gridCol w:w="1143"/>
        <w:gridCol w:w="1145"/>
        <w:gridCol w:w="1303"/>
        <w:gridCol w:w="1205"/>
        <w:gridCol w:w="1458"/>
        <w:gridCol w:w="1086"/>
        <w:gridCol w:w="111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90" w:hRule="exact"/>
          <w:jc w:val="center"/>
        </w:trPr>
        <w:tc>
          <w:tcPr>
            <w:tcW w:w="1114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质控编号</w:t>
            </w:r>
          </w:p>
        </w:tc>
        <w:tc>
          <w:tcPr>
            <w:tcW w:w="1114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样品编号</w:t>
            </w:r>
          </w:p>
        </w:tc>
        <w:tc>
          <w:tcPr>
            <w:tcW w:w="1114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试样的取样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体积</w:t>
            </w:r>
          </w:p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="Times New Roman" w:hAnsi="Times New Roman"/>
                <w:szCs w:val="21"/>
              </w:rPr>
              <w:t>（m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l</w:t>
            </w:r>
            <w:r>
              <w:rPr>
                <w:rFonts w:ascii="Times New Roman" w:hAnsi="Times New Roman"/>
                <w:szCs w:val="21"/>
              </w:rPr>
              <w:t>）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1114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稀释倍数（</w:t>
            </w:r>
            <w:r>
              <w:rPr>
                <w:rFonts w:hint="eastAsia"/>
                <w:i/>
                <w:iCs/>
                <w:szCs w:val="21"/>
                <w:lang w:val="en-US" w:eastAsia="zh-CN"/>
              </w:rPr>
              <w:t>D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3431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硫酸亚铁铵溶液消耗量（mL）</w:t>
            </w:r>
          </w:p>
        </w:tc>
        <w:tc>
          <w:tcPr>
            <w:tcW w:w="1303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硫代硫酸钠</w:t>
            </w:r>
          </w:p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="Times New Roman" w:hAnsi="Times New Roman"/>
                <w:szCs w:val="21"/>
              </w:rPr>
              <w:t>溶液消耗量（mL）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>1</w:t>
            </w:r>
          </w:p>
        </w:tc>
        <w:tc>
          <w:tcPr>
            <w:tcW w:w="1205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0065" cy="352425"/>
                  <wp:effectExtent l="0" t="0" r="13335" b="0"/>
                  <wp:docPr id="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8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520065" cy="352425"/>
                  <wp:effectExtent l="0" t="0" r="0" b="0"/>
                  <wp:docPr id="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 w:val="0"/>
                <w:iCs w:val="0"/>
                <w:szCs w:val="21"/>
              </w:rPr>
              <w:t>COD</w:t>
            </w:r>
            <w:r>
              <w:rPr>
                <w:rFonts w:ascii="Times New Roman" w:hAnsi="Times New Roman"/>
                <w:szCs w:val="21"/>
              </w:rPr>
              <w:t>（mg/L）</w:t>
            </w:r>
          </w:p>
        </w:tc>
        <w:tc>
          <w:tcPr>
            <w:tcW w:w="1119" w:type="dxa"/>
            <w:vMerge w:val="restart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氯离子</w:t>
            </w:r>
          </w:p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粗测浓度</w:t>
            </w:r>
            <w:r>
              <w:rPr>
                <w:rFonts w:ascii="Times New Roman" w:hAnsi="Times New Roman"/>
                <w:szCs w:val="21"/>
              </w:rPr>
              <w:t>（mg/L）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2" w:hRule="exact"/>
          <w:jc w:val="center"/>
        </w:trPr>
        <w:tc>
          <w:tcPr>
            <w:tcW w:w="1114" w:type="dxa"/>
            <w:vMerge w:val="continue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vMerge w:val="continue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vMerge w:val="continue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vMerge w:val="continue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空白(</w:t>
            </w:r>
            <w:r>
              <w:rPr>
                <w:rFonts w:ascii="Times New Roman" w:hAnsi="Times New Roman"/>
                <w:i/>
                <w:iCs/>
              </w:rPr>
              <w:t>V</w:t>
            </w:r>
            <w:r>
              <w:rPr>
                <w:rFonts w:hint="eastAsia"/>
                <w:vertAlign w:val="subscript"/>
                <w:lang w:val="en-US" w:eastAsia="zh-CN"/>
              </w:rPr>
              <w:t>0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14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样品(</w:t>
            </w:r>
            <w:r>
              <w:rPr>
                <w:rFonts w:ascii="Times New Roman" w:hAnsi="Times New Roman"/>
                <w:i/>
                <w:iCs/>
              </w:rPr>
              <w:t>V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14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</w:rPr>
              <w:t>V</w:t>
            </w:r>
            <w:r>
              <w:rPr>
                <w:rFonts w:hint="eastAsia"/>
                <w:vertAlign w:val="subscript"/>
                <w:lang w:val="en-US" w:eastAsia="zh-CN"/>
              </w:rPr>
              <w:t>0</w:t>
            </w:r>
            <w:r>
              <w:rPr>
                <w:rFonts w:ascii="Times New Roman" w:hAnsi="Times New Roman"/>
              </w:rPr>
              <w:t>－</w:t>
            </w:r>
            <w:r>
              <w:rPr>
                <w:rFonts w:ascii="Times New Roman" w:hAnsi="Times New Roman"/>
                <w:i/>
                <w:iCs/>
              </w:rPr>
              <w:t>V</w:t>
            </w:r>
            <w:r>
              <w:rPr>
                <w:rFonts w:ascii="Times New Roman" w:hAnsi="Times New Roman"/>
                <w:vertAlign w:val="subscript"/>
              </w:rPr>
              <w:t>2</w:t>
            </w:r>
          </w:p>
        </w:tc>
        <w:tc>
          <w:tcPr>
            <w:tcW w:w="1303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vMerge w:val="continue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vMerge w:val="continue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4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4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03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8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6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9" w:type="dxa"/>
            <w:noWrap w:val="0"/>
            <w:vAlign w:val="top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5" w:hRule="exact"/>
          <w:jc w:val="center"/>
        </w:trPr>
        <w:tc>
          <w:tcPr>
            <w:tcW w:w="1114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备注</w:t>
            </w:r>
          </w:p>
        </w:tc>
        <w:tc>
          <w:tcPr>
            <w:tcW w:w="12944" w:type="dxa"/>
            <w:gridSpan w:val="11"/>
            <w:noWrap w:val="0"/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57" w:hRule="exact"/>
          <w:jc w:val="center"/>
        </w:trPr>
        <w:tc>
          <w:tcPr>
            <w:tcW w:w="14058" w:type="dxa"/>
            <w:gridSpan w:val="12"/>
            <w:noWrap w:val="0"/>
            <w:vAlign w:val="top"/>
          </w:tcPr>
          <w:p>
            <w:pPr>
              <w:spacing w:line="24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eastAsia="zh-CN"/>
              </w:rPr>
              <w:t>硫酸亚铁铵</w:t>
            </w:r>
            <w:r>
              <w:rPr>
                <w:rFonts w:ascii="Times New Roman" w:hAnsi="Times New Roman"/>
                <w:szCs w:val="21"/>
              </w:rPr>
              <w:t>溶液浓度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  <w:r>
              <w:rPr>
                <w:rFonts w:ascii="Times New Roman" w:hAnsi="Times New Roman"/>
                <w:i/>
                <w:iCs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i/>
                <w:iCs/>
                <w:szCs w:val="21"/>
              </w:rPr>
              <w:t>Fe</w:t>
            </w:r>
            <w:r>
              <w:rPr>
                <w:rFonts w:ascii="Times New Roman" w:hAnsi="Times New Roman"/>
                <w:szCs w:val="21"/>
                <w:vertAlign w:val="superscript"/>
              </w:rPr>
              <w:t>2+</w:t>
            </w:r>
            <w:r>
              <w:rPr>
                <w:rFonts w:ascii="Times New Roman" w:hAnsi="Times New Roman"/>
                <w:szCs w:val="21"/>
              </w:rPr>
              <w:t xml:space="preserve">）=       mol/L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hAnsi="Times New Roman"/>
                <w:szCs w:val="21"/>
              </w:rPr>
              <w:t>计算公式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  <w:r>
              <w:rPr>
                <w:rFonts w:ascii="Times New Roman" w:hAnsi="Times New Roman"/>
                <w:szCs w:val="21"/>
              </w:rPr>
              <w:t>COD（mg/L）</w:t>
            </w:r>
            <w:r>
              <w:rPr>
                <w:rFonts w:hint="eastAsia"/>
                <w:szCs w:val="21"/>
                <w:lang w:val="en-US" w:eastAsia="zh-CN"/>
              </w:rPr>
              <w:t>=</w:t>
            </w:r>
            <w:r>
              <w:rPr>
                <w:rFonts w:hint="eastAsia" w:ascii="Times New Roman" w:eastAsia="宋体"/>
                <w:position w:val="-12"/>
                <w:lang w:eastAsia="zh-CN"/>
              </w:rPr>
              <w:object>
                <v:shape id="_x0000_i1027" o:spt="75" alt="" type="#_x0000_t75" style="height:16pt;width:78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eastAsia="宋体"/>
                <w:position w:val="-12"/>
                <w:lang w:val="en-US" w:eastAsia="zh-CN"/>
              </w:rPr>
              <w:t>=</w:t>
            </w:r>
            <w:r>
              <w:rPr>
                <w:rFonts w:ascii="Times New Roman" w:hAnsi="Times New Roman"/>
                <w:position w:val="-26"/>
                <w:szCs w:val="21"/>
              </w:rPr>
              <w:object>
                <v:shape id="_x0000_i1028" o:spt="75" type="#_x0000_t75" style="height:35.2pt;width:203.0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6" r:id="rId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baseline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硫代硫酸钠溶液浓度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  <w:r>
              <w:rPr>
                <w:rFonts w:ascii="Times New Roman" w:hAnsi="Times New Roman"/>
                <w:i/>
                <w:iCs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i/>
                <w:iCs/>
                <w:szCs w:val="21"/>
              </w:rPr>
              <w:t>Na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i/>
                <w:iCs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i/>
                <w:iCs/>
                <w:szCs w:val="21"/>
              </w:rPr>
              <w:t>O</w:t>
            </w:r>
            <w:r>
              <w:rPr>
                <w:rFonts w:ascii="Times New Roman" w:hAnsi="Times New Roman"/>
                <w:szCs w:val="21"/>
                <w:vertAlign w:val="subscript"/>
              </w:rPr>
              <w:t>3</w:t>
            </w:r>
            <w:r>
              <w:rPr>
                <w:rFonts w:ascii="Times New Roman" w:hAnsi="Times New Roman"/>
                <w:szCs w:val="21"/>
              </w:rPr>
              <w:t>）=   mol/L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>式中：</w:t>
            </w:r>
            <w:r>
              <w:rPr>
                <w:rFonts w:ascii="Times New Roman" w:hAnsi="Times New Roman"/>
                <w:i/>
                <w:iCs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—亚铁溶液浓度（mol/L）  </w:t>
            </w:r>
            <w:r>
              <w:rPr>
                <w:rFonts w:ascii="Times New Roman" w:hAnsi="Times New Roman"/>
                <w:i/>
                <w:iCs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szCs w:val="21"/>
              </w:rPr>
              <w:t>—硫代硫酸钠溶液浓度（mol/L）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baseline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宋体" w:hAnsi="宋体" w:cs="宋体"/>
                <w:kern w:val="2"/>
                <w:szCs w:val="24"/>
              </w:rPr>
              <w:t>分析方法名称及</w:t>
            </w:r>
            <w:r>
              <w:rPr>
                <w:rFonts w:hint="eastAsia" w:ascii="宋体" w:hAnsi="宋体" w:cs="宋体"/>
                <w:kern w:val="2"/>
                <w:szCs w:val="24"/>
                <w:lang w:eastAsia="zh-CN"/>
              </w:rPr>
              <w:t>编号</w:t>
            </w:r>
            <w:r>
              <w:rPr>
                <w:rFonts w:hint="eastAsia" w:ascii="Times New Roman" w:hAnsi="Times New Roman"/>
                <w:szCs w:val="21"/>
              </w:rPr>
              <w:t>：</w:t>
            </w:r>
            <w:r>
              <w:rPr>
                <w:rFonts w:hint="eastAsia"/>
                <w:szCs w:val="21"/>
                <w:lang w:val="en-US" w:eastAsia="zh-CN"/>
              </w:rPr>
              <w:t>HJ 70-2025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                        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ascii="Times New Roman" w:hAnsi="Times New Roman"/>
                <w:szCs w:val="21"/>
              </w:rPr>
              <w:t>—</w:t>
            </w:r>
            <w:r>
              <w:rPr>
                <w:rFonts w:hint="eastAsia"/>
                <w:szCs w:val="21"/>
                <w:lang w:eastAsia="zh-CN"/>
              </w:rPr>
              <w:t>试样的取样</w:t>
            </w:r>
            <w:r>
              <w:rPr>
                <w:rFonts w:ascii="Times New Roman" w:hAnsi="Times New Roman"/>
                <w:szCs w:val="21"/>
              </w:rPr>
              <w:t>体积（m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l</w:t>
            </w:r>
            <w:r>
              <w:rPr>
                <w:rFonts w:ascii="Times New Roman" w:hAnsi="Times New Roman"/>
                <w:szCs w:val="21"/>
              </w:rPr>
              <w:t xml:space="preserve">）  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>0</w:t>
            </w:r>
            <w:r>
              <w:rPr>
                <w:rFonts w:ascii="Times New Roman" w:hAnsi="Times New Roman"/>
                <w:szCs w:val="21"/>
              </w:rPr>
              <w:t>—空白消耗亚铁量（m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l</w:t>
            </w:r>
            <w:r>
              <w:rPr>
                <w:rFonts w:ascii="Times New Roman" w:hAnsi="Times New Roman"/>
                <w:szCs w:val="21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baseline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 xml:space="preserve">                                  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             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/>
                <w:szCs w:val="21"/>
              </w:rPr>
              <w:t>—</w:t>
            </w:r>
            <w:r>
              <w:rPr>
                <w:rFonts w:hint="eastAsia"/>
                <w:szCs w:val="21"/>
                <w:lang w:eastAsia="zh-CN"/>
              </w:rPr>
              <w:t>试样</w:t>
            </w:r>
            <w:r>
              <w:rPr>
                <w:rFonts w:ascii="Times New Roman" w:hAnsi="Times New Roman"/>
                <w:szCs w:val="21"/>
              </w:rPr>
              <w:t>消耗亚铁量（m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l</w:t>
            </w:r>
            <w:r>
              <w:rPr>
                <w:rFonts w:ascii="Times New Roman" w:hAnsi="Times New Roman"/>
                <w:szCs w:val="21"/>
              </w:rPr>
              <w:t>）</w:t>
            </w:r>
            <w:r>
              <w:rPr>
                <w:rFonts w:ascii="Times New Roman" w:hAnsi="Times New Roman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Times New Roman" w:hAnsi="Times New Roman"/>
                <w:szCs w:val="21"/>
              </w:rPr>
              <w:t>—硫代硫酸钠溶液消耗量（m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l</w:t>
            </w:r>
            <w:r>
              <w:rPr>
                <w:rFonts w:ascii="Times New Roman" w:hAnsi="Times New Roman"/>
                <w:szCs w:val="21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 xml:space="preserve">                          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                    </w:t>
            </w:r>
            <w:r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 xml:space="preserve">      </w:t>
            </w:r>
            <w:r>
              <w:rPr>
                <w:rFonts w:hint="eastAsia"/>
                <w:i/>
                <w:iCs/>
                <w:szCs w:val="21"/>
                <w:lang w:val="en-US" w:eastAsia="zh-CN"/>
              </w:rPr>
              <w:t>D</w:t>
            </w:r>
            <w:r>
              <w:rPr>
                <w:rFonts w:ascii="Times New Roman" w:hAnsi="Times New Roman"/>
                <w:szCs w:val="21"/>
              </w:rPr>
              <w:t>—稀释倍数</w:t>
            </w:r>
          </w:p>
        </w:tc>
      </w:tr>
    </w:tbl>
    <w:p>
      <w:pPr>
        <w:spacing w:before="156" w:beforeLines="5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分析日期：        </w:t>
      </w:r>
      <w:r>
        <w:rPr>
          <w:rFonts w:hint="eastAsia"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分析人员：                     复核：        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审核：</w:t>
      </w:r>
    </w:p>
    <w:p>
      <w:pPr>
        <w:jc w:val="both"/>
        <w:rPr>
          <w:rFonts w:ascii="Times New Roman" w:hAnsi="Times New Roman"/>
          <w:szCs w:val="21"/>
        </w:rPr>
        <w:sectPr>
          <w:pgSz w:w="16838" w:h="11906" w:orient="landscape"/>
          <w:pgMar w:top="567" w:right="1418" w:bottom="567" w:left="1418" w:header="510" w:footer="79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B278A"/>
    <w:rsid w:val="06006DBE"/>
    <w:rsid w:val="1C5B278A"/>
    <w:rsid w:val="5EA2530E"/>
    <w:rsid w:val="687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3"/>
    <w:basedOn w:val="1"/>
    <w:next w:val="1"/>
    <w:qFormat/>
    <w:uiPriority w:val="99"/>
    <w:pPr>
      <w:keepNext/>
      <w:keepLines/>
      <w:adjustRightInd/>
      <w:spacing w:before="260" w:after="260" w:line="416" w:lineRule="auto"/>
      <w:jc w:val="both"/>
      <w:textAlignment w:val="auto"/>
      <w:outlineLvl w:val="2"/>
    </w:pPr>
    <w:rPr>
      <w:b/>
      <w:bCs/>
      <w:kern w:val="2"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Office_11.8.6.8556_F1E327BC-269C-435d-A152-05C5408002CA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2026-01-21T02:53:00Z</dcterms:created>
  <dc:creator>王文雷</dc:creator>
  <cp:lastModifiedBy>王文雷</cp:lastModifiedBy>
  <dcterms:modified xsi:type="dcterms:W3CDTF">2026-01-21T03:21:29Z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</Properties>
</file>