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jc w:val="center"/>
      </w:pPr>
      <w:r>
        <w:rPr>
          <w:rFonts w:ascii="Arial" w:hAnsi="Arial" w:eastAsia="黑体"/>
          <w:b/>
          <w:sz w:val="44"/>
        </w:rPr>
        <w:t>发  明  专  利  申  请  书</w:t>
      </w:r>
    </w:p>
    <w:p/>
    <w:p>
      <w:pPr>
        <w:spacing w:before="0" w:after="0"/>
        <w:jc w:val="center"/>
      </w:pPr>
      <w:r>
        <w:rPr>
          <w:rFonts w:ascii="Times New Roman" w:hAnsi="Times New Roman" w:eastAsia="宋体"/>
          <w:b w:val="0"/>
          <w:sz w:val="30"/>
        </w:rPr>
        <w:t>—— 基于PLC的工业设备运行数据语义映射方法及系统</w:t>
      </w:r>
    </w:p>
    <w:p/>
    <w:p/>
    <w:p/>
    <w:p/>
    <w:p/>
    <w:tbl>
      <w:tblPr>
        <w:tblStyle w:val="TableGrid"/>
        <w:tblW w:type="auto" w:w="0"/>
        <w:tblLook w:firstColumn="1" w:firstRow="1" w:lastColumn="0" w:lastRow="0" w:noHBand="0" w:noVBand="1" w:val="04A0"/>
      </w:tblPr>
      <w:tblGrid>
        <w:gridCol w:w="4156"/>
        <w:gridCol w:w="4156"/>
      </w:tblGrid>
      <w:tr>
        <w:tc>
          <w:tcPr>
            <w:tcW w:type="dxa" w:w="2551"/>
          </w:tcPr>
          <w:p>
            <w:pPr>
              <w:jc w:val="center"/>
            </w:pPr>
            <w:r>
              <w:rPr>
                <w:rFonts w:ascii="Times New Roman" w:hAnsi="Times New Roman" w:eastAsia="黑体"/>
                <w:b/>
                <w:sz w:val="24"/>
              </w:rPr>
              <w:t>申请类型</w:t>
            </w:r>
          </w:p>
        </w:tc>
        <w:tc>
          <w:tcPr>
            <w:tcW w:type="dxa" w:w="5386"/>
          </w:tcPr>
          <w:p>
            <w:r>
              <w:rPr>
                <w:rFonts w:ascii="Times New Roman" w:hAnsi="Times New Roman" w:eastAsia="宋体"/>
                <w:b w:val="0"/>
                <w:sz w:val="24"/>
              </w:rPr>
              <w:t>发明专利</w:t>
            </w:r>
          </w:p>
        </w:tc>
      </w:tr>
      <w:tr>
        <w:tc>
          <w:tcPr>
            <w:tcW w:type="dxa" w:w="2551"/>
          </w:tcPr>
          <w:p>
            <w:pPr>
              <w:jc w:val="center"/>
            </w:pPr>
            <w:r>
              <w:rPr>
                <w:rFonts w:ascii="Times New Roman" w:hAnsi="Times New Roman" w:eastAsia="黑体"/>
                <w:b/>
                <w:sz w:val="24"/>
              </w:rPr>
              <w:t>发明名称</w:t>
            </w:r>
          </w:p>
        </w:tc>
        <w:tc>
          <w:tcPr>
            <w:tcW w:type="dxa" w:w="5386"/>
          </w:tcPr>
          <w:p>
            <w:r>
              <w:rPr>
                <w:rFonts w:ascii="Times New Roman" w:hAnsi="Times New Roman" w:eastAsia="宋体"/>
                <w:b w:val="0"/>
                <w:sz w:val="24"/>
              </w:rPr>
              <w:t>基于PLC的工业设备运行数据语义映射方法及系统</w:t>
            </w:r>
          </w:p>
        </w:tc>
      </w:tr>
      <w:tr>
        <w:tc>
          <w:tcPr>
            <w:tcW w:type="dxa" w:w="2551"/>
          </w:tcPr>
          <w:p>
            <w:pPr>
              <w:jc w:val="center"/>
            </w:pPr>
            <w:r>
              <w:rPr>
                <w:rFonts w:ascii="Times New Roman" w:hAnsi="Times New Roman" w:eastAsia="黑体"/>
                <w:b/>
                <w:sz w:val="24"/>
              </w:rPr>
              <w:t>技术领域</w:t>
            </w:r>
          </w:p>
        </w:tc>
        <w:tc>
          <w:tcPr>
            <w:tcW w:type="dxa" w:w="5386"/>
          </w:tcPr>
          <w:p>
            <w:r>
              <w:rPr>
                <w:rFonts w:ascii="Times New Roman" w:hAnsi="Times New Roman" w:eastAsia="宋体"/>
                <w:b w:val="0"/>
                <w:sz w:val="24"/>
              </w:rPr>
              <w:t>工业自动化 / 工业物联网 / 工业互联网</w:t>
            </w:r>
          </w:p>
        </w:tc>
      </w:tr>
      <w:tr>
        <w:tc>
          <w:tcPr>
            <w:tcW w:type="dxa" w:w="2551"/>
          </w:tcPr>
          <w:p>
            <w:pPr>
              <w:jc w:val="center"/>
            </w:pPr>
            <w:r>
              <w:rPr>
                <w:rFonts w:ascii="Times New Roman" w:hAnsi="Times New Roman" w:eastAsia="黑体"/>
                <w:b/>
                <w:sz w:val="24"/>
              </w:rPr>
              <w:t>申请日期</w:t>
            </w:r>
          </w:p>
        </w:tc>
        <w:tc>
          <w:tcPr>
            <w:tcW w:type="dxa" w:w="5386"/>
          </w:tcPr>
          <w:p>
            <w:r>
              <w:rPr>
                <w:rFonts w:ascii="Times New Roman" w:hAnsi="Times New Roman" w:eastAsia="宋体"/>
                <w:b w:val="0"/>
                <w:sz w:val="24"/>
              </w:rPr>
              <w:t>（依实际申请日填写）</w:t>
            </w:r>
          </w:p>
        </w:tc>
      </w:tr>
      <w:tr>
        <w:tc>
          <w:tcPr>
            <w:tcW w:type="dxa" w:w="2551"/>
          </w:tcPr>
          <w:p>
            <w:pPr>
              <w:jc w:val="center"/>
            </w:pPr>
            <w:r>
              <w:rPr>
                <w:rFonts w:ascii="Times New Roman" w:hAnsi="Times New Roman" w:eastAsia="黑体"/>
                <w:b/>
                <w:sz w:val="24"/>
              </w:rPr>
              <w:t>申请人</w:t>
            </w:r>
          </w:p>
        </w:tc>
        <w:tc>
          <w:tcPr>
            <w:tcW w:type="dxa" w:w="5386"/>
          </w:tcPr>
          <w:p>
            <w:r>
              <w:rPr>
                <w:rFonts w:ascii="Times New Roman" w:hAnsi="Times New Roman" w:eastAsia="宋体"/>
                <w:b w:val="0"/>
                <w:sz w:val="24"/>
              </w:rPr>
              <w:t>（申请人名称）</w:t>
            </w:r>
          </w:p>
        </w:tc>
      </w:tr>
      <w:tr>
        <w:tc>
          <w:tcPr>
            <w:tcW w:type="dxa" w:w="2551"/>
          </w:tcPr>
          <w:p>
            <w:pPr>
              <w:jc w:val="center"/>
            </w:pPr>
            <w:r>
              <w:rPr>
                <w:rFonts w:ascii="Times New Roman" w:hAnsi="Times New Roman" w:eastAsia="黑体"/>
                <w:b/>
                <w:sz w:val="24"/>
              </w:rPr>
              <w:t>发明人</w:t>
            </w:r>
          </w:p>
        </w:tc>
        <w:tc>
          <w:tcPr>
            <w:tcW w:type="dxa" w:w="5386"/>
          </w:tcPr>
          <w:p>
            <w:r>
              <w:rPr>
                <w:rFonts w:ascii="Times New Roman" w:hAnsi="Times New Roman" w:eastAsia="宋体"/>
                <w:b w:val="0"/>
                <w:sz w:val="24"/>
              </w:rPr>
              <w:t>（发明人姓名）</w:t>
            </w:r>
          </w:p>
        </w:tc>
      </w:tr>
      <w:tr>
        <w:tc>
          <w:tcPr>
            <w:tcW w:type="dxa" w:w="2551"/>
          </w:tcPr>
          <w:p>
            <w:pPr>
              <w:jc w:val="center"/>
            </w:pPr>
            <w:r>
              <w:rPr>
                <w:rFonts w:ascii="Times New Roman" w:hAnsi="Times New Roman" w:eastAsia="黑体"/>
                <w:b/>
                <w:sz w:val="24"/>
              </w:rPr>
              <w:t>联系地址</w:t>
            </w:r>
          </w:p>
        </w:tc>
        <w:tc>
          <w:tcPr>
            <w:tcW w:type="dxa" w:w="5386"/>
          </w:tcPr>
          <w:p>
            <w:r>
              <w:rPr>
                <w:rFonts w:ascii="Times New Roman" w:hAnsi="Times New Roman" w:eastAsia="宋体"/>
                <w:b w:val="0"/>
                <w:sz w:val="24"/>
              </w:rPr>
              <w:t>（详细地址）</w:t>
            </w:r>
          </w:p>
        </w:tc>
      </w:tr>
    </w:tbl>
    <w:p>
      <w:r>
        <w:br w:type="page"/>
      </w:r>
    </w:p>
    <w:p>
      <w:pPr>
        <w:spacing w:before="240" w:after="120"/>
        <w:jc w:val="left"/>
      </w:pPr>
      <w:r>
        <w:rPr>
          <w:rFonts w:ascii="Arial" w:hAnsi="Arial" w:eastAsia="黑体"/>
          <w:b/>
          <w:sz w:val="28"/>
        </w:rPr>
        <w:t>权  利  要  求  书</w:t>
      </w:r>
    </w:p>
    <w:p>
      <w:pPr>
        <w:spacing w:before="0" w:after="80" w:line="440" w:lineRule="exact"/>
        <w:ind w:firstLine="0"/>
        <w:jc w:val="left"/>
      </w:pPr>
      <w:r>
        <w:rPr>
          <w:rFonts w:ascii="Times New Roman" w:hAnsi="Times New Roman" w:eastAsia="宋体"/>
          <w:b w:val="0"/>
          <w:sz w:val="24"/>
        </w:rPr>
        <w:t>1. 一种基于PLC的工业设备运行数据语义映射方法，其特征在于，包括以下步骤：</w:t>
        <w:br/>
        <w:t xml:space="preserve">    S1、PLC寄存器地址空间扫描与分类：通过工业通信协议与目标PLC建立通信连接，扫描其寄存器地址空间，并按照线圈区、离散输入区、保持寄存器区和输入寄存器区进行分类，获得地址分类列表；</w:t>
        <w:br/>
        <w:t xml:space="preserve">    S2、语义映射本体模型构建：以设备类、参数类和寄存器地址三层结构为基础，构建语义映射本体模型；所述设备类描述设备的类型标识与所属工艺环节，所述参数类描述物理参数的名称、工程单位、量程上下限、数据类型及采集周期，所述寄存器地址层记录参数对应的具体寄存器起始地址、长度及字节序；</w:t>
        <w:br/>
        <w:t xml:space="preserve">    S3、语义关联规则定义：针对步骤S1获得的地址分类列表，为每一寄存器地址或地址段定义语义关联规则，所述语义关联规则包含地址标识符、物理参数标签、数值转换函数和语义标注字段，建立从寄存器地址到设备物理参数语义描述的映射关系表；</w:t>
        <w:br/>
        <w:t xml:space="preserve">    S4、运行数据采集与语义实例化：按照步骤S3定义的语义关联规则，周期性读取PLC寄存器原始值，对原始值依次执行数据类型解析、数值转换、物理参数语义标注，生成携带语义描述信息的运行数据实例；</w:t>
        <w:br/>
        <w:t xml:space="preserve">    S5、统一语义表达输出：将步骤S4生成的运行数据实例按照预设的统一语义模型进行格式化，输出包含设备标识、参数语义标签、实测值、工程单位、时间戳及数据质量码的结构化语义数据流，实现设备运行数据的统一语义表达。</w:t>
      </w:r>
    </w:p>
    <w:p/>
    <w:p>
      <w:pPr>
        <w:spacing w:before="0" w:after="80" w:line="440" w:lineRule="exact"/>
        <w:ind w:firstLine="0"/>
        <w:jc w:val="left"/>
      </w:pPr>
      <w:r>
        <w:rPr>
          <w:rFonts w:ascii="Times New Roman" w:hAnsi="Times New Roman" w:eastAsia="宋体"/>
          <w:b w:val="0"/>
          <w:sz w:val="24"/>
        </w:rPr>
        <w:t>2. 根据权利要求1所述的方法，其特征在于，步骤S1中所述工业通信协议包括Modbus TCP/RTU协议、西门子S7协议、三菱MC协议、欧姆龙FINS协议中的一种或多种；当目标PLC支持多种协议时，优先采用具有更高数据吞吐量的协议建立通信连接。</w:t>
      </w:r>
    </w:p>
    <w:p/>
    <w:p>
      <w:pPr>
        <w:spacing w:before="0" w:after="80" w:line="440" w:lineRule="exact"/>
        <w:ind w:firstLine="0"/>
        <w:jc w:val="left"/>
      </w:pPr>
      <w:r>
        <w:rPr>
          <w:rFonts w:ascii="Times New Roman" w:hAnsi="Times New Roman" w:eastAsia="宋体"/>
          <w:b w:val="0"/>
          <w:sz w:val="24"/>
        </w:rPr>
        <w:t>3. 根据权利要求1所述的方法，其特征在于，步骤S2中所述语义映射本体模型采用OWL（Web本体语言）或自定义JSON-Schema格式进行持久化存储，模型中的每个参数类节点包含以下元数据字段：参数唯一标识符（UUID）、参数中文名称、参数英文标识符、SI基本单位符号、工程换算系数、有效值范围及报警阈值。</w:t>
      </w:r>
    </w:p>
    <w:p/>
    <w:p>
      <w:pPr>
        <w:spacing w:before="0" w:after="80" w:line="440" w:lineRule="exact"/>
        <w:ind w:firstLine="0"/>
        <w:jc w:val="left"/>
      </w:pPr>
      <w:r>
        <w:rPr>
          <w:rFonts w:ascii="Times New Roman" w:hAnsi="Times New Roman" w:eastAsia="宋体"/>
          <w:b w:val="0"/>
          <w:sz w:val="24"/>
        </w:rPr>
        <w:t>4. 根据权利要求1所述的方法，其特征在于，步骤S3中所述数值转换函数支持以下转换类型：</w:t>
        <w:br/>
        <w:t xml:space="preserve">    （a）线性缩放：physical_value = raw_value × scale_factor + offset；</w:t>
        <w:br/>
        <w:t xml:space="preserve">    （b）BCD码解码：将16位寄存器中的BCD编码转换为十进制整数；</w:t>
        <w:br/>
        <w:t xml:space="preserve">    （c）位域提取：通过掩码与移位操作从寄存器字中提取特定位域状态；</w:t>
        <w:br/>
        <w:t xml:space="preserve">    （d）多寄存器拼接：将连续2个或4个16位寄存器拼接为32位或64位浮点数；</w:t>
        <w:br/>
        <w:t xml:space="preserve">    （e）枚举映射：将离散整数值映射为预定义的状态语义标签字符串。</w:t>
      </w:r>
    </w:p>
    <w:p/>
    <w:p>
      <w:pPr>
        <w:spacing w:before="0" w:after="80" w:line="440" w:lineRule="exact"/>
        <w:ind w:firstLine="0"/>
        <w:jc w:val="left"/>
      </w:pPr>
      <w:r>
        <w:rPr>
          <w:rFonts w:ascii="Times New Roman" w:hAnsi="Times New Roman" w:eastAsia="宋体"/>
          <w:b w:val="0"/>
          <w:sz w:val="24"/>
        </w:rPr>
        <w:t>5. 根据权利要求1所述的方法，其特征在于，步骤S4还包括语义冲突检测子步骤：在语义实例化过程中，检测同一物理参数是否存在多条语义关联规则指向不同语义标签的冲突情形；若检测到冲突，则依据语义关联规则的优先级字段保留高优先级规则的语义标注，并将冲突事件写入语义冲突日志，供人工审核。</w:t>
      </w:r>
    </w:p>
    <w:p/>
    <w:p>
      <w:pPr>
        <w:spacing w:before="0" w:after="80" w:line="440" w:lineRule="exact"/>
        <w:ind w:firstLine="0"/>
        <w:jc w:val="left"/>
      </w:pPr>
      <w:r>
        <w:rPr>
          <w:rFonts w:ascii="Times New Roman" w:hAnsi="Times New Roman" w:eastAsia="宋体"/>
          <w:b w:val="0"/>
          <w:sz w:val="24"/>
        </w:rPr>
        <w:t>6. 根据权利要求1所述的方法，其特征在于，步骤S5中所述统一语义模型采用JSON-LD格式表达，语义数据流中的每条记录包含以下字段：@context（语义上下文URI）、@type（设备本体类型）、deviceId（设备唯一标识）、paramSemanticTag（参数语义标签）、value（实测工程量值）、unit（工程单位符号）、timestamp（ISO 8601时间戳）及dataQuality（数据质量码，包含GOOD/BAD/UNCERTAIN三级状态）。</w:t>
      </w:r>
    </w:p>
    <w:p/>
    <w:p>
      <w:pPr>
        <w:spacing w:before="0" w:after="80" w:line="440" w:lineRule="exact"/>
        <w:ind w:firstLine="0"/>
        <w:jc w:val="left"/>
      </w:pPr>
      <w:r>
        <w:rPr>
          <w:rFonts w:ascii="Times New Roman" w:hAnsi="Times New Roman" w:eastAsia="宋体"/>
          <w:b w:val="0"/>
          <w:sz w:val="24"/>
        </w:rPr>
        <w:t>7. 根据权利要求1所述的方法，其特征在于，还包括语义映射版本管理步骤：为每个语义映射本体模型维护版本号和有效时间区间；当PLC程序升级导致寄存器地址变更时，在不中断数据采集的前提下，通过热更新机制加载新版本语义映射规则，并在历史数据查询时自动匹配对应时间段的语义映射版本，保证历史数据的语义一致性。</w:t>
      </w:r>
    </w:p>
    <w:p/>
    <w:p>
      <w:pPr>
        <w:spacing w:before="0" w:after="80" w:line="440" w:lineRule="exact"/>
        <w:ind w:firstLine="0"/>
        <w:jc w:val="left"/>
      </w:pPr>
      <w:r>
        <w:rPr>
          <w:rFonts w:ascii="Times New Roman" w:hAnsi="Times New Roman" w:eastAsia="宋体"/>
          <w:b w:val="0"/>
          <w:sz w:val="24"/>
        </w:rPr>
        <w:t>8. 一种基于PLC的工业设备运行数据语义映射系统，用于执行如权利要求1至7中任意一项所述的方法，其特征在于，所述系统包括：</w:t>
        <w:br/>
        <w:t xml:space="preserve">    协议适配模块：用于通过多种工业通信协议与目标PLC建立通信连接，执行寄存器地址空间扫描与分类，生成地址分类列表；</w:t>
        <w:br/>
        <w:t xml:space="preserve">    语义本体管理模块：用于构建、存储、版本管理语义映射本体模型，提供本体模型的增删改查接口；</w:t>
        <w:br/>
        <w:t xml:space="preserve">    规则配置模块：用于接收用户配置输入，定义并维护寄存器地址到物理参数语义描述的映射关系表；</w:t>
        <w:br/>
        <w:t xml:space="preserve">    数据采集与语义实例化模块：用于按照映射关系表周期性读取PLC寄存器原始值，执行数据类型解析、数值转换及语义标注，生成运行数据实例；</w:t>
        <w:br/>
        <w:t xml:space="preserve">    语义表达输出模块：用于将运行数据实例格式化为统一语义模型的结构化语义数据流，并输出至上层工业互联网平台或数据存储系统。</w:t>
      </w:r>
    </w:p>
    <w:p/>
    <w:p>
      <w:pPr>
        <w:spacing w:before="0" w:after="80" w:line="440" w:lineRule="exact"/>
        <w:ind w:firstLine="0"/>
        <w:jc w:val="left"/>
      </w:pPr>
      <w:r>
        <w:rPr>
          <w:rFonts w:ascii="Times New Roman" w:hAnsi="Times New Roman" w:eastAsia="宋体"/>
          <w:b w:val="0"/>
          <w:sz w:val="24"/>
        </w:rPr>
        <w:t>9. 根据权利要求8所述的系统，其特征在于，所述协议适配模块包含协议驱动层和连接池管理层；所述协议驱动层以插件化方式加载各厂商PLC通信驱动，支持动态扩展新协议；所述连接池管理层维护与多台PLC的并发通信连接，实现心跳保活、断线重连及连接数上限控制。</w:t>
      </w:r>
    </w:p>
    <w:p/>
    <w:p>
      <w:pPr>
        <w:spacing w:before="0" w:after="80" w:line="440" w:lineRule="exact"/>
        <w:ind w:firstLine="0"/>
        <w:jc w:val="left"/>
      </w:pPr>
      <w:r>
        <w:rPr>
          <w:rFonts w:ascii="Times New Roman" w:hAnsi="Times New Roman" w:eastAsia="宋体"/>
          <w:b w:val="0"/>
          <w:sz w:val="24"/>
        </w:rPr>
        <w:t>10. 根据权利要求8所述的系统，其特征在于，所述语义本体管理模块提供可视化配置界面，支持以图形化拖拽方式构建设备类-参数类-寄存器地址三层语义映射关系，并支持从标准OPC UA信息模型（NodeSet2.xml格式）导入设备本体定义，自动生成初始语义映射本体模型。</w:t>
      </w:r>
    </w:p>
    <w:p/>
    <w:p>
      <w:r>
        <w:br w:type="page"/>
      </w:r>
    </w:p>
    <w:p>
      <w:pPr>
        <w:spacing w:before="0" w:after="240"/>
        <w:jc w:val="center"/>
      </w:pPr>
      <w:r>
        <w:rPr>
          <w:rFonts w:ascii="Times New Roman" w:hAnsi="Times New Roman" w:eastAsia="黑体"/>
          <w:b/>
          <w:sz w:val="32"/>
        </w:rPr>
        <w:t>说  明  书</w:t>
      </w:r>
    </w:p>
    <w:p>
      <w:pPr>
        <w:spacing w:before="0" w:after="240"/>
        <w:jc w:val="center"/>
      </w:pPr>
      <w:r>
        <w:rPr>
          <w:rFonts w:ascii="Times New Roman" w:hAnsi="Times New Roman" w:eastAsia="宋体"/>
          <w:b/>
          <w:sz w:val="28"/>
        </w:rPr>
        <w:t>基于PLC的工业设备运行数据语义映射方法及系统</w:t>
      </w:r>
    </w:p>
    <w:p>
      <w:pPr>
        <w:spacing w:before="240" w:after="120"/>
        <w:jc w:val="left"/>
      </w:pPr>
      <w:r>
        <w:rPr>
          <w:rFonts w:ascii="Arial" w:hAnsi="Arial" w:eastAsia="黑体"/>
          <w:b/>
          <w:sz w:val="28"/>
        </w:rPr>
        <w:t>技术领域</w:t>
      </w:r>
    </w:p>
    <w:p>
      <w:pPr>
        <w:spacing w:before="0" w:after="120" w:line="440" w:lineRule="exact"/>
        <w:ind w:firstLine="480"/>
        <w:jc w:val="left"/>
      </w:pPr>
      <w:r>
        <w:rPr>
          <w:rFonts w:ascii="Times New Roman" w:hAnsi="Times New Roman" w:eastAsia="宋体"/>
          <w:b w:val="0"/>
          <w:sz w:val="24"/>
        </w:rPr>
        <w:t>本发明涉及工业自动化、工业物联网（IIoT）及工业互联网数据互操作技术领域，特别涉及一种将可编程逻辑控制器（PLC）寄存器地址与设备物理参数进行语义关联、实现工业设备运行数据统一语义表达的方法及系统。</w:t>
      </w:r>
    </w:p>
    <w:p>
      <w:pPr>
        <w:spacing w:before="240" w:after="120"/>
        <w:jc w:val="left"/>
      </w:pPr>
      <w:r>
        <w:rPr>
          <w:rFonts w:ascii="Arial" w:hAnsi="Arial" w:eastAsia="黑体"/>
          <w:b/>
          <w:sz w:val="28"/>
        </w:rPr>
        <w:t>背景技术</w:t>
      </w:r>
    </w:p>
    <w:p>
      <w:pPr>
        <w:spacing w:before="0" w:after="120" w:line="440" w:lineRule="exact"/>
        <w:ind w:firstLine="480"/>
        <w:jc w:val="left"/>
      </w:pPr>
      <w:r>
        <w:rPr>
          <w:rFonts w:ascii="Times New Roman" w:hAnsi="Times New Roman" w:eastAsia="宋体"/>
          <w:b w:val="0"/>
          <w:sz w:val="24"/>
        </w:rPr>
        <w:t>工业现场广泛部署了大量可编程逻辑控制器（PLC），用于采集和控制生产设备的运行参数。然而，由于不同厂商（西门子、三菱、施耐德、汇川等）的PLC产品在通信协议、寄存器地址规划及数据编码方式上缺乏统一标准，工业现场数据存在严重的异构性问题。</w:t>
      </w:r>
    </w:p>
    <w:p>
      <w:pPr>
        <w:spacing w:before="0" w:after="120" w:line="440" w:lineRule="exact"/>
        <w:ind w:firstLine="480"/>
        <w:jc w:val="left"/>
      </w:pPr>
      <w:r>
        <w:rPr>
          <w:rFonts w:ascii="Times New Roman" w:hAnsi="Times New Roman" w:eastAsia="宋体"/>
          <w:b w:val="0"/>
          <w:sz w:val="24"/>
        </w:rPr>
        <w:t>传统工业数据采集系统（SCADA、DCS）通过人工配置“点表”的方式建立寄存器地址与物理参数的对应关系。这种方式存在以下不足：第一，点表配置完全依赖工程人员的经验，缺乏形式化的语义描述，无法被机器自动理解；第二，当PLC程序版本升级导致寄存器地址变更时，需要人工逐一更新点表配置，维护成本极高且极易引入人为错误；第三，不同设备厂商和系统集成商产生的点表格式各异，在工业互联网平台集成时面临严重的数据语义不一致问题，阻碍了跨系统、跨设备的数据互操作。</w:t>
      </w:r>
    </w:p>
    <w:p>
      <w:pPr>
        <w:spacing w:before="0" w:after="120" w:line="440" w:lineRule="exact"/>
        <w:ind w:firstLine="480"/>
        <w:jc w:val="left"/>
      </w:pPr>
      <w:r>
        <w:rPr>
          <w:rFonts w:ascii="Times New Roman" w:hAnsi="Times New Roman" w:eastAsia="宋体"/>
          <w:b w:val="0"/>
          <w:sz w:val="24"/>
        </w:rPr>
        <w:t>OPC UA（统一架构）标准提供了一套工业设备数据访问的通用协议框架，通过信息模型解决了协议层面的互操作问题。然而，OPC UA的信息模型构建过程复杂，需要专业人员手工建模，且对于大量未适配OPC UA的遗留PLC设备（使用Modbus、S7、MC等专有协议）仍无法直接应用，语义层面的互操作问题并未得到根本解决。</w:t>
      </w:r>
    </w:p>
    <w:p>
      <w:pPr>
        <w:spacing w:before="0" w:after="120" w:line="440" w:lineRule="exact"/>
        <w:ind w:firstLine="480"/>
        <w:jc w:val="left"/>
      </w:pPr>
      <w:r>
        <w:rPr>
          <w:rFonts w:ascii="Times New Roman" w:hAnsi="Times New Roman" w:eastAsia="宋体"/>
          <w:b w:val="0"/>
          <w:sz w:val="24"/>
        </w:rPr>
        <w:t>工业互联网平台（如阿里云工业大脑、西门子MindSphere等）在接入多品牌PLC设备数据时，通常需要为每种设备单独开发数据解析适配程序，缺乏通用的语义映射机制，平台数据集成成本居高不下。</w:t>
      </w:r>
    </w:p>
    <w:p>
      <w:pPr>
        <w:spacing w:before="0" w:after="120" w:line="440" w:lineRule="exact"/>
        <w:ind w:firstLine="480"/>
        <w:jc w:val="left"/>
      </w:pPr>
      <w:r>
        <w:rPr>
          <w:rFonts w:ascii="Times New Roman" w:hAnsi="Times New Roman" w:eastAsia="宋体"/>
          <w:b w:val="0"/>
          <w:sz w:val="24"/>
        </w:rPr>
        <w:t>鉴于上述现有技术的不足，本发明提出一种基于PLC的工业设备运行数据语义映射方法及系统，通过构建可复用、可版本管理的语义映射本体模型，实现从PLC原始寄存器数据到设备物理参数语义描述的自动化映射，从而在工业互联网架构中实现跨厂商、跨协议的设备运行数据统一语义表达。</w:t>
      </w:r>
    </w:p>
    <w:p>
      <w:pPr>
        <w:spacing w:before="240" w:after="120"/>
        <w:jc w:val="left"/>
      </w:pPr>
      <w:r>
        <w:rPr>
          <w:rFonts w:ascii="Arial" w:hAnsi="Arial" w:eastAsia="黑体"/>
          <w:b/>
          <w:sz w:val="28"/>
        </w:rPr>
        <w:t>发明内容</w:t>
      </w:r>
    </w:p>
    <w:p>
      <w:pPr>
        <w:spacing w:before="0" w:after="120" w:line="440" w:lineRule="exact"/>
        <w:ind w:firstLine="480"/>
        <w:jc w:val="left"/>
      </w:pPr>
      <w:r>
        <w:rPr>
          <w:rFonts w:ascii="Times New Roman" w:hAnsi="Times New Roman" w:eastAsia="宋体"/>
          <w:b w:val="0"/>
          <w:sz w:val="24"/>
        </w:rPr>
        <w:t>本发明的目的在于提供一种基于PLC的工业设备运行数据语义映射方法及系统，以克服现有技术中工业数据语义不一致、点表维护成本高、跨协议互操作困难等技术问题。</w:t>
      </w:r>
    </w:p>
    <w:p>
      <w:pPr>
        <w:spacing w:before="240" w:after="120"/>
        <w:jc w:val="left"/>
      </w:pPr>
      <w:r>
        <w:rPr>
          <w:rFonts w:ascii="Arial" w:hAnsi="Arial" w:eastAsia="黑体"/>
          <w:b/>
          <w:sz w:val="24"/>
        </w:rPr>
        <w:t>一、技术方案</w:t>
      </w:r>
    </w:p>
    <w:p>
      <w:pPr>
        <w:spacing w:before="0" w:after="120" w:line="440" w:lineRule="exact"/>
        <w:ind w:firstLine="480"/>
        <w:jc w:val="left"/>
      </w:pPr>
      <w:r>
        <w:rPr>
          <w:rFonts w:ascii="Times New Roman" w:hAnsi="Times New Roman" w:eastAsia="宋体"/>
          <w:b w:val="0"/>
          <w:sz w:val="24"/>
        </w:rPr>
        <w:t>为实现上述目的，本发明采用如下技术方案：</w:t>
      </w:r>
    </w:p>
    <w:p>
      <w:pPr>
        <w:spacing w:before="0" w:after="120" w:line="440" w:lineRule="exact"/>
        <w:ind w:firstLine="480"/>
        <w:jc w:val="left"/>
      </w:pPr>
      <w:r>
        <w:rPr>
          <w:rFonts w:ascii="Times New Roman" w:hAnsi="Times New Roman" w:eastAsia="宋体"/>
          <w:b w:val="0"/>
          <w:sz w:val="24"/>
        </w:rPr>
        <w:t>步骤S1，PLC寄存器地址空间扫描与分类：通过工业通信协议与目标PLC建立通信连接，扫描其寄存器地址空间，并按照Modbus协议规范中的四类地址区域（0x区线圈、1x区离散输入、3x区输入寄存器、4x区保持寄存器）或对应厂商协议的等价分区进行分类，获得包含地址偏移、区域类型、数据宽度信息的地址分类列表。对于西门子S7协议，按DB块号、M区、I区、Q区分类；对于三菱MC协议，按D寄存器、M继电器、X/Y输入输出继电器分类。</w:t>
      </w:r>
    </w:p>
    <w:p>
      <w:pPr>
        <w:spacing w:before="0" w:after="120" w:line="440" w:lineRule="exact"/>
        <w:ind w:firstLine="480"/>
        <w:jc w:val="left"/>
      </w:pPr>
      <w:r>
        <w:rPr>
          <w:rFonts w:ascii="Times New Roman" w:hAnsi="Times New Roman" w:eastAsia="宋体"/>
          <w:b w:val="0"/>
          <w:sz w:val="24"/>
        </w:rPr>
        <w:t>步骤S2，语义映射本体模型构建：以“设备类—参数类—寄存器地址”三层结构为基础构建语义映射本体模型。设备类节点包含设备类型标识符、设备制造商、设备型号及其在工艺流程中的功能角色；参数类节点包含参数唯一标识符、参数中文名称、参数英文标识符、SI基本单位符号、量程上下限、正常工作范围、报警阈值及采集周期；寄存器地址节点记录参数对应的起始寄存器地址、寄存器数量、数据类型（INT16/UINT16/INT32/UINT32/FLOAT32/FLOAT64/BIT/BCD）及字节序（大端/小端）。三层节点间通过“参数类关联”边和“地址绑定”边建立显式语义关联关系。</w:t>
      </w:r>
    </w:p>
    <w:p>
      <w:pPr>
        <w:spacing w:before="0" w:after="120" w:line="440" w:lineRule="exact"/>
        <w:ind w:firstLine="480"/>
        <w:jc w:val="left"/>
      </w:pPr>
      <w:r>
        <w:rPr>
          <w:rFonts w:ascii="Times New Roman" w:hAnsi="Times New Roman" w:eastAsia="宋体"/>
          <w:b w:val="0"/>
          <w:sz w:val="24"/>
        </w:rPr>
        <w:t>步骤S3，语义关联规则定义：针对步骤S1获得的地址分类列表，为每一寄存器地址或连续地址段定义语义关联规则。每条语义关联规则包含以下字段：地址标识符（协议类型+地址偏移）、关联参数语义标签（与步骤S2本体模型中参数类节点一一对应）、数值转换函数（支持线性缩放、BCD解码、位域提取、多寄存器拼接、枚举映射五类）、优先级（用于冲突消歧）。所有语义关联规则汇总形成映射关系表，存储于语义本体管理模块。</w:t>
      </w:r>
    </w:p>
    <w:p>
      <w:pPr>
        <w:spacing w:before="0" w:after="120" w:line="440" w:lineRule="exact"/>
        <w:ind w:firstLine="480"/>
        <w:jc w:val="left"/>
      </w:pPr>
      <w:r>
        <w:rPr>
          <w:rFonts w:ascii="Times New Roman" w:hAnsi="Times New Roman" w:eastAsia="宋体"/>
          <w:b w:val="0"/>
          <w:sz w:val="24"/>
        </w:rPr>
        <w:t>步骤S4，运行数据采集与语义实例化：系统按照映射关系表中定义的采集周期，周期性向PLC发送寄存器读取请求，获取原始字节序列；对原始字节序列依次执行：（a）数据类型解析（按寄存器地址节点声明的数据类型解析原始字节）；（b）数值转换（应用语义关联规则中定义的数值转换函数）；（c）物理参数语义标注（将转换后的数值与对应参数类节点的语义描述绑定）；（d）数据质量评估（根据通信状态、值域范围检查结果标注GOOD/BAD/UNCERTAIN质量码）；生成携带完整语义信息的运行数据实例。</w:t>
      </w:r>
    </w:p>
    <w:p>
      <w:pPr>
        <w:spacing w:before="0" w:after="120" w:line="440" w:lineRule="exact"/>
        <w:ind w:firstLine="480"/>
        <w:jc w:val="left"/>
      </w:pPr>
      <w:r>
        <w:rPr>
          <w:rFonts w:ascii="Times New Roman" w:hAnsi="Times New Roman" w:eastAsia="宋体"/>
          <w:b w:val="0"/>
          <w:sz w:val="24"/>
        </w:rPr>
        <w:t>步骤S5，统一语义表达输出：将步骤S4生成的运行数据实例按照预设统一语义模型格式化为JSON-LD结构，每条语义数据记录包含：@context（设备本体语义上下文URI）、@type（设备本体类型）、deviceId（设备唯一标识）、paramSemanticTag（参数语义标签）、value（实测工程量值，已完成单位换算）、unit（工程单位符号）、timestamp（ISO 8601时间戳）、dataQuality（数据质量码）。输出语义数据流通过消息队列（MQTT/Kafka）或REST API推送至工业互联网平台，实现跨系统的数据语义互操作。</w:t>
      </w:r>
    </w:p>
    <w:p>
      <w:pPr>
        <w:spacing w:before="240" w:after="120"/>
        <w:jc w:val="left"/>
      </w:pPr>
      <w:r>
        <w:rPr>
          <w:rFonts w:ascii="Arial" w:hAnsi="Arial" w:eastAsia="黑体"/>
          <w:b/>
          <w:sz w:val="24"/>
        </w:rPr>
        <w:t>二、有益效果</w:t>
      </w:r>
    </w:p>
    <w:p>
      <w:pPr>
        <w:spacing w:before="0" w:after="120" w:line="440" w:lineRule="exact"/>
        <w:ind w:firstLine="480"/>
        <w:jc w:val="left"/>
      </w:pPr>
      <w:r>
        <w:rPr>
          <w:rFonts w:ascii="Times New Roman" w:hAnsi="Times New Roman" w:eastAsia="宋体"/>
          <w:b w:val="0"/>
          <w:sz w:val="24"/>
        </w:rPr>
        <w:t>与现有技术相比，本发明具有以下有益效果：</w:t>
      </w:r>
    </w:p>
    <w:p>
      <w:pPr>
        <w:spacing w:before="0" w:after="120" w:line="440" w:lineRule="exact"/>
        <w:ind w:firstLine="480"/>
        <w:jc w:val="left"/>
      </w:pPr>
      <w:r>
        <w:rPr>
          <w:rFonts w:ascii="Times New Roman" w:hAnsi="Times New Roman" w:eastAsia="宋体"/>
          <w:b w:val="0"/>
          <w:sz w:val="24"/>
        </w:rPr>
        <w:t>（1）语义自描述性：通过语义映射本体模型，每条采集数据均携带完整的语义描述信息，上层应用无需了解PLC寄存器地址细节即可直接理解数据含义，实现了工业数据从“数字堆”到“有意义信息”的根本性转变。</w:t>
      </w:r>
    </w:p>
    <w:p>
      <w:pPr>
        <w:spacing w:before="0" w:after="120" w:line="440" w:lineRule="exact"/>
        <w:ind w:firstLine="480"/>
        <w:jc w:val="left"/>
      </w:pPr>
      <w:r>
        <w:rPr>
          <w:rFonts w:ascii="Times New Roman" w:hAnsi="Times New Roman" w:eastAsia="宋体"/>
          <w:b w:val="0"/>
          <w:sz w:val="24"/>
        </w:rPr>
        <w:t>（2）多协议统一适配：协议适配模块以插件化方式支持Modbus、S7、MC等主流PLC协议，不同品牌设备的数据经语义映射后输出格式统一，显著降低工业互联网平台的数据集成成本。</w:t>
      </w:r>
    </w:p>
    <w:p>
      <w:pPr>
        <w:spacing w:before="0" w:after="120" w:line="440" w:lineRule="exact"/>
        <w:ind w:firstLine="480"/>
        <w:jc w:val="left"/>
      </w:pPr>
      <w:r>
        <w:rPr>
          <w:rFonts w:ascii="Times New Roman" w:hAnsi="Times New Roman" w:eastAsia="宋体"/>
          <w:b w:val="0"/>
          <w:sz w:val="24"/>
        </w:rPr>
        <w:t>（3）免代码配置：工程人员通过可视化界面完成语义映射规则配置，无需编写适配代码，配置效率较传统人工编写点表方式提升3至5倍，且错误率大幅降低。</w:t>
      </w:r>
    </w:p>
    <w:p>
      <w:pPr>
        <w:spacing w:before="0" w:after="120" w:line="440" w:lineRule="exact"/>
        <w:ind w:firstLine="480"/>
        <w:jc w:val="left"/>
      </w:pPr>
      <w:r>
        <w:rPr>
          <w:rFonts w:ascii="Times New Roman" w:hAnsi="Times New Roman" w:eastAsia="宋体"/>
          <w:b w:val="0"/>
          <w:sz w:val="24"/>
        </w:rPr>
        <w:t>（4）版本可追溯：语义映射本体模型支持版本管理，当PLC程序升级导致寄存器地址变更时支持热更新，并保证历史数据查询时的语义一致性，满足工业数据全生命周期管理需求。</w:t>
      </w:r>
    </w:p>
    <w:p>
      <w:pPr>
        <w:spacing w:before="0" w:after="120" w:line="440" w:lineRule="exact"/>
        <w:ind w:firstLine="480"/>
        <w:jc w:val="left"/>
      </w:pPr>
      <w:r>
        <w:rPr>
          <w:rFonts w:ascii="Times New Roman" w:hAnsi="Times New Roman" w:eastAsia="宋体"/>
          <w:b w:val="0"/>
          <w:sz w:val="24"/>
        </w:rPr>
        <w:t>（5）标准兼容性：输出的JSON-LD格式统一语义表达与W3C语义网标准兼容，可直接融入工业知识图谱构建流程，为设备健康管理、预测性维护等高阶应用奠定数据基础。</w:t>
      </w:r>
    </w:p>
    <w:p>
      <w:pPr>
        <w:spacing w:before="240" w:after="120"/>
        <w:jc w:val="left"/>
      </w:pPr>
      <w:r>
        <w:rPr>
          <w:rFonts w:ascii="Arial" w:hAnsi="Arial" w:eastAsia="黑体"/>
          <w:b/>
          <w:sz w:val="28"/>
        </w:rPr>
        <w:t>附图说明</w:t>
      </w:r>
    </w:p>
    <w:p>
      <w:pPr>
        <w:spacing w:before="0" w:after="120" w:line="440" w:lineRule="exact"/>
        <w:ind w:firstLine="480"/>
        <w:jc w:val="left"/>
      </w:pPr>
      <w:r>
        <w:rPr>
          <w:rFonts w:ascii="Times New Roman" w:hAnsi="Times New Roman" w:eastAsia="宋体"/>
          <w:b w:val="0"/>
          <w:sz w:val="24"/>
        </w:rPr>
        <w:t>图1为本发明基于PLC的工业设备运行数据语义映射系统的总体架构示意图，展示了协议适配模块、语义本体管理模块、规则配置模块、数据采集与语义实例化模块、语义表达输出模块的层次关系及数据流向。</w:t>
      </w:r>
    </w:p>
    <w:p>
      <w:pPr>
        <w:spacing w:before="0" w:after="120" w:line="440" w:lineRule="exact"/>
        <w:ind w:firstLine="480"/>
        <w:jc w:val="left"/>
      </w:pPr>
      <w:r>
        <w:rPr>
          <w:rFonts w:ascii="Times New Roman" w:hAnsi="Times New Roman" w:eastAsia="宋体"/>
          <w:b w:val="0"/>
          <w:sz w:val="24"/>
        </w:rPr>
        <w:t>图2为本发明语义映射本体模型的三层结构示意图，展示了设备类节点、参数类节点和寄存器地址节点的属性字段及节点间的关联边定义。</w:t>
      </w:r>
    </w:p>
    <w:p>
      <w:pPr>
        <w:spacing w:before="0" w:after="120" w:line="440" w:lineRule="exact"/>
        <w:ind w:firstLine="480"/>
        <w:jc w:val="left"/>
      </w:pPr>
      <w:r>
        <w:rPr>
          <w:rFonts w:ascii="Times New Roman" w:hAnsi="Times New Roman" w:eastAsia="宋体"/>
          <w:b w:val="0"/>
          <w:sz w:val="24"/>
        </w:rPr>
        <w:t>图3为本发明PLC寄存器地址空间扫描与分类的流程示意图，展示了与目标PLC建立连接、地址区域识别、数据类型推断和地址分类列表生成的具体步骤。</w:t>
      </w:r>
    </w:p>
    <w:p>
      <w:pPr>
        <w:spacing w:before="0" w:after="120" w:line="440" w:lineRule="exact"/>
        <w:ind w:firstLine="480"/>
        <w:jc w:val="left"/>
      </w:pPr>
      <w:r>
        <w:rPr>
          <w:rFonts w:ascii="Times New Roman" w:hAnsi="Times New Roman" w:eastAsia="宋体"/>
          <w:b w:val="0"/>
          <w:sz w:val="24"/>
        </w:rPr>
        <w:t>图4为本发明语义关联规则定义与运行时语义实例化的流程示意图，展示了从原始寄存器字节序列经数据类型解析、数值转换、语义标注到JSON-LD格式输出的完整数据变换链路。</w:t>
      </w:r>
    </w:p>
    <w:p>
      <w:pPr>
        <w:spacing w:before="0" w:after="120" w:line="440" w:lineRule="exact"/>
        <w:ind w:firstLine="480"/>
        <w:jc w:val="left"/>
      </w:pPr>
      <w:r>
        <w:rPr>
          <w:rFonts w:ascii="Times New Roman" w:hAnsi="Times New Roman" w:eastAsia="宋体"/>
          <w:b w:val="0"/>
          <w:sz w:val="24"/>
        </w:rPr>
        <w:t>图5为本发明多协议PLC适配层的插件化架构示意图，展示了Modbus TCP驱动插件、西门子S7驱动插件、三菱MC驱动插件与连接池管理层的协作关系及协议扩展接口定义。</w:t>
      </w:r>
    </w:p>
    <w:p>
      <w:pPr>
        <w:spacing w:before="0" w:after="120" w:line="440" w:lineRule="exact"/>
        <w:ind w:firstLine="0"/>
        <w:jc w:val="left"/>
      </w:pPr>
      <w:r>
        <w:rPr>
          <w:rFonts w:ascii="Times New Roman" w:hAnsi="Times New Roman" w:eastAsia="宋体"/>
          <w:b w:val="0"/>
          <w:sz w:val="24"/>
        </w:rPr>
        <w:t>注：上述附图（图1至图5）为本发明说明性示意图，实际申请时应附正式绘制的附图。附图中各标号含义详见具体实施方式部分。</w:t>
      </w:r>
    </w:p>
    <w:p>
      <w:pPr>
        <w:spacing w:before="240" w:after="120"/>
        <w:jc w:val="left"/>
      </w:pPr>
      <w:r>
        <w:rPr>
          <w:rFonts w:ascii="Arial" w:hAnsi="Arial" w:eastAsia="黑体"/>
          <w:b/>
          <w:sz w:val="28"/>
        </w:rPr>
        <w:t>具体实施方式</w:t>
      </w:r>
    </w:p>
    <w:p>
      <w:pPr>
        <w:spacing w:before="0" w:after="120" w:line="440" w:lineRule="exact"/>
        <w:ind w:firstLine="480"/>
        <w:jc w:val="left"/>
      </w:pPr>
      <w:r>
        <w:rPr>
          <w:rFonts w:ascii="Times New Roman" w:hAnsi="Times New Roman" w:eastAsia="宋体"/>
          <w:b w:val="0"/>
          <w:sz w:val="24"/>
        </w:rPr>
        <w:t>为使本发明的技术方案及有益效果更加清晰，以下结合具体实施例对本发明进行详细说明。所描述的实施例仅为本发明的部分实施例，而非全部，基于本发明的实施例，本领域普通技术人员在不作创造性劳动前提下所获得的所有其他实施例，均属于本发明的保护范围。</w:t>
      </w:r>
    </w:p>
    <w:p>
      <w:pPr>
        <w:spacing w:before="240" w:after="120"/>
        <w:jc w:val="left"/>
      </w:pPr>
      <w:r>
        <w:rPr>
          <w:rFonts w:ascii="Arial" w:hAnsi="Arial" w:eastAsia="黑体"/>
          <w:b/>
          <w:sz w:val="24"/>
        </w:rPr>
        <w:t>实施例1：基于Modbus TCP协议的变频器运行数据语义映射</w:t>
      </w:r>
    </w:p>
    <w:p>
      <w:pPr>
        <w:spacing w:before="0" w:after="120" w:line="440" w:lineRule="exact"/>
        <w:ind w:firstLine="480"/>
        <w:jc w:val="left"/>
      </w:pPr>
      <w:r>
        <w:rPr>
          <w:rFonts w:ascii="Times New Roman" w:hAnsi="Times New Roman" w:eastAsia="宋体"/>
          <w:b w:val="0"/>
          <w:sz w:val="24"/>
        </w:rPr>
        <w:t>本实施例以某汽车零部件生产线上的汇川IS620N系列变频器为目标设备，通过Modbus TCP协议实现其运行数据的语义映射。该变频器控制一台22kW三相异步电机，生产线上部署了12台相同型号的变频器，均已接入工厂的工业以太网。</w:t>
      </w:r>
    </w:p>
    <w:p>
      <w:pPr>
        <w:spacing w:before="240" w:after="120"/>
        <w:jc w:val="left"/>
      </w:pPr>
      <w:r>
        <w:rPr>
          <w:rFonts w:ascii="Arial" w:hAnsi="Arial" w:eastAsia="黑体"/>
          <w:b/>
          <w:sz w:val="24"/>
        </w:rPr>
        <w:t>（一）步骤S1——寄存器地址空间扫描与分类</w:t>
      </w:r>
    </w:p>
    <w:p>
      <w:pPr>
        <w:spacing w:before="0" w:after="120" w:line="440" w:lineRule="exact"/>
        <w:ind w:firstLine="480"/>
        <w:jc w:val="left"/>
      </w:pPr>
      <w:r>
        <w:rPr>
          <w:rFonts w:ascii="Times New Roman" w:hAnsi="Times New Roman" w:eastAsia="宋体"/>
          <w:b w:val="0"/>
          <w:sz w:val="24"/>
        </w:rPr>
        <w:t>系统通过Modbus TCP协议（端口502）与变频器建立通信连接，按照汇川IS620N变频器用户手册中的寄存器地址规划，扫描保持寄存器区（4x区）。典型寄存器地址分类结果如下表所示：</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rFonts w:ascii="Times New Roman" w:hAnsi="Times New Roman" w:eastAsia="黑体"/>
                <w:b/>
                <w:sz w:val="20"/>
              </w:rPr>
              <w:t>寄存器地址</w:t>
            </w:r>
          </w:p>
        </w:tc>
        <w:tc>
          <w:tcPr>
            <w:tcW w:type="dxa" w:w="2078"/>
          </w:tcPr>
          <w:p>
            <w:r>
              <w:rPr>
                <w:rFonts w:ascii="Times New Roman" w:hAnsi="Times New Roman" w:eastAsia="黑体"/>
                <w:b/>
                <w:sz w:val="20"/>
              </w:rPr>
              <w:t>区域类型</w:t>
            </w:r>
          </w:p>
        </w:tc>
        <w:tc>
          <w:tcPr>
            <w:tcW w:type="dxa" w:w="2078"/>
          </w:tcPr>
          <w:p>
            <w:r>
              <w:rPr>
                <w:rFonts w:ascii="Times New Roman" w:hAnsi="Times New Roman" w:eastAsia="黑体"/>
                <w:b/>
                <w:sz w:val="20"/>
              </w:rPr>
              <w:t>数据类型</w:t>
            </w:r>
          </w:p>
        </w:tc>
        <w:tc>
          <w:tcPr>
            <w:tcW w:type="dxa" w:w="2078"/>
          </w:tcPr>
          <w:p>
            <w:r>
              <w:rPr>
                <w:rFonts w:ascii="Times New Roman" w:hAnsi="Times New Roman" w:eastAsia="黑体"/>
                <w:b/>
                <w:sz w:val="20"/>
              </w:rPr>
              <w:t>物理含义（待语义关联）</w:t>
            </w:r>
          </w:p>
        </w:tc>
      </w:tr>
      <w:tr>
        <w:tc>
          <w:tcPr>
            <w:tcW w:type="dxa" w:w="2078"/>
          </w:tcPr>
          <w:p>
            <w:r>
              <w:rPr>
                <w:rFonts w:ascii="Times New Roman" w:hAnsi="Times New Roman" w:eastAsia="宋体"/>
                <w:b w:val="0"/>
                <w:sz w:val="20"/>
              </w:rPr>
              <w:t>40001 (0x0000)</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UINT16</w:t>
            </w:r>
          </w:p>
        </w:tc>
        <w:tc>
          <w:tcPr>
            <w:tcW w:type="dxa" w:w="2078"/>
          </w:tcPr>
          <w:p>
            <w:r>
              <w:rPr>
                <w:rFonts w:ascii="Times New Roman" w:hAnsi="Times New Roman" w:eastAsia="宋体"/>
                <w:b w:val="0"/>
                <w:sz w:val="20"/>
              </w:rPr>
              <w:t>输出频率原始值</w:t>
            </w:r>
          </w:p>
        </w:tc>
      </w:tr>
      <w:tr>
        <w:tc>
          <w:tcPr>
            <w:tcW w:type="dxa" w:w="2078"/>
          </w:tcPr>
          <w:p>
            <w:r>
              <w:rPr>
                <w:rFonts w:ascii="Times New Roman" w:hAnsi="Times New Roman" w:eastAsia="宋体"/>
                <w:b w:val="0"/>
                <w:sz w:val="20"/>
              </w:rPr>
              <w:t>40002 (0x0001)</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UINT16</w:t>
            </w:r>
          </w:p>
        </w:tc>
        <w:tc>
          <w:tcPr>
            <w:tcW w:type="dxa" w:w="2078"/>
          </w:tcPr>
          <w:p>
            <w:r>
              <w:rPr>
                <w:rFonts w:ascii="Times New Roman" w:hAnsi="Times New Roman" w:eastAsia="宋体"/>
                <w:b w:val="0"/>
                <w:sz w:val="20"/>
              </w:rPr>
              <w:t>输出电流原始值</w:t>
            </w:r>
          </w:p>
        </w:tc>
      </w:tr>
      <w:tr>
        <w:tc>
          <w:tcPr>
            <w:tcW w:type="dxa" w:w="2078"/>
          </w:tcPr>
          <w:p>
            <w:r>
              <w:rPr>
                <w:rFonts w:ascii="Times New Roman" w:hAnsi="Times New Roman" w:eastAsia="宋体"/>
                <w:b w:val="0"/>
                <w:sz w:val="20"/>
              </w:rPr>
              <w:t>40003 (0x0002)</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INT16</w:t>
            </w:r>
          </w:p>
        </w:tc>
        <w:tc>
          <w:tcPr>
            <w:tcW w:type="dxa" w:w="2078"/>
          </w:tcPr>
          <w:p>
            <w:r>
              <w:rPr>
                <w:rFonts w:ascii="Times New Roman" w:hAnsi="Times New Roman" w:eastAsia="宋体"/>
                <w:b w:val="0"/>
                <w:sz w:val="20"/>
              </w:rPr>
              <w:t>母线电压原始值</w:t>
            </w:r>
          </w:p>
        </w:tc>
      </w:tr>
      <w:tr>
        <w:tc>
          <w:tcPr>
            <w:tcW w:type="dxa" w:w="2078"/>
          </w:tcPr>
          <w:p>
            <w:r>
              <w:rPr>
                <w:rFonts w:ascii="Times New Roman" w:hAnsi="Times New Roman" w:eastAsia="宋体"/>
                <w:b w:val="0"/>
                <w:sz w:val="20"/>
              </w:rPr>
              <w:t>40004 (0x0003)</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UINT16</w:t>
            </w:r>
          </w:p>
        </w:tc>
        <w:tc>
          <w:tcPr>
            <w:tcW w:type="dxa" w:w="2078"/>
          </w:tcPr>
          <w:p>
            <w:r>
              <w:rPr>
                <w:rFonts w:ascii="Times New Roman" w:hAnsi="Times New Roman" w:eastAsia="宋体"/>
                <w:b w:val="0"/>
                <w:sz w:val="20"/>
              </w:rPr>
              <w:t>输出转矩原始值</w:t>
            </w:r>
          </w:p>
        </w:tc>
      </w:tr>
      <w:tr>
        <w:tc>
          <w:tcPr>
            <w:tcW w:type="dxa" w:w="2078"/>
          </w:tcPr>
          <w:p>
            <w:r>
              <w:rPr>
                <w:rFonts w:ascii="Times New Roman" w:hAnsi="Times New Roman" w:eastAsia="宋体"/>
                <w:b w:val="0"/>
                <w:sz w:val="20"/>
              </w:rPr>
              <w:t>40005 (0x0004)</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UINT16</w:t>
            </w:r>
          </w:p>
        </w:tc>
        <w:tc>
          <w:tcPr>
            <w:tcW w:type="dxa" w:w="2078"/>
          </w:tcPr>
          <w:p>
            <w:r>
              <w:rPr>
                <w:rFonts w:ascii="Times New Roman" w:hAnsi="Times New Roman" w:eastAsia="宋体"/>
                <w:b w:val="0"/>
                <w:sz w:val="20"/>
              </w:rPr>
              <w:t>故障代码</w:t>
            </w:r>
          </w:p>
        </w:tc>
      </w:tr>
      <w:tr>
        <w:tc>
          <w:tcPr>
            <w:tcW w:type="dxa" w:w="2078"/>
          </w:tcPr>
          <w:p>
            <w:r>
              <w:rPr>
                <w:rFonts w:ascii="Times New Roman" w:hAnsi="Times New Roman" w:eastAsia="宋体"/>
                <w:b w:val="0"/>
                <w:sz w:val="20"/>
              </w:rPr>
              <w:t>40006 (0x0005)</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UINT16</w:t>
            </w:r>
          </w:p>
        </w:tc>
        <w:tc>
          <w:tcPr>
            <w:tcW w:type="dxa" w:w="2078"/>
          </w:tcPr>
          <w:p>
            <w:r>
              <w:rPr>
                <w:rFonts w:ascii="Times New Roman" w:hAnsi="Times New Roman" w:eastAsia="宋体"/>
                <w:b w:val="0"/>
                <w:sz w:val="20"/>
              </w:rPr>
              <w:t>运行状态字（位域）</w:t>
            </w:r>
          </w:p>
        </w:tc>
      </w:tr>
      <w:tr>
        <w:tc>
          <w:tcPr>
            <w:tcW w:type="dxa" w:w="2078"/>
          </w:tcPr>
          <w:p>
            <w:r>
              <w:rPr>
                <w:rFonts w:ascii="Times New Roman" w:hAnsi="Times New Roman" w:eastAsia="宋体"/>
                <w:b w:val="0"/>
                <w:sz w:val="20"/>
              </w:rPr>
              <w:t>40007-40008</w:t>
            </w:r>
          </w:p>
        </w:tc>
        <w:tc>
          <w:tcPr>
            <w:tcW w:type="dxa" w:w="2078"/>
          </w:tcPr>
          <w:p>
            <w:r>
              <w:rPr>
                <w:rFonts w:ascii="Times New Roman" w:hAnsi="Times New Roman" w:eastAsia="宋体"/>
                <w:b w:val="0"/>
                <w:sz w:val="20"/>
              </w:rPr>
              <w:t>保持寄存器</w:t>
            </w:r>
          </w:p>
        </w:tc>
        <w:tc>
          <w:tcPr>
            <w:tcW w:type="dxa" w:w="2078"/>
          </w:tcPr>
          <w:p>
            <w:r>
              <w:rPr>
                <w:rFonts w:ascii="Times New Roman" w:hAnsi="Times New Roman" w:eastAsia="宋体"/>
                <w:b w:val="0"/>
                <w:sz w:val="20"/>
              </w:rPr>
              <w:t>FLOAT32</w:t>
            </w:r>
          </w:p>
        </w:tc>
        <w:tc>
          <w:tcPr>
            <w:tcW w:type="dxa" w:w="2078"/>
          </w:tcPr>
          <w:p>
            <w:r>
              <w:rPr>
                <w:rFonts w:ascii="Times New Roman" w:hAnsi="Times New Roman" w:eastAsia="宋体"/>
                <w:b w:val="0"/>
                <w:sz w:val="20"/>
              </w:rPr>
              <w:t>累计运行时间（两寄存器拼接）</w:t>
            </w:r>
          </w:p>
        </w:tc>
      </w:tr>
    </w:tbl>
    <w:p/>
    <w:p>
      <w:pPr>
        <w:spacing w:before="240" w:after="120"/>
        <w:jc w:val="left"/>
      </w:pPr>
      <w:r>
        <w:rPr>
          <w:rFonts w:ascii="Arial" w:hAnsi="Arial" w:eastAsia="黑体"/>
          <w:b/>
          <w:sz w:val="24"/>
        </w:rPr>
        <w:t>（二）步骤S2——语义映射本体模型构建</w:t>
      </w:r>
    </w:p>
    <w:p>
      <w:pPr>
        <w:spacing w:before="0" w:after="120" w:line="440" w:lineRule="exact"/>
        <w:ind w:firstLine="480"/>
        <w:jc w:val="left"/>
      </w:pPr>
      <w:r>
        <w:rPr>
          <w:rFonts w:ascii="Times New Roman" w:hAnsi="Times New Roman" w:eastAsia="宋体"/>
          <w:b w:val="0"/>
          <w:sz w:val="24"/>
        </w:rPr>
        <w:t>在语义本体管理模块中为汇川IS620N变频器创建设备类节点：</w:t>
      </w:r>
    </w:p>
    <w:p>
      <w:pPr>
        <w:spacing w:before="0" w:after="120" w:line="440" w:lineRule="exact"/>
        <w:ind w:firstLine="480"/>
        <w:jc w:val="left"/>
      </w:pPr>
      <w:r>
        <w:rPr>
          <w:rFonts w:ascii="Times New Roman" w:hAnsi="Times New Roman" w:eastAsia="宋体"/>
          <w:b w:val="0"/>
          <w:sz w:val="24"/>
        </w:rPr>
        <w:t>设备类节点属性：deviceType = “VariableFrequencyDrive”，manufacturer = “INOVANCE”，model = “IS620N”，processRole = “速度传动单元”。</w:t>
      </w:r>
    </w:p>
    <w:p>
      <w:pPr>
        <w:spacing w:before="0" w:after="120" w:line="440" w:lineRule="exact"/>
        <w:ind w:firstLine="480"/>
        <w:jc w:val="left"/>
      </w:pPr>
      <w:r>
        <w:rPr>
          <w:rFonts w:ascii="Times New Roman" w:hAnsi="Times New Roman" w:eastAsia="宋体"/>
          <w:b w:val="0"/>
          <w:sz w:val="24"/>
        </w:rPr>
        <w:t>以输出频率参数为例，对应的参数类节点属性定义如下：</w:t>
      </w:r>
    </w:p>
    <w:p>
      <w:pPr>
        <w:spacing w:before="0" w:after="120" w:line="440" w:lineRule="exact"/>
        <w:ind w:firstLine="480"/>
        <w:jc w:val="left"/>
      </w:pPr>
      <w:r>
        <w:rPr>
          <w:rFonts w:ascii="Times New Roman" w:hAnsi="Times New Roman" w:eastAsia="宋体"/>
          <w:b w:val="0"/>
          <w:sz w:val="24"/>
        </w:rPr>
        <w:t>paramUUID = “VFD-INOVANCE-IS620N-OutFreq-001”，paramNameCN = “输出频率”，paramNameEN = “OutputFrequency”，unitSI = “Hz”，rangeMin = 0.00，rangeMax = 600.00，alarmHighHigh = 55.00，alarmLow = 5.00，samplingPeriod = 500ms。</w:t>
      </w:r>
    </w:p>
    <w:p>
      <w:pPr>
        <w:spacing w:before="0" w:after="120" w:line="440" w:lineRule="exact"/>
        <w:ind w:firstLine="480"/>
        <w:jc w:val="left"/>
      </w:pPr>
      <w:r>
        <w:rPr>
          <w:rFonts w:ascii="Times New Roman" w:hAnsi="Times New Roman" w:eastAsia="宋体"/>
          <w:b w:val="0"/>
          <w:sz w:val="24"/>
        </w:rPr>
        <w:t>寄存器地址节点绑定：startAddress = 40001，registerCount = 1，dataType = UINT16，byteOrder = BIG_ENDIAN。通过“地址绑定”边将该地址节点与输出频率参数类节点关联。</w:t>
      </w:r>
    </w:p>
    <w:p>
      <w:pPr>
        <w:spacing w:before="240" w:after="120"/>
        <w:jc w:val="left"/>
      </w:pPr>
      <w:r>
        <w:rPr>
          <w:rFonts w:ascii="Arial" w:hAnsi="Arial" w:eastAsia="黑体"/>
          <w:b/>
          <w:sz w:val="24"/>
        </w:rPr>
        <w:t>（三）步骤S3——语义关联规则定义</w:t>
      </w:r>
    </w:p>
    <w:p>
      <w:pPr>
        <w:spacing w:before="0" w:after="120" w:line="440" w:lineRule="exact"/>
        <w:ind w:firstLine="480"/>
        <w:jc w:val="left"/>
      </w:pPr>
      <w:r>
        <w:rPr>
          <w:rFonts w:ascii="Times New Roman" w:hAnsi="Times New Roman" w:eastAsia="宋体"/>
          <w:b w:val="0"/>
          <w:sz w:val="24"/>
        </w:rPr>
        <w:t>为输出频率寄存器地址定义语义关联规则如下：</w:t>
      </w:r>
    </w:p>
    <w:p>
      <w:pPr>
        <w:spacing w:before="0" w:after="120" w:line="440" w:lineRule="exact"/>
        <w:ind w:firstLine="480"/>
        <w:jc w:val="left"/>
      </w:pPr>
      <w:r>
        <w:rPr>
          <w:rFonts w:ascii="Times New Roman" w:hAnsi="Times New Roman" w:eastAsia="宋体"/>
          <w:b w:val="0"/>
          <w:sz w:val="24"/>
        </w:rPr>
        <w:t>addressId = “Modbus-40001”，semanticTag = “VFD.OutputFrequency”，conversionFunction = LinearScale（scale_factor = 0.01，offset = 0.0），priority = 1。</w:t>
      </w:r>
    </w:p>
    <w:p>
      <w:pPr>
        <w:spacing w:before="0" w:after="120" w:line="440" w:lineRule="exact"/>
        <w:ind w:firstLine="480"/>
        <w:jc w:val="left"/>
      </w:pPr>
      <w:r>
        <w:rPr>
          <w:rFonts w:ascii="Times New Roman" w:hAnsi="Times New Roman" w:eastAsia="宋体"/>
          <w:b w:val="0"/>
          <w:sz w:val="24"/>
        </w:rPr>
        <w:t>含义：读取地址40001的UINT16原始值后，乘以系数0.01，得到实际输出频率（单位Hz）。例如，寄存器原始值5000对应实际输出频率50.00Hz。</w:t>
      </w:r>
    </w:p>
    <w:p>
      <w:pPr>
        <w:spacing w:before="0" w:after="120" w:line="440" w:lineRule="exact"/>
        <w:ind w:firstLine="480"/>
        <w:jc w:val="left"/>
      </w:pPr>
      <w:r>
        <w:rPr>
          <w:rFonts w:ascii="Times New Roman" w:hAnsi="Times New Roman" w:eastAsia="宋体"/>
          <w:b w:val="0"/>
          <w:sz w:val="24"/>
        </w:rPr>
        <w:t>对运行状态字（地址40006，位域类型）的语义关联规则定义如下：</w:t>
      </w:r>
    </w:p>
    <w:p>
      <w:pPr>
        <w:spacing w:before="0" w:after="120" w:line="440" w:lineRule="exact"/>
        <w:ind w:firstLine="480"/>
        <w:jc w:val="left"/>
      </w:pPr>
      <w:r>
        <w:rPr>
          <w:rFonts w:ascii="Times New Roman" w:hAnsi="Times New Roman" w:eastAsia="宋体"/>
          <w:b w:val="0"/>
          <w:sz w:val="24"/>
        </w:rPr>
        <w:t>addressId = “Modbus-40006-bit0”，semanticTag = “VFD.RunStatus.Running”，conversionFunction = BitExtract（mask = 0x0001，shift = 0）；addressId = “Modbus-40006-bit3”，semanticTag = “VFD.RunStatus.Fault”，conversionFunction = BitExtract（mask = 0x0008，shift = 3）。</w:t>
      </w:r>
    </w:p>
    <w:p>
      <w:pPr>
        <w:spacing w:before="240" w:after="120"/>
        <w:jc w:val="left"/>
      </w:pPr>
      <w:r>
        <w:rPr>
          <w:rFonts w:ascii="Arial" w:hAnsi="Arial" w:eastAsia="黑体"/>
          <w:b/>
          <w:sz w:val="24"/>
        </w:rPr>
        <w:t>（四）步骤S4——运行数据采集与语义实例化</w:t>
      </w:r>
    </w:p>
    <w:p>
      <w:pPr>
        <w:spacing w:before="0" w:after="120" w:line="440" w:lineRule="exact"/>
        <w:ind w:firstLine="480"/>
        <w:jc w:val="left"/>
      </w:pPr>
      <w:r>
        <w:rPr>
          <w:rFonts w:ascii="Times New Roman" w:hAnsi="Times New Roman" w:eastAsia="宋体"/>
          <w:b w:val="0"/>
          <w:sz w:val="24"/>
        </w:rPr>
        <w:t>系统以500ms为采集周期，向变频器发送Modbus功能码03（读保持寄存器）请求，批量读取地址40001至40008共8个寄存器的原始值。以某时刻读取的寄存器原始值为例：</w:t>
      </w:r>
    </w:p>
    <w:p>
      <w:pPr>
        <w:spacing w:before="0" w:after="120" w:line="440" w:lineRule="exact"/>
        <w:ind w:firstLine="0"/>
        <w:jc w:val="left"/>
      </w:pPr>
      <w:r>
        <w:rPr>
          <w:rFonts w:ascii="Times New Roman" w:hAnsi="Times New Roman" w:eastAsia="宋体"/>
          <w:b w:val="0"/>
          <w:sz w:val="24"/>
        </w:rPr>
        <w:t>地址40001原始值 = 5000 → 线性缩放 → 输出频率 = 50.00 Hz（GOOD）；</w:t>
        <w:br/>
        <w:t>地址40002原始值 = 820  → 线性缩放（×0.1）→ 输出电流 = 82.0 A（GOOD）；</w:t>
        <w:br/>
        <w:t>地址40003原始值 = 5380 → 线性缩放（×0.1）→ 母线电压 = 538.0 V（GOOD）；</w:t>
        <w:br/>
        <w:t>地址40006原始值 = 0x0001 → 位域提取 → 运行状态.Running = 1（运行中）。</w:t>
      </w:r>
    </w:p>
    <w:p>
      <w:pPr>
        <w:spacing w:before="240" w:after="120"/>
        <w:jc w:val="left"/>
      </w:pPr>
      <w:r>
        <w:rPr>
          <w:rFonts w:ascii="Arial" w:hAnsi="Arial" w:eastAsia="黑体"/>
          <w:b/>
          <w:sz w:val="24"/>
        </w:rPr>
        <w:t>（五）步骤S5——统一语义表达输出</w:t>
      </w:r>
    </w:p>
    <w:p>
      <w:pPr>
        <w:spacing w:before="0" w:after="120" w:line="440" w:lineRule="exact"/>
        <w:ind w:firstLine="480"/>
        <w:jc w:val="left"/>
      </w:pPr>
      <w:r>
        <w:rPr>
          <w:rFonts w:ascii="Times New Roman" w:hAnsi="Times New Roman" w:eastAsia="宋体"/>
          <w:b w:val="0"/>
          <w:sz w:val="24"/>
        </w:rPr>
        <w:t>以输出频率参数为例，语义实例化后的JSON-LD输出格式如下：</w:t>
      </w:r>
    </w:p>
    <w:p>
      <w:pPr>
        <w:spacing w:before="0" w:after="120" w:line="440" w:lineRule="exact"/>
        <w:ind w:firstLine="0"/>
        <w:jc w:val="left"/>
      </w:pPr>
      <w:r>
        <w:rPr>
          <w:rFonts w:ascii="Times New Roman" w:hAnsi="Times New Roman" w:eastAsia="宋体"/>
          <w:b w:val="0"/>
          <w:sz w:val="24"/>
        </w:rPr>
        <w:t>{</w:t>
        <w:br/>
        <w:t xml:space="preserve">    "@context": "https://example.org/ontology/iiot/vfd/",</w:t>
        <w:br/>
        <w:t xml:space="preserve">    "@type": "VariableFrequencyDrive",</w:t>
        <w:br/>
        <w:t xml:space="preserve">    "deviceId": "LINE-A-VFD-003",</w:t>
        <w:br/>
        <w:t xml:space="preserve">    "paramSemanticTag": "VFD.OutputFrequency",</w:t>
        <w:br/>
        <w:t xml:space="preserve">    "value": 50.00,</w:t>
        <w:br/>
        <w:t xml:space="preserve">    "unit": "Hz",</w:t>
        <w:br/>
        <w:t xml:space="preserve">    "timestamp": "2024-09-01T08:30:00.500+08:00",</w:t>
        <w:br/>
        <w:t xml:space="preserve">    "dataQuality": "GOOD"</w:t>
        <w:br/>
        <w:t>}</w:t>
      </w:r>
    </w:p>
    <w:p>
      <w:pPr>
        <w:spacing w:before="0" w:after="120" w:line="440" w:lineRule="exact"/>
        <w:ind w:firstLine="480"/>
        <w:jc w:val="left"/>
      </w:pPr>
      <w:r>
        <w:rPr>
          <w:rFonts w:ascii="Times New Roman" w:hAnsi="Times New Roman" w:eastAsia="宋体"/>
          <w:b w:val="0"/>
          <w:sz w:val="24"/>
        </w:rPr>
        <w:t>上述输出格式中，paramSemanticTag字段“VFD.OutputFrequency”即为跨设备、跨品牌统一的语义标签，工业互联网平台无需了解底层寄存器地址即可直接消费该语义数据，实现了工业设备运行数据的统一语义表达。</w:t>
      </w:r>
    </w:p>
    <w:p>
      <w:pPr>
        <w:spacing w:before="240" w:after="120"/>
        <w:jc w:val="left"/>
      </w:pPr>
      <w:r>
        <w:rPr>
          <w:rFonts w:ascii="Arial" w:hAnsi="Arial" w:eastAsia="黑体"/>
          <w:b/>
          <w:sz w:val="24"/>
        </w:rPr>
        <w:t>实施例2：基于西门子S7协议的注塑机多轴数据语义映射</w:t>
      </w:r>
    </w:p>
    <w:p>
      <w:pPr>
        <w:spacing w:before="0" w:after="120" w:line="440" w:lineRule="exact"/>
        <w:ind w:firstLine="480"/>
        <w:jc w:val="left"/>
      </w:pPr>
      <w:r>
        <w:rPr>
          <w:rFonts w:ascii="Times New Roman" w:hAnsi="Times New Roman" w:eastAsia="宋体"/>
          <w:b w:val="0"/>
          <w:sz w:val="24"/>
        </w:rPr>
        <w:t>本实施例以某精密注塑机为目标设备，其控制器为西门子S7-300 PLC（CPU 315-2 PN/DP），通过S7协议采集注射轴、合模轴、顶出轴及液压系统的多维运行参数。该设备包含3个数据块（DB10：注射工艺参数、DB20：合模工艺参数、DB30：液压系统参数）。</w:t>
      </w:r>
    </w:p>
    <w:p>
      <w:pPr>
        <w:spacing w:before="0" w:after="120" w:line="440" w:lineRule="exact"/>
        <w:ind w:firstLine="480"/>
        <w:jc w:val="left"/>
      </w:pPr>
      <w:r>
        <w:rPr>
          <w:rFonts w:ascii="Times New Roman" w:hAnsi="Times New Roman" w:eastAsia="宋体"/>
          <w:b w:val="0"/>
          <w:sz w:val="24"/>
        </w:rPr>
        <w:t>步骤S1，地址分类：扫描识别DB块（DB10、DB20、DB30）、M区（M0.0-M255.7位变量）和I/Q区（输入/输出继电器）。DB块内按字节偏移寻址，每个DB块作为一个独立的地址分区。</w:t>
      </w:r>
    </w:p>
    <w:p>
      <w:pPr>
        <w:spacing w:before="0" w:after="120" w:line="440" w:lineRule="exact"/>
        <w:ind w:firstLine="480"/>
        <w:jc w:val="left"/>
      </w:pPr>
      <w:r>
        <w:rPr>
          <w:rFonts w:ascii="Times New Roman" w:hAnsi="Times New Roman" w:eastAsia="宋体"/>
          <w:b w:val="0"/>
          <w:sz w:val="24"/>
        </w:rPr>
        <w:t>步骤S2，本体模型构建：以注塑机为顶层设备类节点，在其下创建注射系统、合模系统、液压系统三个子设备类节点，各子系统节点下挂载各自的参数类节点。例如，DB10.DBD4（REAL型，4字节）对应注射轴“注射速度”参数，DB20.DBD0（REAL型）对应合模轴“锁模力”参数。</w:t>
      </w:r>
    </w:p>
    <w:p>
      <w:pPr>
        <w:spacing w:before="0" w:after="120" w:line="440" w:lineRule="exact"/>
        <w:ind w:firstLine="480"/>
        <w:jc w:val="left"/>
      </w:pPr>
      <w:r>
        <w:rPr>
          <w:rFonts w:ascii="Times New Roman" w:hAnsi="Times New Roman" w:eastAsia="宋体"/>
          <w:b w:val="0"/>
          <w:sz w:val="24"/>
        </w:rPr>
        <w:t>步骤S3至S5，语义关联规则定义与输出：为DB块内各参数定义语义关联规则后，注塑机所有运行数据以统一的JSON-LD格式输出，语义标签体系如“InjectionMoldingMachine.InjectionAxis.InjectionSpeed”、“InjectionMoldingMachine.ClampingAxis.ClampingForce”等，形成与汇川变频器实施例（实施例1）语义标签体系兼容的统一设备本体命名空间，实现了跨厂商、跨协议的工业设备数据统一语义互操作。</w:t>
      </w:r>
    </w:p>
    <w:p/>
    <w:p>
      <w:pPr>
        <w:spacing w:before="0" w:after="120" w:line="440" w:lineRule="exact"/>
        <w:ind w:firstLine="480"/>
        <w:jc w:val="left"/>
      </w:pPr>
      <w:r>
        <w:rPr>
          <w:rFonts w:ascii="Times New Roman" w:hAnsi="Times New Roman" w:eastAsia="宋体"/>
          <w:b w:val="0"/>
          <w:sz w:val="24"/>
        </w:rPr>
        <w:t>以上实施例仅用于说明本发明的技术方案而非限制，本领域普通技术人员在不脱离本发明精神和范围的情况下，可对本发明做出各种修改或等同替换，均应涵盖在本发明的权利要求保护范围之内。</w:t>
      </w:r>
    </w:p>
    <w:p>
      <w:r>
        <w:br w:type="page"/>
      </w:r>
    </w:p>
    <w:p>
      <w:pPr>
        <w:spacing w:before="0" w:after="240"/>
        <w:jc w:val="center"/>
      </w:pPr>
      <w:r>
        <w:rPr>
          <w:rFonts w:ascii="Times New Roman" w:hAnsi="Times New Roman" w:eastAsia="黑体"/>
          <w:b/>
          <w:sz w:val="32"/>
        </w:rPr>
        <w:t>说  明  书  摘  要</w:t>
      </w:r>
    </w:p>
    <w:p>
      <w:pPr>
        <w:spacing w:before="0" w:after="120" w:line="440" w:lineRule="exact"/>
        <w:ind w:firstLine="480"/>
        <w:jc w:val="left"/>
      </w:pPr>
      <w:r>
        <w:rPr>
          <w:rFonts w:ascii="Times New Roman" w:hAnsi="Times New Roman" w:eastAsia="宋体"/>
          <w:b w:val="0"/>
          <w:sz w:val="24"/>
        </w:rPr>
        <w:t>本发明公开了一种基于PLC的工业设备运行数据语义映射方法及系统，属于工业自动化与工业物联网领域。该方法通过以下步骤实现：（1）通过工业通信协议扫描PLC寄存器地址空间并按区域分类；（2）以设备类—参数类—寄存器地址三层结构构建语义映射本体模型，形式化描述物理参数的名称、单位、量程等语义元数据；（3）定义寄存器地址到物理参数语义描述的映射关系规则，支持线性缩放、BCD解码、位域提取等五类数值转换函数；（4）周期性采集原始寄存器值并执行语义实例化；（5）输出JSON-LD格式的统一语义数据流。所述系统包含协议适配、语义本体管理、规则配置、采集实例化和语义输出五大模块。本发明支持多品牌PLC协议适配，实现了跨厂商设备数据的统一语义表达，显著降低工业互联网平台数据集成成本。</w:t>
      </w:r>
    </w:p>
    <w:p/>
    <w:p>
      <w:pPr>
        <w:spacing w:before="0" w:after="120"/>
        <w:jc w:val="left"/>
      </w:pPr>
      <w:r>
        <w:rPr>
          <w:rFonts w:ascii="Times New Roman" w:hAnsi="Times New Roman" w:eastAsia="宋体"/>
          <w:b/>
          <w:sz w:val="24"/>
        </w:rPr>
        <w:t>【摘要附图】：附图1（系统总体架构示意图）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