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Services: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• College Counseling &amp; Admissions Strategy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• Rising Generation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Leadership Development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• Parent Coaching &amp; Family Advisory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• Writing &amp; Narrative Development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• Career Exploration &amp; Professional Readiness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• THRIVE College Integration &amp; Young Adult Development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12 month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Challenge: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Wechat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Sales events: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KPI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Customer: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 gen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Chinese families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3601723" cy="38750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723" cy="3875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k7worgx7bu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Business Positioning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How do you differentiate Interface from firms like Crimson Education, InGenius Prep, IvyWise, Collegewise, and Empowerly?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What percentage of revenue comes from admissions consulting versus leadership development and THRIVE?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19zi46aja9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Client Base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Who is your ideal customer?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High-net-worth families?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International families?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U.S. domestic families?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Students targeting Top 20 universities?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What type of family gets the most value from Interface?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jmpf66yr3p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  <w:rtl w:val="0"/>
        </w:rPr>
        <w:t xml:space="preserve">Growth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Where is the company investing most heavily over the next 2–3 years?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Which services are growing fastest?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What new opportunities are you seeing in the education market?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