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p>
      <w:pPr>
        <w:spacing w:before="1000" w:after="360"/>
        <w:jc w:val="center"/>
      </w:pPr>
      <w:r>
        <w:rPr>
          <w:rFonts w:ascii="Microsoft YaHei" w:hAnsi="Microsoft YaHei" w:eastAsia="Microsoft YaHei"/>
          <w:b/>
          <w:color w:val="192337"/>
          <w:sz w:val="60"/>
        </w:rPr>
        <w:t>星芒账本开发总结</w:t>
      </w:r>
    </w:p>
    <w:p>
      <w:pPr>
        <w:spacing w:after="640"/>
        <w:jc w:val="center"/>
      </w:pPr>
      <w:r>
        <w:rPr>
          <w:rFonts w:ascii="Microsoft YaHei" w:hAnsi="Microsoft YaHei" w:eastAsia="Microsoft YaHei"/>
          <w:color w:val="5C6C84"/>
          <w:sz w:val="30"/>
        </w:rPr>
        <w:t>创意型大学生生活记账本 · 课程设计开发总结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403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项目项</w:t>
            </w:r>
          </w:p>
        </w:tc>
        <w:tc>
          <w:tcPr>
            <w:tcW w:type="dxa" w:w="56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项目名称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星芒账本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开发范围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前端页面、Flask 后端、SQLite 数据库、AI 教练、社区权限、测试、截图和文档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登录方式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未登录可浏览公开内容，注册后登录使用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完成日期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2026-05-13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1. 完成情况</w:t>
      </w:r>
    </w:p>
    <w:p>
      <w:pPr>
        <w:spacing w:after="100"/>
        <w:ind w:left="259" w:hanging="259"/>
      </w:pPr>
      <w:r>
        <w:t>- 完成未登录仪表盘、登录注册、个人资料、生活仪表盘、记账管理、心愿基金、交流社区、AI 账本教练等前端视图；未登录状态不单独占用导航入口，而是在各功能页内体现权限。</w:t>
      </w:r>
    </w:p>
    <w:p>
      <w:pPr>
        <w:spacing w:after="100"/>
        <w:ind w:left="259" w:hanging="259"/>
      </w:pPr>
      <w:r>
        <w:t>- 完成公开、认证、个人资料、汇总、账目、分类、常用选项、目标、社区、AI 和健康检查等 Flask REST 接口，统一返回 code、msg、data。</w:t>
      </w:r>
    </w:p>
    <w:p>
      <w:pPr>
        <w:spacing w:after="100"/>
        <w:ind w:left="259" w:hanging="259"/>
      </w:pPr>
      <w:r>
        <w:t>- 完成 users、categories、ledger_entries、entry_options、saving_goals、saving_goal_deposits、community_posts、community_comments 等数据表和初始数据。</w:t>
      </w:r>
    </w:p>
    <w:p>
      <w:pPr>
        <w:spacing w:after="100"/>
        <w:ind w:left="259" w:hanging="259"/>
      </w:pPr>
      <w:r>
        <w:t>- 完成月份过滤、分类筛选、类型筛选、分页、分类/场景/心情管理、心愿基金流水、社区只读权限、六个月趋势图、预算使用率图和移动端输入优化。</w:t>
      </w:r>
    </w:p>
    <w:p>
      <w:pPr>
        <w:spacing w:after="100"/>
        <w:ind w:left="259" w:hanging="259"/>
      </w:pPr>
      <w:r>
        <w:t>- 完成智能账本建议模块，结合月度收支、分类排行和预算情况生成复盘建议。</w:t>
      </w:r>
    </w:p>
    <w:p>
      <w:pPr>
        <w:pStyle w:val="Heading1"/>
      </w:pPr>
      <w:r>
        <w:t>2. 工程结构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0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方向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实现</w:t>
            </w:r>
          </w:p>
        </w:tc>
        <w:tc>
          <w:tcPr>
            <w:tcW w:type="dxa" w:w="345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效果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后端结构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应用工厂、配置层、扩展层、模型层、服务层、路由层、统一错误处理。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降低路由复杂度，便于测试和部署。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前端结构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core 模块负责 API、状态、格式化、DOM；features 模块负责各业务视图。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页面逻辑更清晰，后续扩展成本更低。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运行配置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.env.example、wsgi.py、scripts/run_waitress.ps1。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支持本地开发和生产环境启动。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质量保障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接口测试、浏览器页面检查、移动端页面检查。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确保代码、页面和文档均可交付。</w:t>
            </w:r>
          </w:p>
        </w:tc>
      </w:tr>
    </w:tbl>
    <w:p>
      <w:pPr>
        <w:spacing w:after="80"/>
      </w:pPr>
    </w:p>
    <w:p>
      <w:pPr>
        <w:pStyle w:val="Heading1"/>
      </w:pPr>
      <w:r>
        <w:t>3. 运行检查</w:t>
      </w:r>
    </w:p>
    <w:p>
      <w:pPr>
        <w:spacing w:after="100"/>
        <w:ind w:left="259" w:hanging="259"/>
      </w:pPr>
      <w:r>
        <w:t>- 自动化测试通过，覆盖初始数据、公开接口、认证、月度汇总、分页、账目管理、非法参数和智能建议。</w:t>
      </w:r>
    </w:p>
    <w:p>
      <w:pPr>
        <w:spacing w:after="100"/>
        <w:ind w:left="259" w:hanging="259"/>
      </w:pPr>
      <w:r>
        <w:t>- 浏览器验证覆盖未登录仪表盘、认证、资料、仪表盘、账目管理、心愿基金、社区和 AI 教练视图。</w:t>
      </w:r>
    </w:p>
    <w:p>
      <w:pPr>
        <w:spacing w:after="100"/>
        <w:ind w:left="259" w:hanging="259"/>
      </w:pPr>
      <w:r>
        <w:t>- 移动端验证确认仪表盘无横向溢出。</w:t>
      </w:r>
    </w:p>
    <w:p>
      <w:pPr>
        <w:spacing w:after="100"/>
        <w:ind w:left="259" w:hanging="259"/>
      </w:pPr>
      <w:r>
        <w:t>- 项目说明文档、运行截图和数据库脚本完整纳入交付包。</w:t>
      </w:r>
    </w:p>
    <w:p>
      <w:pPr>
        <w:pStyle w:val="Heading1"/>
      </w:pPr>
      <w:r>
        <w:t>4. 页面展示</w:t>
      </w:r>
    </w:p>
    <w:p>
      <w:pPr>
        <w:keepNext/>
        <w:jc w:val="center"/>
      </w:pPr>
      <w:r>
        <w:drawing>
          <ns2:inline>
            <ns2:extent cx="5440680" cy="5077968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3_生活仪表盘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507796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1 生活仪表盘</w:t>
      </w:r>
    </w:p>
    <w:p>
      <w:r/>
    </w:p>
    <w:p>
      <w:pPr>
        <w:keepNext/>
        <w:jc w:val="center"/>
      </w:pPr>
      <w:r>
        <w:drawing>
          <ns2:inline>
            <ns2:extent cx="5440680" cy="4299648"/>
            <ns2:docPr id="2" name="Picture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4_记账管理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429964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2 记账管理</w:t>
      </w:r>
    </w:p>
    <w:p>
      <w:pPr>
        <w:pStyle w:val="Heading1"/>
      </w:pPr>
      <w:r>
        <w:t>5. 经验总结</w:t>
      </w:r>
    </w:p>
    <w:p>
      <w:r>
        <w:t>本项目从大学生日常消费记录出发，把账目流水、预算复盘、目标储蓄、公开社区和 AI 建议结合到一个完整 Web 应用中。开发过程中重点解决了接口边界、异常返回、权限状态、月份过滤、分页、用户数据隔离和移动端体验等问题。</w:t>
      </w:r>
    </w:p>
    <w:p>
      <w:pPr>
        <w:pStyle w:val="Heading1"/>
      </w:pPr>
      <w:r>
        <w:t>6. 展望</w:t>
      </w:r>
    </w:p>
    <w:p>
      <w:pPr>
        <w:spacing w:after="100"/>
        <w:ind w:left="259" w:hanging="259"/>
      </w:pPr>
      <w:r>
        <w:t>- 可增加账单导入、图表导出和预算提醒。</w:t>
      </w:r>
    </w:p>
    <w:p>
      <w:pPr>
        <w:spacing w:after="100"/>
        <w:ind w:left="259" w:hanging="259"/>
      </w:pPr>
      <w:r>
        <w:t>- 可把 SQLite 切换为 MySQL 或 PostgreSQL，进一步支持多人长期使用。</w:t>
      </w:r>
    </w:p>
    <w:p>
      <w:pPr>
        <w:spacing w:after="100"/>
        <w:ind w:left="259" w:hanging="259"/>
      </w:pPr>
      <w:r>
        <w:t>- 可增强 AI 教练的长期复盘能力，为不同用户生成更个性化的消费建议。</w:t>
      </w:r>
    </w:p>
    <w:sectPr>
      <w:pgSz w:w="12240" w:h="15840"/>
      <w:pgMar w:top="1080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Microsoft YaHei" w:hAnsi="Microsoft YaHei" w:eastAsia="Microsoft YaHei"/>
      <w:color w:val="192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