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Microsoft YaHei" w:hAnsi="Microsoft YaHei" w:eastAsia="Microsoft YaHei"/>
          <w:b/>
          <w:color w:val="1D4ED8"/>
          <w:sz w:val="28"/>
        </w:rPr>
        <w:t>星芒账本</w:t>
      </w:r>
    </w:p>
    <w:p>
      <w:pPr>
        <w:jc w:val="center"/>
      </w:pPr>
      <w:r>
        <w:rPr>
          <w:rFonts w:ascii="Microsoft YaHei" w:hAnsi="Microsoft YaHei" w:eastAsia="Microsoft YaHei"/>
          <w:b/>
          <w:color w:val="172033"/>
          <w:sz w:val="60"/>
        </w:rPr>
        <w:t>星芒账本开发总结</w:t>
      </w:r>
    </w:p>
    <w:p>
      <w:pPr>
        <w:jc w:val="center"/>
      </w:pPr>
      <w:r>
        <w:rPr>
          <w:rFonts w:ascii="Microsoft YaHei" w:hAnsi="Microsoft YaHei" w:eastAsia="Microsoft YaHei"/>
          <w:color w:val="637083"/>
          <w:sz w:val="26"/>
        </w:rPr>
        <w:t>创意型大学生生活记账本 · 课程设计开发复盘</w:t>
      </w:r>
    </w:p>
    <w:p/>
    <w:tbl>
      <w:tblPr>
        <w:tblW w:type="auto" w:w="0"/>
        <w:jc w:val="center"/>
        <w:tblLayout w:type="fixed"/>
        <w:tblLook w:firstColumn="1" w:firstRow="1" w:lastColumn="0" w:lastRow="0" w:noHBand="0" w:noVBand="1" w:val="04A0"/>
        <w:tblBorders>
          <w:top w:val="single" w:sz="6" w:space="0" w:color="D9E1EC"/>
          <w:left w:val="single" w:sz="6" w:space="0" w:color="D9E1EC"/>
          <w:bottom w:val="single" w:sz="6" w:space="0" w:color="D9E1EC"/>
          <w:right w:val="single" w:sz="6" w:space="0" w:color="D9E1EC"/>
          <w:insideH w:val="single" w:sz="6" w:space="0" w:color="D9E1EC"/>
          <w:insideV w:val="single" w:sz="6" w:space="0" w:color="D9E1EC"/>
        </w:tblBorders>
      </w:tblPr>
      <w:tblGrid>
        <w:gridCol w:w="2088"/>
        <w:gridCol w:w="6840"/>
      </w:tblGrid>
      <w:tr>
        <w:trPr>
          <w:tblHeader w:val="true"/>
        </w:trPr>
        <w:tc>
          <w:tcPr>
            <w:tcW w:type="dxa" w:w="4997"/>
            <w:tcMar>
              <w:top w:w="150" w:type="dxa"/>
              <w:start w:w="160" w:type="dxa"/>
              <w:bottom w:w="150" w:type="dxa"/>
              <w:end w:w="160" w:type="dxa"/>
            </w:tcMar>
            <w:shd w:fill="EAF1FF"/>
            <w:vAlign w:val="center"/>
          </w:tcPr>
          <w:p>
            <w:pPr>
              <w:spacing w:after="0" w:line="276" w:lineRule="auto"/>
            </w:pPr>
            <w:r/>
            <w:r>
              <w:rPr>
                <w:rFonts w:ascii="Microsoft YaHei" w:hAnsi="Microsoft YaHei" w:eastAsia="Microsoft YaHei"/>
                <w:b/>
                <w:color w:val="1D4ED8"/>
                <w:sz w:val="20"/>
              </w:rPr>
              <w:t>项目名称</w:t>
            </w:r>
          </w:p>
        </w:tc>
        <w:tc>
          <w:tcPr>
            <w:tcW w:type="dxa" w:w="4997"/>
            <w:tcMar>
              <w:top w:w="150" w:type="dxa"/>
              <w:start w:w="160" w:type="dxa"/>
              <w:bottom w:w="150" w:type="dxa"/>
              <w:end w:w="160" w:type="dxa"/>
            </w:tcMar>
            <w:vAlign w:val="center"/>
          </w:tcPr>
          <w:p>
            <w:pPr>
              <w:spacing w:after="0" w:line="276" w:lineRule="auto"/>
            </w:pPr>
            <w:r/>
            <w:r>
              <w:rPr>
                <w:rFonts w:ascii="Microsoft YaHei" w:hAnsi="Microsoft YaHei" w:eastAsia="Microsoft YaHei"/>
                <w:b w:val="0"/>
                <w:sz w:val="20"/>
              </w:rPr>
              <w:t>星芒账本</w:t>
            </w:r>
          </w:p>
        </w:tc>
      </w:tr>
      <w:tr>
        <w:tc>
          <w:tcPr>
            <w:tcW w:type="dxa" w:w="4997"/>
            <w:tcMar>
              <w:top w:w="150" w:type="dxa"/>
              <w:start w:w="160" w:type="dxa"/>
              <w:bottom w:w="150" w:type="dxa"/>
              <w:end w:w="160" w:type="dxa"/>
            </w:tcMar>
            <w:shd w:fill="EAF1FF"/>
            <w:vAlign w:val="center"/>
          </w:tcPr>
          <w:p>
            <w:pPr>
              <w:spacing w:after="0" w:line="276" w:lineRule="auto"/>
            </w:pPr>
            <w:r/>
            <w:r>
              <w:rPr>
                <w:rFonts w:ascii="Microsoft YaHei" w:hAnsi="Microsoft YaHei" w:eastAsia="Microsoft YaHei"/>
                <w:b/>
                <w:color w:val="1D4ED8"/>
                <w:sz w:val="20"/>
              </w:rPr>
              <w:t>开发范围</w:t>
            </w:r>
          </w:p>
        </w:tc>
        <w:tc>
          <w:tcPr>
            <w:tcW w:type="dxa" w:w="4997"/>
            <w:tcMar>
              <w:top w:w="150" w:type="dxa"/>
              <w:start w:w="160" w:type="dxa"/>
              <w:bottom w:w="150" w:type="dxa"/>
              <w:end w:w="160" w:type="dxa"/>
            </w:tcMar>
            <w:vAlign w:val="center"/>
          </w:tcPr>
          <w:p>
            <w:pPr>
              <w:spacing w:after="0" w:line="276" w:lineRule="auto"/>
            </w:pPr>
            <w:r/>
            <w:r>
              <w:rPr>
                <w:rFonts w:ascii="Microsoft YaHei" w:hAnsi="Microsoft YaHei" w:eastAsia="Microsoft YaHei"/>
                <w:b w:val="0"/>
                <w:sz w:val="20"/>
              </w:rPr>
              <w:t>前端页面、Flask 后端、SQLite 数据库、AI 教练、截图与文档</w:t>
            </w:r>
          </w:p>
        </w:tc>
      </w:tr>
      <w:tr>
        <w:tc>
          <w:tcPr>
            <w:tcW w:type="dxa" w:w="4997"/>
            <w:tcMar>
              <w:top w:w="150" w:type="dxa"/>
              <w:start w:w="160" w:type="dxa"/>
              <w:bottom w:w="150" w:type="dxa"/>
              <w:end w:w="160" w:type="dxa"/>
            </w:tcMar>
            <w:shd w:fill="EAF1FF"/>
            <w:vAlign w:val="center"/>
          </w:tcPr>
          <w:p>
            <w:pPr>
              <w:spacing w:after="0" w:line="276" w:lineRule="auto"/>
            </w:pPr>
            <w:r/>
            <w:r>
              <w:rPr>
                <w:rFonts w:ascii="Microsoft YaHei" w:hAnsi="Microsoft YaHei" w:eastAsia="Microsoft YaHei"/>
                <w:b/>
                <w:color w:val="1D4ED8"/>
                <w:sz w:val="20"/>
              </w:rPr>
              <w:t>测试账号</w:t>
            </w:r>
          </w:p>
        </w:tc>
        <w:tc>
          <w:tcPr>
            <w:tcW w:type="dxa" w:w="4997"/>
            <w:tcMar>
              <w:top w:w="150" w:type="dxa"/>
              <w:start w:w="160" w:type="dxa"/>
              <w:bottom w:w="150" w:type="dxa"/>
              <w:end w:w="160" w:type="dxa"/>
            </w:tcMar>
            <w:vAlign w:val="center"/>
          </w:tcPr>
          <w:p>
            <w:pPr>
              <w:spacing w:after="0" w:line="276" w:lineRule="auto"/>
            </w:pPr>
            <w:r/>
            <w:r>
              <w:rPr>
                <w:rFonts w:ascii="Microsoft YaHei" w:hAnsi="Microsoft YaHei" w:eastAsia="Microsoft YaHei"/>
                <w:b w:val="0"/>
                <w:sz w:val="20"/>
              </w:rPr>
              <w:t>test / 123456</w:t>
            </w:r>
          </w:p>
        </w:tc>
      </w:tr>
      <w:tr>
        <w:tc>
          <w:tcPr>
            <w:tcW w:type="dxa" w:w="4997"/>
            <w:tcMar>
              <w:top w:w="150" w:type="dxa"/>
              <w:start w:w="160" w:type="dxa"/>
              <w:bottom w:w="150" w:type="dxa"/>
              <w:end w:w="160" w:type="dxa"/>
            </w:tcMar>
            <w:shd w:fill="EAF1FF"/>
            <w:vAlign w:val="center"/>
          </w:tcPr>
          <w:p>
            <w:pPr>
              <w:spacing w:after="0" w:line="276" w:lineRule="auto"/>
            </w:pPr>
            <w:r/>
            <w:r>
              <w:rPr>
                <w:rFonts w:ascii="Microsoft YaHei" w:hAnsi="Microsoft YaHei" w:eastAsia="Microsoft YaHei"/>
                <w:b/>
                <w:color w:val="1D4ED8"/>
                <w:sz w:val="20"/>
              </w:rPr>
              <w:t>完成日期</w:t>
            </w:r>
          </w:p>
        </w:tc>
        <w:tc>
          <w:tcPr>
            <w:tcW w:type="dxa" w:w="4997"/>
            <w:tcMar>
              <w:top w:w="150" w:type="dxa"/>
              <w:start w:w="160" w:type="dxa"/>
              <w:bottom w:w="150" w:type="dxa"/>
              <w:end w:w="160" w:type="dxa"/>
            </w:tcMar>
            <w:vAlign w:val="center"/>
          </w:tcPr>
          <w:p>
            <w:pPr>
              <w:spacing w:after="0" w:line="276" w:lineRule="auto"/>
            </w:pPr>
            <w:r/>
            <w:r>
              <w:rPr>
                <w:rFonts w:ascii="Microsoft YaHei" w:hAnsi="Microsoft YaHei" w:eastAsia="Microsoft YaHei"/>
                <w:b w:val="0"/>
                <w:sz w:val="20"/>
              </w:rPr>
              <w:t>2026-05-12</w:t>
            </w:r>
          </w:p>
        </w:tc>
      </w:tr>
    </w:tbl>
    <w:p/>
    <w:p>
      <w:pPr>
        <w:jc w:val="center"/>
      </w:pPr>
      <w:r>
        <w:rPr>
          <w:color w:val="637083"/>
          <w:sz w:val="20"/>
        </w:rPr>
        <w:t>面向课程验收的完整实现材料：前端页面、Flask 接口、SQLite 数据库、AI 账本教练与测试截图。</w:t>
      </w:r>
    </w:p>
    <w:p>
      <w:r>
        <w:br w:type="page"/>
      </w:r>
    </w:p>
    <w:p>
      <w:pPr>
        <w:pStyle w:val="Heading1"/>
      </w:pPr>
      <w:r>
        <w:t>1. 完成情况</w:t>
      </w:r>
    </w:p>
    <w:p>
      <w:pPr>
        <w:ind w:left="259" w:hanging="173"/>
      </w:pPr>
      <w:r>
        <w:rPr>
          <w:rFonts w:ascii="Microsoft YaHei" w:hAnsi="Microsoft YaHei" w:eastAsia="Microsoft YaHei"/>
          <w:color w:val="172033"/>
          <w:sz w:val="20"/>
        </w:rPr>
        <w:t>• 完成游客浏览、登录注册、生活仪表盘、记账管理、心愿基金、AI 账本教练 6 个前端视图。</w:t>
      </w:r>
    </w:p>
    <w:p>
      <w:pPr>
        <w:ind w:left="259" w:hanging="173"/>
      </w:pPr>
      <w:r>
        <w:rPr>
          <w:rFonts w:ascii="Microsoft YaHei" w:hAnsi="Microsoft YaHei" w:eastAsia="Microsoft YaHei"/>
          <w:color w:val="172033"/>
          <w:sz w:val="20"/>
        </w:rPr>
        <w:t>• 完成 13 个 Flask REST 接口，统一返回 code、msg、data。</w:t>
      </w:r>
    </w:p>
    <w:p>
      <w:pPr>
        <w:ind w:left="259" w:hanging="173"/>
      </w:pPr>
      <w:r>
        <w:rPr>
          <w:rFonts w:ascii="Microsoft YaHei" w:hAnsi="Microsoft YaHei" w:eastAsia="Microsoft YaHei"/>
          <w:color w:val="172033"/>
          <w:sz w:val="20"/>
        </w:rPr>
        <w:t>• 完成 users、categories、ledger_entries、saving_goals 4 张数据库表和不少于 10 条演示数据。</w:t>
      </w:r>
    </w:p>
    <w:p>
      <w:pPr>
        <w:ind w:left="259" w:hanging="173"/>
      </w:pPr>
      <w:r>
        <w:rPr>
          <w:rFonts w:ascii="Microsoft YaHei" w:hAnsi="Microsoft YaHei" w:eastAsia="Microsoft YaHei"/>
          <w:color w:val="172033"/>
          <w:sz w:val="20"/>
        </w:rPr>
        <w:t>• 完成 DashScope 国内 AI 接口封装，并提供无 Key 可运行的本地兜底建议。</w:t>
      </w:r>
    </w:p>
    <w:p>
      <w:pPr>
        <w:ind w:left="259" w:hanging="173"/>
      </w:pPr>
      <w:r>
        <w:rPr>
          <w:rFonts w:ascii="Microsoft YaHei" w:hAnsi="Microsoft YaHei" w:eastAsia="Microsoft YaHei"/>
          <w:color w:val="172033"/>
          <w:sz w:val="20"/>
        </w:rPr>
        <w:t>• 完成课程设计书、开发总结和页面截图更新。</w:t>
      </w:r>
    </w:p>
    <w:p>
      <w:pPr>
        <w:pStyle w:val="Heading1"/>
      </w:pPr>
      <w:r>
        <w:t>2. 开发过程复盘</w:t>
      </w:r>
    </w:p>
    <w:tbl>
      <w:tblPr>
        <w:tblStyle w:val="TableGrid"/>
        <w:tblW w:type="auto" w:w="0"/>
        <w:jc w:val="center"/>
        <w:tblLook w:firstColumn="1" w:firstRow="1" w:lastColumn="0" w:lastRow="0" w:noHBand="0" w:noVBand="1" w:val="04A0"/>
        <w:tblBorders>
          <w:top w:val="single" w:sz="6" w:space="0" w:color="D9E1EC"/>
          <w:left w:val="single" w:sz="6" w:space="0" w:color="D9E1EC"/>
          <w:bottom w:val="single" w:sz="6" w:space="0" w:color="D9E1EC"/>
          <w:right w:val="single" w:sz="6" w:space="0" w:color="D9E1EC"/>
          <w:insideH w:val="single" w:sz="6" w:space="0" w:color="D9E1EC"/>
          <w:insideV w:val="single" w:sz="6" w:space="0" w:color="D9E1EC"/>
        </w:tblBorders>
      </w:tblPr>
      <w:tblGrid>
        <w:gridCol w:w="3331"/>
        <w:gridCol w:w="3331"/>
        <w:gridCol w:w="3331"/>
      </w:tblGrid>
      <w:tr>
        <w:trPr>
          <w:tblHeader w:val="true"/>
        </w:trPr>
        <w:tc>
          <w:tcPr>
            <w:tcW w:type="dxa" w:w="1656"/>
            <w:shd w:fill="EAF1FF"/>
            <w:vAlign w:val="center"/>
            <w:tcMar>
              <w:top w:w="130" w:type="dxa"/>
              <w:start w:w="120" w:type="dxa"/>
              <w:bottom w:w="130" w:type="dxa"/>
              <w:end w:w="120" w:type="dxa"/>
            </w:tcMar>
          </w:tcPr>
          <w:p>
            <w:pPr>
              <w:spacing w:after="0" w:line="276" w:lineRule="auto"/>
              <w:jc w:val="center"/>
            </w:pPr>
            <w:r/>
            <w:r>
              <w:rPr>
                <w:rFonts w:ascii="Microsoft YaHei" w:hAnsi="Microsoft YaHei" w:eastAsia="Microsoft YaHei"/>
                <w:b/>
                <w:color w:val="1D4ED8"/>
                <w:sz w:val="18"/>
              </w:rPr>
              <w:t>过程</w:t>
            </w:r>
          </w:p>
        </w:tc>
        <w:tc>
          <w:tcPr>
            <w:tcW w:type="dxa" w:w="4608"/>
            <w:shd w:fill="EAF1FF"/>
            <w:vAlign w:val="center"/>
            <w:tcMar>
              <w:top w:w="130" w:type="dxa"/>
              <w:start w:w="120" w:type="dxa"/>
              <w:bottom w:w="130" w:type="dxa"/>
              <w:end w:w="120" w:type="dxa"/>
            </w:tcMar>
          </w:tcPr>
          <w:p>
            <w:pPr>
              <w:spacing w:after="0" w:line="276" w:lineRule="auto"/>
              <w:jc w:val="center"/>
            </w:pPr>
            <w:r/>
            <w:r>
              <w:rPr>
                <w:rFonts w:ascii="Microsoft YaHei" w:hAnsi="Microsoft YaHei" w:eastAsia="Microsoft YaHei"/>
                <w:b/>
                <w:color w:val="1D4ED8"/>
                <w:sz w:val="18"/>
              </w:rPr>
              <w:t>具体工作</w:t>
            </w:r>
          </w:p>
        </w:tc>
        <w:tc>
          <w:tcPr>
            <w:tcW w:type="dxa" w:w="3528"/>
            <w:shd w:fill="EAF1FF"/>
            <w:vAlign w:val="center"/>
            <w:tcMar>
              <w:top w:w="130" w:type="dxa"/>
              <w:start w:w="120" w:type="dxa"/>
              <w:bottom w:w="130" w:type="dxa"/>
              <w:end w:w="120" w:type="dxa"/>
            </w:tcMar>
          </w:tcPr>
          <w:p>
            <w:pPr>
              <w:spacing w:after="0" w:line="276" w:lineRule="auto"/>
              <w:jc w:val="center"/>
            </w:pPr>
            <w:r/>
            <w:r>
              <w:rPr>
                <w:rFonts w:ascii="Microsoft YaHei" w:hAnsi="Microsoft YaHei" w:eastAsia="Microsoft YaHei"/>
                <w:b/>
                <w:color w:val="1D4ED8"/>
                <w:sz w:val="18"/>
              </w:rPr>
              <w:t>结果</w:t>
            </w:r>
          </w:p>
        </w:tc>
      </w:tr>
      <w:tr>
        <w:tc>
          <w:tcPr>
            <w:tcW w:type="dxa" w:w="165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需求拆解</w:t>
            </w:r>
          </w:p>
        </w:tc>
        <w:tc>
          <w:tcPr>
            <w:tcW w:type="dxa" w:w="4608"/>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将任务书要求拆为页面、接口、数据库、AI、文档五类验收点。</w:t>
            </w:r>
          </w:p>
        </w:tc>
        <w:tc>
          <w:tcPr>
            <w:tcW w:type="dxa" w:w="3528"/>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避免遗漏硬性指标。</w:t>
            </w:r>
          </w:p>
        </w:tc>
      </w:tr>
      <w:tr>
        <w:tc>
          <w:tcPr>
            <w:tcW w:type="dxa" w:w="165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数据建模</w:t>
            </w:r>
          </w:p>
        </w:tc>
        <w:tc>
          <w:tcPr>
            <w:tcW w:type="dxa" w:w="4608"/>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围绕学生账本设计用户、分类、账目、目标四类实体。</w:t>
            </w:r>
          </w:p>
        </w:tc>
        <w:tc>
          <w:tcPr>
            <w:tcW w:type="dxa" w:w="3528"/>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支持游客展示、个人账目和心愿基金。</w:t>
            </w:r>
          </w:p>
        </w:tc>
      </w:tr>
      <w:tr>
        <w:tc>
          <w:tcPr>
            <w:tcW w:type="dxa" w:w="165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接口实现</w:t>
            </w:r>
          </w:p>
        </w:tc>
        <w:tc>
          <w:tcPr>
            <w:tcW w:type="dxa" w:w="4608"/>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用 Flask Blueprint 实现认证、汇总、CRUD、目标、AI。</w:t>
            </w:r>
          </w:p>
        </w:tc>
        <w:tc>
          <w:tcPr>
            <w:tcW w:type="dxa" w:w="3528"/>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接口边界清晰，便于测试。</w:t>
            </w:r>
          </w:p>
        </w:tc>
      </w:tr>
      <w:tr>
        <w:tc>
          <w:tcPr>
            <w:tcW w:type="dxa" w:w="165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前端实现</w:t>
            </w:r>
          </w:p>
        </w:tc>
        <w:tc>
          <w:tcPr>
            <w:tcW w:type="dxa" w:w="4608"/>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用原生 JS 管理状态、路由切换、表单和列表渲染。</w:t>
            </w:r>
          </w:p>
        </w:tc>
        <w:tc>
          <w:tcPr>
            <w:tcW w:type="dxa" w:w="3528"/>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无需复杂构建步骤，演示启动简单。</w:t>
            </w:r>
          </w:p>
        </w:tc>
      </w:tr>
      <w:tr>
        <w:tc>
          <w:tcPr>
            <w:tcW w:type="dxa" w:w="165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测试整理</w:t>
            </w:r>
          </w:p>
        </w:tc>
        <w:tc>
          <w:tcPr>
            <w:tcW w:type="dxa" w:w="4608"/>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浏览器截图、接口测试、清理旧截图和旧文档。</w:t>
            </w:r>
          </w:p>
        </w:tc>
        <w:tc>
          <w:tcPr>
            <w:tcW w:type="dxa" w:w="3528"/>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交付材料与当前项目一致。</w:t>
            </w:r>
          </w:p>
        </w:tc>
      </w:tr>
    </w:tbl>
    <w:p/>
    <w:p>
      <w:pPr>
        <w:pStyle w:val="Heading1"/>
      </w:pPr>
      <w:r>
        <w:t>3. 主要问题与处理</w:t>
      </w:r>
    </w:p>
    <w:tbl>
      <w:tblPr>
        <w:tblStyle w:val="TableGrid"/>
        <w:tblW w:type="auto" w:w="0"/>
        <w:jc w:val="center"/>
        <w:tblLook w:firstColumn="1" w:firstRow="1" w:lastColumn="0" w:lastRow="0" w:noHBand="0" w:noVBand="1" w:val="04A0"/>
        <w:tblBorders>
          <w:top w:val="single" w:sz="6" w:space="0" w:color="D9E1EC"/>
          <w:left w:val="single" w:sz="6" w:space="0" w:color="D9E1EC"/>
          <w:bottom w:val="single" w:sz="6" w:space="0" w:color="D9E1EC"/>
          <w:right w:val="single" w:sz="6" w:space="0" w:color="D9E1EC"/>
          <w:insideH w:val="single" w:sz="6" w:space="0" w:color="D9E1EC"/>
          <w:insideV w:val="single" w:sz="6" w:space="0" w:color="D9E1EC"/>
        </w:tblBorders>
      </w:tblPr>
      <w:tblGrid>
        <w:gridCol w:w="3331"/>
        <w:gridCol w:w="3331"/>
        <w:gridCol w:w="3331"/>
      </w:tblGrid>
      <w:tr>
        <w:trPr>
          <w:tblHeader w:val="true"/>
        </w:trPr>
        <w:tc>
          <w:tcPr>
            <w:tcW w:type="dxa" w:w="2376"/>
            <w:shd w:fill="EAF1FF"/>
            <w:vAlign w:val="center"/>
            <w:tcMar>
              <w:top w:w="130" w:type="dxa"/>
              <w:start w:w="120" w:type="dxa"/>
              <w:bottom w:w="130" w:type="dxa"/>
              <w:end w:w="120" w:type="dxa"/>
            </w:tcMar>
          </w:tcPr>
          <w:p>
            <w:pPr>
              <w:spacing w:after="0" w:line="276" w:lineRule="auto"/>
              <w:jc w:val="center"/>
            </w:pPr>
            <w:r/>
            <w:r>
              <w:rPr>
                <w:rFonts w:ascii="Microsoft YaHei" w:hAnsi="Microsoft YaHei" w:eastAsia="Microsoft YaHei"/>
                <w:b/>
                <w:color w:val="1D4ED8"/>
                <w:sz w:val="18"/>
              </w:rPr>
              <w:t>问题</w:t>
            </w:r>
          </w:p>
        </w:tc>
        <w:tc>
          <w:tcPr>
            <w:tcW w:type="dxa" w:w="4320"/>
            <w:shd w:fill="EAF1FF"/>
            <w:vAlign w:val="center"/>
            <w:tcMar>
              <w:top w:w="130" w:type="dxa"/>
              <w:start w:w="120" w:type="dxa"/>
              <w:bottom w:w="130" w:type="dxa"/>
              <w:end w:w="120" w:type="dxa"/>
            </w:tcMar>
          </w:tcPr>
          <w:p>
            <w:pPr>
              <w:spacing w:after="0" w:line="276" w:lineRule="auto"/>
              <w:jc w:val="center"/>
            </w:pPr>
            <w:r/>
            <w:r>
              <w:rPr>
                <w:rFonts w:ascii="Microsoft YaHei" w:hAnsi="Microsoft YaHei" w:eastAsia="Microsoft YaHei"/>
                <w:b/>
                <w:color w:val="1D4ED8"/>
                <w:sz w:val="18"/>
              </w:rPr>
              <w:t>处理方式</w:t>
            </w:r>
          </w:p>
        </w:tc>
        <w:tc>
          <w:tcPr>
            <w:tcW w:type="dxa" w:w="3096"/>
            <w:shd w:fill="EAF1FF"/>
            <w:vAlign w:val="center"/>
            <w:tcMar>
              <w:top w:w="130" w:type="dxa"/>
              <w:start w:w="120" w:type="dxa"/>
              <w:bottom w:w="130" w:type="dxa"/>
              <w:end w:w="120" w:type="dxa"/>
            </w:tcMar>
          </w:tcPr>
          <w:p>
            <w:pPr>
              <w:spacing w:after="0" w:line="276" w:lineRule="auto"/>
              <w:jc w:val="center"/>
            </w:pPr>
            <w:r/>
            <w:r>
              <w:rPr>
                <w:rFonts w:ascii="Microsoft YaHei" w:hAnsi="Microsoft YaHei" w:eastAsia="Microsoft YaHei"/>
                <w:b/>
                <w:color w:val="1D4ED8"/>
                <w:sz w:val="18"/>
              </w:rPr>
              <w:t>经验</w:t>
            </w:r>
          </w:p>
        </w:tc>
      </w:tr>
      <w:tr>
        <w:tc>
          <w:tcPr>
            <w:tcW w:type="dxa" w:w="237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AI Key 不适合写入源码</w:t>
            </w:r>
          </w:p>
        </w:tc>
        <w:tc>
          <w:tcPr>
            <w:tcW w:type="dxa" w:w="4320"/>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改为读取 DASHSCOPE_API_KEY，并在未配置时返回本地建议。</w:t>
            </w:r>
          </w:p>
        </w:tc>
        <w:tc>
          <w:tcPr>
            <w:tcW w:type="dxa" w:w="309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外部服务要隔离配置与业务逻辑。</w:t>
            </w:r>
          </w:p>
        </w:tc>
      </w:tr>
      <w:tr>
        <w:tc>
          <w:tcPr>
            <w:tcW w:type="dxa" w:w="237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课程验收需要固定演示数据</w:t>
            </w:r>
          </w:p>
        </w:tc>
        <w:tc>
          <w:tcPr>
            <w:tcW w:type="dxa" w:w="4320"/>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应用启动时自动建表并种子用户、分类、账目和目标。</w:t>
            </w:r>
          </w:p>
        </w:tc>
        <w:tc>
          <w:tcPr>
            <w:tcW w:type="dxa" w:w="309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可复现数据能降低演示风险。</w:t>
            </w:r>
          </w:p>
        </w:tc>
      </w:tr>
      <w:tr>
        <w:tc>
          <w:tcPr>
            <w:tcW w:type="dxa" w:w="237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游客和登录用户权限不同</w:t>
            </w:r>
          </w:p>
        </w:tc>
        <w:tc>
          <w:tcPr>
            <w:tcW w:type="dxa" w:w="4320"/>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公开接口与 JWT 接口分离，个人数据按 user_id 查询。</w:t>
            </w:r>
          </w:p>
        </w:tc>
        <w:tc>
          <w:tcPr>
            <w:tcW w:type="dxa" w:w="309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权限边界要体现在接口层。</w:t>
            </w:r>
          </w:p>
        </w:tc>
      </w:tr>
      <w:tr>
        <w:tc>
          <w:tcPr>
            <w:tcW w:type="dxa" w:w="237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旧截图与新项目不一致</w:t>
            </w:r>
          </w:p>
        </w:tc>
        <w:tc>
          <w:tcPr>
            <w:tcW w:type="dxa" w:w="4320"/>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重新使用浏览器生成 6 张当前页面截图。</w:t>
            </w:r>
          </w:p>
        </w:tc>
        <w:tc>
          <w:tcPr>
            <w:tcW w:type="dxa" w:w="3096"/>
            <w:vAlign w:val="center"/>
            <w:tcMar>
              <w:top w:w="115" w:type="dxa"/>
              <w:start w:w="115" w:type="dxa"/>
              <w:bottom w:w="115" w:type="dxa"/>
              <w:end w:w="115" w:type="dxa"/>
            </w:tcMar>
          </w:tcPr>
          <w:p>
            <w:pPr>
              <w:spacing w:after="0" w:line="276" w:lineRule="auto"/>
            </w:pPr>
            <w:r/>
            <w:r>
              <w:rPr>
                <w:rFonts w:ascii="Microsoft YaHei" w:hAnsi="Microsoft YaHei" w:eastAsia="Microsoft YaHei"/>
                <w:b w:val="0"/>
                <w:sz w:val="17"/>
              </w:rPr>
              <w:t>交付材料必须跟实际运行结果一致。</w:t>
            </w:r>
          </w:p>
        </w:tc>
      </w:tr>
    </w:tbl>
    <w:p/>
    <w:p>
      <w:pPr>
        <w:pStyle w:val="Heading1"/>
      </w:pPr>
      <w:r>
        <w:t>4. 测试摘要</w:t>
      </w:r>
    </w:p>
    <w:p>
      <w:pPr>
        <w:ind w:left="259" w:hanging="173"/>
      </w:pPr>
      <w:r>
        <w:rPr>
          <w:rFonts w:ascii="Microsoft YaHei" w:hAnsi="Microsoft YaHei" w:eastAsia="Microsoft YaHei"/>
          <w:color w:val="172033"/>
          <w:sz w:val="20"/>
        </w:rPr>
        <w:t>• 公开接口：/api/public/overview、/api/public/categories 返回正常。</w:t>
      </w:r>
    </w:p>
    <w:p>
      <w:pPr>
        <w:ind w:left="259" w:hanging="173"/>
      </w:pPr>
      <w:r>
        <w:rPr>
          <w:rFonts w:ascii="Microsoft YaHei" w:hAnsi="Microsoft YaHei" w:eastAsia="Microsoft YaHei"/>
          <w:color w:val="172033"/>
          <w:sz w:val="20"/>
        </w:rPr>
        <w:t>• 认证接口：test / 123456 登录成功，Token 可访问 /api/auth/me。</w:t>
      </w:r>
    </w:p>
    <w:p>
      <w:pPr>
        <w:ind w:left="259" w:hanging="173"/>
      </w:pPr>
      <w:r>
        <w:rPr>
          <w:rFonts w:ascii="Microsoft YaHei" w:hAnsi="Microsoft YaHei" w:eastAsia="Microsoft YaHei"/>
          <w:color w:val="172033"/>
          <w:sz w:val="20"/>
        </w:rPr>
        <w:t>• 账目接口：新增、查询、修改、删除链路通过。</w:t>
      </w:r>
    </w:p>
    <w:p>
      <w:pPr>
        <w:ind w:left="259" w:hanging="173"/>
      </w:pPr>
      <w:r>
        <w:rPr>
          <w:rFonts w:ascii="Microsoft YaHei" w:hAnsi="Microsoft YaHei" w:eastAsia="Microsoft YaHei"/>
          <w:color w:val="172033"/>
          <w:sz w:val="20"/>
        </w:rPr>
        <w:t>• 心愿基金接口：返回 10 条目标数据及完成进度。</w:t>
      </w:r>
    </w:p>
    <w:p>
      <w:pPr>
        <w:ind w:left="259" w:hanging="173"/>
      </w:pPr>
      <w:r>
        <w:rPr>
          <w:rFonts w:ascii="Microsoft YaHei" w:hAnsi="Microsoft YaHei" w:eastAsia="Microsoft YaHei"/>
          <w:color w:val="172033"/>
          <w:sz w:val="20"/>
        </w:rPr>
        <w:t>• AI 接口：未配置真实 Key 时返回带上下文的本地预算建议，演示不中断。</w:t>
      </w:r>
    </w:p>
    <w:p>
      <w:pPr>
        <w:jc w:val="center"/>
      </w:pPr>
      <w:r>
        <w:drawing>
          <wp:inline xmlns:a="http://schemas.openxmlformats.org/drawingml/2006/main" xmlns:pic="http://schemas.openxmlformats.org/drawingml/2006/picture">
            <wp:extent cx="5074920" cy="3524250"/>
            <wp:docPr id="1" name="Picture 1"/>
            <wp:cNvGraphicFramePr>
              <a:graphicFrameLocks noChangeAspect="1"/>
            </wp:cNvGraphicFramePr>
            <a:graphic>
              <a:graphicData uri="http://schemas.openxmlformats.org/drawingml/2006/picture">
                <pic:pic>
                  <pic:nvPicPr>
                    <pic:cNvPr id="0" name="03_生活仪表盘.png"/>
                    <pic:cNvPicPr/>
                  </pic:nvPicPr>
                  <pic:blipFill>
                    <a:blip r:embed="rId9"/>
                    <a:stretch>
                      <a:fillRect/>
                    </a:stretch>
                  </pic:blipFill>
                  <pic:spPr>
                    <a:xfrm>
                      <a:off x="0" y="0"/>
                      <a:ext cx="5074920" cy="3524250"/>
                    </a:xfrm>
                    <a:prstGeom prst="rect"/>
                  </pic:spPr>
                </pic:pic>
              </a:graphicData>
            </a:graphic>
          </wp:inline>
        </w:drawing>
      </w:r>
    </w:p>
    <w:p>
      <w:pPr>
        <w:spacing w:after="160"/>
        <w:jc w:val="center"/>
      </w:pPr>
      <w:r>
        <w:rPr>
          <w:rFonts w:ascii="Microsoft YaHei" w:hAnsi="Microsoft YaHei" w:eastAsia="Microsoft YaHei"/>
          <w:color w:val="637083"/>
          <w:sz w:val="18"/>
        </w:rPr>
        <w:t>图 1 仪表盘测试截图</w:t>
      </w:r>
    </w:p>
    <w:p>
      <w:pPr>
        <w:jc w:val="center"/>
      </w:pPr>
      <w:r>
        <w:drawing>
          <wp:inline xmlns:a="http://schemas.openxmlformats.org/drawingml/2006/main" xmlns:pic="http://schemas.openxmlformats.org/drawingml/2006/picture">
            <wp:extent cx="4069080" cy="4998751"/>
            <wp:docPr id="2" name="Picture 2"/>
            <wp:cNvGraphicFramePr>
              <a:graphicFrameLocks noChangeAspect="1"/>
            </wp:cNvGraphicFramePr>
            <a:graphic>
              <a:graphicData uri="http://schemas.openxmlformats.org/drawingml/2006/picture">
                <pic:pic>
                  <pic:nvPicPr>
                    <pic:cNvPr id="0" name="04_记账管理.png"/>
                    <pic:cNvPicPr/>
                  </pic:nvPicPr>
                  <pic:blipFill>
                    <a:blip r:embed="rId10"/>
                    <a:stretch>
                      <a:fillRect/>
                    </a:stretch>
                  </pic:blipFill>
                  <pic:spPr>
                    <a:xfrm>
                      <a:off x="0" y="0"/>
                      <a:ext cx="4069080" cy="4998751"/>
                    </a:xfrm>
                    <a:prstGeom prst="rect"/>
                  </pic:spPr>
                </pic:pic>
              </a:graphicData>
            </a:graphic>
          </wp:inline>
        </w:drawing>
      </w:r>
    </w:p>
    <w:p>
      <w:pPr>
        <w:spacing w:after="160"/>
        <w:jc w:val="center"/>
      </w:pPr>
      <w:r>
        <w:rPr>
          <w:rFonts w:ascii="Microsoft YaHei" w:hAnsi="Microsoft YaHei" w:eastAsia="Microsoft YaHei"/>
          <w:color w:val="637083"/>
          <w:sz w:val="18"/>
        </w:rPr>
        <w:t>图 2 CRUD 管理测试截图</w:t>
      </w:r>
    </w:p>
    <w:p>
      <w:pPr>
        <w:pStyle w:val="Heading1"/>
      </w:pPr>
      <w:r>
        <w:t>5. AI 辅助开发说明</w:t>
      </w:r>
    </w:p>
    <w:p>
      <w:r>
        <w:t>开发过程中使用 AI 辅助拆解任务书、生成文档框架、检查接口覆盖和整理测试说明。项目代码、页面交互和文档内容均围绕课程任务书与当前本地项目实现进行调整，未把 API 密钥等敏感信息写入源码。</w:t>
      </w:r>
    </w:p>
    <w:p>
      <w:pPr>
        <w:pStyle w:val="Heading1"/>
      </w:pPr>
      <w:r>
        <w:t>6. 后续改进</w:t>
      </w:r>
    </w:p>
    <w:p>
      <w:pPr>
        <w:ind w:left="259" w:hanging="173"/>
      </w:pPr>
      <w:r>
        <w:rPr>
          <w:rFonts w:ascii="Microsoft YaHei" w:hAnsi="Microsoft YaHei" w:eastAsia="Microsoft YaHei"/>
          <w:color w:val="172033"/>
          <w:sz w:val="20"/>
        </w:rPr>
        <w:t>• 增加按月份、关键词和金额区间筛选账目。</w:t>
      </w:r>
    </w:p>
    <w:p>
      <w:pPr>
        <w:ind w:left="259" w:hanging="173"/>
      </w:pPr>
      <w:r>
        <w:rPr>
          <w:rFonts w:ascii="Microsoft YaHei" w:hAnsi="Microsoft YaHei" w:eastAsia="Microsoft YaHei"/>
          <w:color w:val="172033"/>
          <w:sz w:val="20"/>
        </w:rPr>
        <w:t>• 补充更多图表，如月度趋势、预算使用率和收入来源分布。</w:t>
      </w:r>
    </w:p>
    <w:p>
      <w:pPr>
        <w:ind w:left="259" w:hanging="173"/>
      </w:pPr>
      <w:r>
        <w:rPr>
          <w:rFonts w:ascii="Microsoft YaHei" w:hAnsi="Microsoft YaHei" w:eastAsia="Microsoft YaHei"/>
          <w:color w:val="172033"/>
          <w:sz w:val="20"/>
        </w:rPr>
        <w:t>• 给心愿基金增加新增、编辑、归档能力。</w:t>
      </w:r>
    </w:p>
    <w:p>
      <w:pPr>
        <w:ind w:left="259" w:hanging="173"/>
      </w:pPr>
      <w:r>
        <w:rPr>
          <w:rFonts w:ascii="Microsoft YaHei" w:hAnsi="Microsoft YaHei" w:eastAsia="Microsoft YaHei"/>
          <w:color w:val="172033"/>
          <w:sz w:val="20"/>
        </w:rPr>
        <w:t>• 录制演示视频，按游客浏览、登录、CRUD、AI 建议顺序展示。</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Microsoft YaHei" w:hAnsi="Microsoft YaHei" w:eastAsia="Microsoft YaHe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D4ED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1720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20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