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rPr>
          <w:rFonts w:ascii="Microsoft YaHei" w:hAnsi="Microsoft YaHei" w:eastAsia="Microsoft YaHei"/>
          <w:b/>
          <w:color w:val="172033"/>
          <w:sz w:val="54"/>
        </w:rPr>
        <w:t>星芒账本开发总结（功能补全版）</w:t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637083"/>
          <w:sz w:val="24"/>
        </w:rPr>
        <w:t>课程设计开发复盘 · 前后端功能已补齐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D9E1EC"/>
          <w:left w:val="single" w:sz="6" w:space="0" w:color="D9E1EC"/>
          <w:bottom w:val="single" w:sz="6" w:space="0" w:color="D9E1EC"/>
          <w:right w:val="single" w:sz="6" w:space="0" w:color="D9E1EC"/>
          <w:insideH w:val="single" w:sz="6" w:space="0" w:color="D9E1EC"/>
          <w:insideV w:val="single" w:sz="6" w:space="0" w:color="D9E1EC"/>
        </w:tblBorders>
      </w:tblPr>
      <w:tblGrid>
        <w:gridCol w:w="5026"/>
        <w:gridCol w:w="5026"/>
      </w:tblGrid>
      <w:tr>
        <w:trPr>
          <w:tblHeader w:val="true"/>
        </w:trPr>
        <w:tc>
          <w:tcPr>
            <w:tcW w:type="dxa" w:w="1944"/>
            <w:shd w:fill="EAF1FF"/>
            <w:vAlign w:val="center"/>
          </w:tcPr>
          <w:p>
            <w:pPr>
              <w:spacing w:after="0" w:line="26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1D4ED8"/>
                <w:sz w:val="17"/>
              </w:rPr>
              <w:t>项目项</w:t>
            </w:r>
          </w:p>
        </w:tc>
        <w:tc>
          <w:tcPr>
            <w:tcW w:type="dxa" w:w="7488"/>
            <w:shd w:fill="EAF1FF"/>
            <w:vAlign w:val="center"/>
          </w:tcPr>
          <w:p>
            <w:pPr>
              <w:spacing w:after="0" w:line="26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1D4ED8"/>
                <w:sz w:val="17"/>
              </w:rPr>
              <w:t>内容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72033"/>
                <w:sz w:val="17"/>
              </w:rPr>
              <w:t>项目名称</w:t>
            </w:r>
          </w:p>
        </w:tc>
        <w:tc>
          <w:tcPr>
            <w:tcW w:type="dxa" w:w="7488"/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72033"/>
                <w:sz w:val="17"/>
              </w:rPr>
              <w:t>星芒账本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72033"/>
                <w:sz w:val="17"/>
              </w:rPr>
              <w:t>测试账号</w:t>
            </w:r>
          </w:p>
        </w:tc>
        <w:tc>
          <w:tcPr>
            <w:tcW w:type="dxa" w:w="7488"/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72033"/>
                <w:sz w:val="17"/>
              </w:rPr>
              <w:t>test / 123456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72033"/>
                <w:sz w:val="17"/>
              </w:rPr>
              <w:t>补全范围</w:t>
            </w:r>
          </w:p>
        </w:tc>
        <w:tc>
          <w:tcPr>
            <w:tcW w:type="dxa" w:w="7488"/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72033"/>
                <w:sz w:val="17"/>
              </w:rPr>
              <w:t>分页、月份过滤、错误日志、移动端输入、趋势图、预算图、文档与截图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72033"/>
                <w:sz w:val="17"/>
              </w:rPr>
              <w:t>完成日期</w:t>
            </w:r>
          </w:p>
        </w:tc>
        <w:tc>
          <w:tcPr>
            <w:tcW w:type="dxa" w:w="7488"/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72033"/>
                <w:sz w:val="17"/>
              </w:rPr>
              <w:t>2026-05-12</w:t>
            </w:r>
          </w:p>
        </w:tc>
      </w:tr>
    </w:tbl>
    <w:p/>
    <w:p>
      <w:r>
        <w:br w:type="page"/>
      </w:r>
    </w:p>
    <w:p>
      <w:pPr>
        <w:pStyle w:val="Heading1"/>
      </w:pPr>
      <w:r>
        <w:t>1. 完成情况</w:t>
      </w:r>
    </w:p>
    <w:p>
      <w:pPr>
        <w:ind w:left="259" w:hanging="173"/>
      </w:pPr>
      <w:r>
        <w:rPr>
          <w:rFonts w:ascii="Microsoft YaHei" w:hAnsi="Microsoft YaHei" w:eastAsia="Microsoft YaHei"/>
          <w:b w:val="0"/>
          <w:color w:val="172033"/>
          <w:sz w:val="20"/>
        </w:rPr>
        <w:t>• 完成 6 个前端视图和 13 个 Flask REST 接口。</w:t>
      </w:r>
    </w:p>
    <w:p>
      <w:pPr>
        <w:ind w:left="259" w:hanging="173"/>
      </w:pPr>
      <w:r>
        <w:rPr>
          <w:rFonts w:ascii="Microsoft YaHei" w:hAnsi="Microsoft YaHei" w:eastAsia="Microsoft YaHei"/>
          <w:b w:val="0"/>
          <w:color w:val="172033"/>
          <w:sz w:val="20"/>
        </w:rPr>
        <w:t>• 完成 users、categories、ledger_entries、saving_goals 4 张表，且每表不少于 10 条数据。</w:t>
      </w:r>
    </w:p>
    <w:p>
      <w:pPr>
        <w:ind w:left="259" w:hanging="173"/>
      </w:pPr>
      <w:r>
        <w:rPr>
          <w:rFonts w:ascii="Microsoft YaHei" w:hAnsi="Microsoft YaHei" w:eastAsia="Microsoft YaHei"/>
          <w:b w:val="0"/>
          <w:color w:val="172033"/>
          <w:sz w:val="20"/>
        </w:rPr>
        <w:t>• 补齐分页、月份过滤、图表复盘、移动端输入优化和 API 统一错误处理。</w:t>
      </w:r>
    </w:p>
    <w:p>
      <w:pPr>
        <w:ind w:left="259" w:hanging="173"/>
      </w:pPr>
      <w:r>
        <w:rPr>
          <w:rFonts w:ascii="Microsoft YaHei" w:hAnsi="Microsoft YaHei" w:eastAsia="Microsoft YaHei"/>
          <w:b w:val="0"/>
          <w:color w:val="172033"/>
          <w:sz w:val="20"/>
        </w:rPr>
        <w:t>• 完成 DashScope 国内 AI 接口封装，密钥不写入源码。</w:t>
      </w:r>
    </w:p>
    <w:p>
      <w:pPr>
        <w:pStyle w:val="Heading1"/>
      </w:pPr>
      <w:r>
        <w:t>2. 补全记录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D9E1EC"/>
          <w:left w:val="single" w:sz="6" w:space="0" w:color="D9E1EC"/>
          <w:bottom w:val="single" w:sz="6" w:space="0" w:color="D9E1EC"/>
          <w:right w:val="single" w:sz="6" w:space="0" w:color="D9E1EC"/>
          <w:insideH w:val="single" w:sz="6" w:space="0" w:color="D9E1EC"/>
          <w:insideV w:val="single" w:sz="6" w:space="0" w:color="D9E1EC"/>
        </w:tblBorders>
      </w:tblPr>
      <w:tblGrid>
        <w:gridCol w:w="3351"/>
        <w:gridCol w:w="3351"/>
        <w:gridCol w:w="3351"/>
      </w:tblGrid>
      <w:tr>
        <w:trPr>
          <w:tblHeader w:val="true"/>
        </w:trPr>
        <w:tc>
          <w:tcPr>
            <w:tcW w:type="dxa" w:w="1584"/>
            <w:shd w:fill="EAF1FF"/>
            <w:vAlign w:val="center"/>
          </w:tcPr>
          <w:p>
            <w:pPr>
              <w:spacing w:after="0" w:line="26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1D4ED8"/>
                <w:sz w:val="17"/>
              </w:rPr>
              <w:t>类型</w:t>
            </w:r>
          </w:p>
        </w:tc>
        <w:tc>
          <w:tcPr>
            <w:tcW w:type="dxa" w:w="5760"/>
            <w:shd w:fill="EAF1FF"/>
            <w:vAlign w:val="center"/>
          </w:tcPr>
          <w:p>
            <w:pPr>
              <w:spacing w:after="0" w:line="26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1D4ED8"/>
                <w:sz w:val="17"/>
              </w:rPr>
              <w:t>补全内容</w:t>
            </w:r>
          </w:p>
        </w:tc>
        <w:tc>
          <w:tcPr>
            <w:tcW w:type="dxa" w:w="2592"/>
            <w:shd w:fill="EAF1FF"/>
            <w:vAlign w:val="center"/>
          </w:tcPr>
          <w:p>
            <w:pPr>
              <w:spacing w:after="0" w:line="26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1D4ED8"/>
                <w:sz w:val="17"/>
              </w:rPr>
              <w:t>验证</w:t>
            </w:r>
          </w:p>
        </w:tc>
      </w:tr>
      <w:tr>
        <w:tc>
          <w:tcPr>
            <w:tcW w:type="dxa" w:w="1584"/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72033"/>
                <w:sz w:val="17"/>
              </w:rPr>
              <w:t>后端</w:t>
            </w:r>
          </w:p>
        </w:tc>
        <w:tc>
          <w:tcPr>
            <w:tcW w:type="dxa" w:w="5760"/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72033"/>
                <w:sz w:val="17"/>
              </w:rPr>
              <w:t>summary 月份过滤、entries 分页、非法参数 400、500 日志、JWT 环境变量。</w:t>
            </w:r>
          </w:p>
        </w:tc>
        <w:tc>
          <w:tcPr>
            <w:tcW w:type="dxa" w:w="2592"/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72033"/>
                <w:sz w:val="17"/>
              </w:rPr>
              <w:t>接口测试通过。</w:t>
            </w:r>
          </w:p>
        </w:tc>
      </w:tr>
      <w:tr>
        <w:tc>
          <w:tcPr>
            <w:tcW w:type="dxa" w:w="1584"/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72033"/>
                <w:sz w:val="17"/>
              </w:rPr>
              <w:t>前端</w:t>
            </w:r>
          </w:p>
        </w:tc>
        <w:tc>
          <w:tcPr>
            <w:tcW w:type="dxa" w:w="5760"/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72033"/>
                <w:sz w:val="17"/>
              </w:rPr>
              <w:t>仪表盘月份控件、六个月趋势、预算使用率、账目筛选分页、移动端输入属性。</w:t>
            </w:r>
          </w:p>
        </w:tc>
        <w:tc>
          <w:tcPr>
            <w:tcW w:type="dxa" w:w="2592"/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72033"/>
                <w:sz w:val="17"/>
              </w:rPr>
              <w:t>桌面和移动端浏览器验证通过。</w:t>
            </w:r>
          </w:p>
        </w:tc>
      </w:tr>
      <w:tr>
        <w:tc>
          <w:tcPr>
            <w:tcW w:type="dxa" w:w="1584"/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72033"/>
                <w:sz w:val="17"/>
              </w:rPr>
              <w:t>材料</w:t>
            </w:r>
          </w:p>
        </w:tc>
        <w:tc>
          <w:tcPr>
            <w:tcW w:type="dxa" w:w="5760"/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72033"/>
                <w:sz w:val="17"/>
              </w:rPr>
              <w:t>截图和文档更新为补全后的页面。</w:t>
            </w:r>
          </w:p>
        </w:tc>
        <w:tc>
          <w:tcPr>
            <w:tcW w:type="dxa" w:w="2592"/>
            <w:vAlign w:val="center"/>
          </w:tcPr>
          <w:p>
            <w:pPr>
              <w:spacing w:after="0" w:line="269" w:lineRule="auto"/>
            </w:pPr>
            <w:r/>
            <w:r>
              <w:rPr>
                <w:rFonts w:ascii="Microsoft YaHei" w:hAnsi="Microsoft YaHei" w:eastAsia="Microsoft YaHei"/>
                <w:b w:val="0"/>
                <w:color w:val="172033"/>
                <w:sz w:val="17"/>
              </w:rPr>
              <w:t>DOCX 渲染检查通过。</w:t>
            </w:r>
          </w:p>
        </w:tc>
      </w:tr>
    </w:tbl>
    <w:p/>
    <w:p>
      <w:pPr>
        <w:pStyle w:val="Heading1"/>
      </w:pPr>
      <w:r>
        <w:t>3. 截图证据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50352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生活仪表盘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50352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637083"/>
          <w:sz w:val="17"/>
        </w:rPr>
        <w:t>图 1 补全后的仪表盘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892040" cy="33972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记账管理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892040" cy="3397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637083"/>
          <w:sz w:val="17"/>
        </w:rPr>
        <w:t>图 2 补全后的 CRUD 筛选分页页面</w:t>
      </w:r>
    </w:p>
    <w:p>
      <w:pPr>
        <w:pStyle w:val="Heading1"/>
      </w:pPr>
      <w:r>
        <w:t>4. 后续可选项</w:t>
      </w:r>
    </w:p>
    <w:p>
      <w:pPr>
        <w:ind w:left="259" w:hanging="173"/>
      </w:pPr>
      <w:r>
        <w:rPr>
          <w:rFonts w:ascii="Microsoft YaHei" w:hAnsi="Microsoft YaHei" w:eastAsia="Microsoft YaHei"/>
          <w:b w:val="0"/>
          <w:color w:val="172033"/>
          <w:sz w:val="20"/>
        </w:rPr>
        <w:t>• 录制课程演示视频。</w:t>
      </w:r>
    </w:p>
    <w:p>
      <w:pPr>
        <w:ind w:left="259" w:hanging="173"/>
      </w:pPr>
      <w:r>
        <w:rPr>
          <w:rFonts w:ascii="Microsoft YaHei" w:hAnsi="Microsoft YaHei" w:eastAsia="Microsoft YaHei"/>
          <w:b w:val="0"/>
          <w:color w:val="172033"/>
          <w:sz w:val="20"/>
        </w:rPr>
        <w:t>• 生产部署时增加 WSGI、HTTPS、日志文件和备份策略。</w:t>
      </w:r>
    </w:p>
    <w:p>
      <w:pPr>
        <w:ind w:left="259" w:hanging="173"/>
      </w:pPr>
      <w:r>
        <w:rPr>
          <w:rFonts w:ascii="Microsoft YaHei" w:hAnsi="Microsoft YaHei" w:eastAsia="Microsoft YaHei"/>
          <w:b w:val="0"/>
          <w:color w:val="172033"/>
          <w:sz w:val="20"/>
        </w:rPr>
        <w:t>• 可扩展心愿基金新增/编辑、CSV 导出和预算预警。</w:t>
      </w:r>
    </w:p>
    <w:sectPr w:rsidR="00FC693F" w:rsidRPr="0006063C" w:rsidSect="00034616">
      <w:pgSz w:w="12240" w:h="15840"/>
      <w:pgMar w:top="1037" w:right="1094" w:bottom="1037" w:left="10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83" w:lineRule="auto" w:after="100"/>
    </w:pPr>
    <w:rPr>
      <w:rFonts w:ascii="Microsoft YaHei" w:hAnsi="Microsoft YaHei" w:eastAsia="Microsoft YaHei"/>
      <w:color w:val="1720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D4ED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72033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172033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