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Microsoft YaHei" w:hAnsi="Microsoft YaHei" w:eastAsia="Microsoft YaHei"/>
          <w:b/>
          <w:color w:val="172033"/>
          <w:sz w:val="54"/>
        </w:rPr>
        <w:t>创意型大学生生活记账本课程设计书（功能补全版）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37083"/>
          <w:sz w:val="24"/>
        </w:rPr>
        <w:t>Flask + SQLite + 原生前端 · 已补齐分页、月份过滤、图表和错误日志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E1EC"/>
          <w:left w:val="single" w:sz="6" w:space="0" w:color="D9E1EC"/>
          <w:bottom w:val="single" w:sz="6" w:space="0" w:color="D9E1EC"/>
          <w:right w:val="single" w:sz="6" w:space="0" w:color="D9E1EC"/>
          <w:insideH w:val="single" w:sz="6" w:space="0" w:color="D9E1EC"/>
          <w:insideV w:val="single" w:sz="6" w:space="0" w:color="D9E1EC"/>
        </w:tblBorders>
      </w:tblPr>
      <w:tblGrid>
        <w:gridCol w:w="5026"/>
        <w:gridCol w:w="5026"/>
      </w:tblGrid>
      <w:tr>
        <w:trPr>
          <w:tblHeader w:val="true"/>
        </w:trPr>
        <w:tc>
          <w:tcPr>
            <w:tcW w:type="dxa" w:w="1944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项目项</w:t>
            </w:r>
          </w:p>
        </w:tc>
        <w:tc>
          <w:tcPr>
            <w:tcW w:type="dxa" w:w="7488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内容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项目名称</w:t>
            </w:r>
          </w:p>
        </w:tc>
        <w:tc>
          <w:tcPr>
            <w:tcW w:type="dxa" w:w="748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星芒账本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选题方向</w:t>
            </w:r>
          </w:p>
        </w:tc>
        <w:tc>
          <w:tcPr>
            <w:tcW w:type="dxa" w:w="748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创意型大学生生活记账本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完成内容</w:t>
            </w:r>
          </w:p>
        </w:tc>
        <w:tc>
          <w:tcPr>
            <w:tcW w:type="dxa" w:w="748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前端页面、后端接口、数据库脚本、AI 教练、分页筛选、图表、截图、文档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完成日期</w:t>
            </w:r>
          </w:p>
        </w:tc>
        <w:tc>
          <w:tcPr>
            <w:tcW w:type="dxa" w:w="748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2026-05-12</w:t>
            </w:r>
          </w:p>
        </w:tc>
      </w:tr>
    </w:tbl>
    <w:p/>
    <w:p>
      <w:r>
        <w:br w:type="page"/>
      </w:r>
    </w:p>
    <w:p>
      <w:pPr>
        <w:pStyle w:val="Heading1"/>
      </w:pPr>
      <w:r>
        <w:t>1. 核心故事与验收覆盖</w:t>
      </w:r>
    </w:p>
    <w:p>
      <w:r>
        <w:t>星芒账本面向大学生日常消费，把食堂、奶茶、教材、宿舍用品、社团活动和兼职收入整理为可记录、可筛选、可复盘、可规划的个人账本。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E1EC"/>
          <w:left w:val="single" w:sz="6" w:space="0" w:color="D9E1EC"/>
          <w:bottom w:val="single" w:sz="6" w:space="0" w:color="D9E1EC"/>
          <w:right w:val="single" w:sz="6" w:space="0" w:color="D9E1EC"/>
          <w:insideH w:val="single" w:sz="6" w:space="0" w:color="D9E1EC"/>
          <w:insideV w:val="single" w:sz="6" w:space="0" w:color="D9E1EC"/>
        </w:tblBorders>
      </w:tblPr>
      <w:tblGrid>
        <w:gridCol w:w="3351"/>
        <w:gridCol w:w="3351"/>
        <w:gridCol w:w="3351"/>
      </w:tblGrid>
      <w:tr>
        <w:trPr>
          <w:tblHeader w:val="true"/>
        </w:trPr>
        <w:tc>
          <w:tcPr>
            <w:tcW w:type="dxa" w:w="1944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验收要求</w:t>
            </w:r>
          </w:p>
        </w:tc>
        <w:tc>
          <w:tcPr>
            <w:tcW w:type="dxa" w:w="4608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实现情况</w:t>
            </w:r>
          </w:p>
        </w:tc>
        <w:tc>
          <w:tcPr>
            <w:tcW w:type="dxa" w:w="3528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证据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注册/登录/游客浏览</w:t>
            </w:r>
          </w:p>
        </w:tc>
        <w:tc>
          <w:tcPr>
            <w:tcW w:type="dxa" w:w="460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游客首页、注册、登录、JWT 当前用户已完成。</w:t>
            </w:r>
          </w:p>
        </w:tc>
        <w:tc>
          <w:tcPr>
            <w:tcW w:type="dxa" w:w="352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首页、认证页、/api/public/*、/api/auth/*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CRUD 模块</w:t>
            </w:r>
          </w:p>
        </w:tc>
        <w:tc>
          <w:tcPr>
            <w:tcW w:type="dxa" w:w="460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账目新增、查询、修改、删除，支持月份/分类/类型筛选和分页。</w:t>
            </w:r>
          </w:p>
        </w:tc>
        <w:tc>
          <w:tcPr>
            <w:tcW w:type="dxa" w:w="352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记账管理页、/api/entries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前端不少于 4 页</w:t>
            </w:r>
          </w:p>
        </w:tc>
        <w:tc>
          <w:tcPr>
            <w:tcW w:type="dxa" w:w="460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共 6 个视图：游客、认证、仪表盘、CRUD、心愿基金、AI。</w:t>
            </w:r>
          </w:p>
        </w:tc>
        <w:tc>
          <w:tcPr>
            <w:tcW w:type="dxa" w:w="352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screenshots 目录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Flask 不少于 5 接口</w:t>
            </w:r>
          </w:p>
        </w:tc>
        <w:tc>
          <w:tcPr>
            <w:tcW w:type="dxa" w:w="460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13 个 REST 接口，统一 code/msg/data。</w:t>
            </w:r>
          </w:p>
        </w:tc>
        <w:tc>
          <w:tcPr>
            <w:tcW w:type="dxa" w:w="352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routes.py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数据库不少于 3 表</w:t>
            </w:r>
          </w:p>
        </w:tc>
        <w:tc>
          <w:tcPr>
            <w:tcW w:type="dxa" w:w="460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4 表，每表不少于 10 条种子数据。</w:t>
            </w:r>
          </w:p>
        </w:tc>
        <w:tc>
          <w:tcPr>
            <w:tcW w:type="dxa" w:w="352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seed.py、schema.sql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国内 AI API</w:t>
            </w:r>
          </w:p>
        </w:tc>
        <w:tc>
          <w:tcPr>
            <w:tcW w:type="dxa" w:w="460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DashScope 封装，Key 走环境变量，无 Key 兜底。</w:t>
            </w:r>
          </w:p>
        </w:tc>
        <w:tc>
          <w:tcPr>
            <w:tcW w:type="dxa" w:w="352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ai_client.py</w:t>
            </w:r>
          </w:p>
        </w:tc>
      </w:tr>
    </w:tbl>
    <w:p/>
    <w:p>
      <w:pPr>
        <w:pStyle w:val="Heading1"/>
      </w:pPr>
      <w:r>
        <w:t>2. 前后端功能补全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E1EC"/>
          <w:left w:val="single" w:sz="6" w:space="0" w:color="D9E1EC"/>
          <w:bottom w:val="single" w:sz="6" w:space="0" w:color="D9E1EC"/>
          <w:right w:val="single" w:sz="6" w:space="0" w:color="D9E1EC"/>
          <w:insideH w:val="single" w:sz="6" w:space="0" w:color="D9E1EC"/>
          <w:insideV w:val="single" w:sz="6" w:space="0" w:color="D9E1EC"/>
        </w:tblBorders>
      </w:tblPr>
      <w:tblGrid>
        <w:gridCol w:w="3351"/>
        <w:gridCol w:w="3351"/>
        <w:gridCol w:w="3351"/>
      </w:tblGrid>
      <w:tr>
        <w:trPr>
          <w:tblHeader w:val="true"/>
        </w:trPr>
        <w:tc>
          <w:tcPr>
            <w:tcW w:type="dxa" w:w="1728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方向</w:t>
            </w:r>
          </w:p>
        </w:tc>
        <w:tc>
          <w:tcPr>
            <w:tcW w:type="dxa" w:w="4896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已补全功能</w:t>
            </w:r>
          </w:p>
        </w:tc>
        <w:tc>
          <w:tcPr>
            <w:tcW w:type="dxa" w:w="3456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设计说明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后端</w:t>
            </w:r>
          </w:p>
        </w:tc>
        <w:tc>
          <w:tcPr>
            <w:tcW w:type="dxa" w:w="4896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月份过滤、分页、非法参数 400 JSON、统一错误日志、JWT 密钥环境变量。</w:t>
            </w:r>
          </w:p>
        </w:tc>
        <w:tc>
          <w:tcPr>
            <w:tcW w:type="dxa" w:w="3456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/api/summary?month=YYYY-MM 返回当月汇总、趋势和预算；/api/entries 返回 pagination。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前端</w:t>
            </w:r>
          </w:p>
        </w:tc>
        <w:tc>
          <w:tcPr>
            <w:tcW w:type="dxa" w:w="4896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月份选择、分类筛选、分页控件、移动端输入优化、六个月趋势图、预算使用率图。</w:t>
            </w:r>
          </w:p>
        </w:tc>
        <w:tc>
          <w:tcPr>
            <w:tcW w:type="dxa" w:w="3456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全部使用原生 JS/CSS，保持课程要求技术栈。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AI</w:t>
            </w:r>
          </w:p>
        </w:tc>
        <w:tc>
          <w:tcPr>
            <w:tcW w:type="dxa" w:w="4896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AI 教练按月份上下文生成预算建议。</w:t>
            </w:r>
          </w:p>
        </w:tc>
        <w:tc>
          <w:tcPr>
            <w:tcW w:type="dxa" w:w="3456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未配置真实 Key 时返回本地演示建议。</w:t>
            </w:r>
          </w:p>
        </w:tc>
      </w:tr>
    </w:tbl>
    <w:p/>
    <w:p>
      <w:pPr>
        <w:pStyle w:val="Heading1"/>
      </w:pPr>
      <w:r>
        <w:t>3. 接口与数据库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E1EC"/>
          <w:left w:val="single" w:sz="6" w:space="0" w:color="D9E1EC"/>
          <w:bottom w:val="single" w:sz="6" w:space="0" w:color="D9E1EC"/>
          <w:right w:val="single" w:sz="6" w:space="0" w:color="D9E1EC"/>
          <w:insideH w:val="single" w:sz="6" w:space="0" w:color="D9E1EC"/>
          <w:insideV w:val="single" w:sz="6" w:space="0" w:color="D9E1EC"/>
        </w:tblBorders>
      </w:tblPr>
      <w:tblGrid>
        <w:gridCol w:w="5026"/>
        <w:gridCol w:w="5026"/>
      </w:tblGrid>
      <w:tr>
        <w:trPr>
          <w:tblHeader w:val="true"/>
        </w:trPr>
        <w:tc>
          <w:tcPr>
            <w:tcW w:type="dxa" w:w="4176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接口</w:t>
            </w:r>
          </w:p>
        </w:tc>
        <w:tc>
          <w:tcPr>
            <w:tcW w:type="dxa" w:w="5904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说明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/api/summary?month=YYYY-MM</w:t>
            </w:r>
          </w:p>
        </w:tc>
        <w:tc>
          <w:tcPr>
            <w:tcW w:type="dxa" w:w="590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按月收入、支出、结余、分类排行、六个月趋势、预算使用率。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/api/entries?month=&amp;category_id=&amp;kind=&amp;page=&amp;page_size=</w:t>
            </w:r>
          </w:p>
        </w:tc>
        <w:tc>
          <w:tcPr>
            <w:tcW w:type="dxa" w:w="590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分页账目列表，多条件筛选。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/api/entries/&lt;id&gt;</w:t>
            </w:r>
          </w:p>
        </w:tc>
        <w:tc>
          <w:tcPr>
            <w:tcW w:type="dxa" w:w="590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详情、修改、删除；新增使用 POST /api/entries。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/api/ai/coach?month=YYYY-MM</w:t>
            </w:r>
          </w:p>
        </w:tc>
        <w:tc>
          <w:tcPr>
            <w:tcW w:type="dxa" w:w="590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根据月份账本上下文生成建议。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E1EC"/>
          <w:left w:val="single" w:sz="6" w:space="0" w:color="D9E1EC"/>
          <w:bottom w:val="single" w:sz="6" w:space="0" w:color="D9E1EC"/>
          <w:right w:val="single" w:sz="6" w:space="0" w:color="D9E1EC"/>
          <w:insideH w:val="single" w:sz="6" w:space="0" w:color="D9E1EC"/>
          <w:insideV w:val="single" w:sz="6" w:space="0" w:color="D9E1EC"/>
        </w:tblBorders>
      </w:tblPr>
      <w:tblGrid>
        <w:gridCol w:w="3351"/>
        <w:gridCol w:w="3351"/>
        <w:gridCol w:w="3351"/>
      </w:tblGrid>
      <w:tr>
        <w:trPr>
          <w:tblHeader w:val="true"/>
        </w:trPr>
        <w:tc>
          <w:tcPr>
            <w:tcW w:type="dxa" w:w="1728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表</w:t>
            </w:r>
          </w:p>
        </w:tc>
        <w:tc>
          <w:tcPr>
            <w:tcW w:type="dxa" w:w="5760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作用</w:t>
            </w:r>
          </w:p>
        </w:tc>
        <w:tc>
          <w:tcPr>
            <w:tcW w:type="dxa" w:w="1440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数据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users</w:t>
            </w:r>
          </w:p>
        </w:tc>
        <w:tc>
          <w:tcPr>
            <w:tcW w:type="dxa" w:w="5760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注册用户，密码散列。</w:t>
            </w:r>
          </w:p>
        </w:tc>
        <w:tc>
          <w:tcPr>
            <w:tcW w:type="dxa" w:w="1440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10 条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categories</w:t>
            </w:r>
          </w:p>
        </w:tc>
        <w:tc>
          <w:tcPr>
            <w:tcW w:type="dxa" w:w="5760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校园消费/收入分类，含月预算。</w:t>
            </w:r>
          </w:p>
        </w:tc>
        <w:tc>
          <w:tcPr>
            <w:tcW w:type="dxa" w:w="1440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10 条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ledger_entries</w:t>
            </w:r>
          </w:p>
        </w:tc>
        <w:tc>
          <w:tcPr>
            <w:tcW w:type="dxa" w:w="5760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账目流水，CRUD 主表。</w:t>
            </w:r>
          </w:p>
        </w:tc>
        <w:tc>
          <w:tcPr>
            <w:tcW w:type="dxa" w:w="1440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12 条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saving_goals</w:t>
            </w:r>
          </w:p>
        </w:tc>
        <w:tc>
          <w:tcPr>
            <w:tcW w:type="dxa" w:w="5760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心愿基金目标。</w:t>
            </w:r>
          </w:p>
        </w:tc>
        <w:tc>
          <w:tcPr>
            <w:tcW w:type="dxa" w:w="1440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10 条</w:t>
            </w:r>
          </w:p>
        </w:tc>
      </w:tr>
    </w:tbl>
    <w:p/>
    <w:p>
      <w:pPr>
        <w:pStyle w:val="Heading1"/>
      </w:pPr>
      <w:r>
        <w:t>4. 页面截图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40680" cy="3778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游客浏览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37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37083"/>
          <w:sz w:val="17"/>
        </w:rPr>
        <w:t>图 1 游客浏览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40680" cy="3778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登录注册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37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37083"/>
          <w:sz w:val="17"/>
        </w:rPr>
        <w:t>图 2 登录注册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40680" cy="50779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生活仪表盘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507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37083"/>
          <w:sz w:val="17"/>
        </w:rPr>
        <w:t>图 3 生活仪表盘：月份过滤、趋势图、预算图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2040" cy="3397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记账管理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39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37083"/>
          <w:sz w:val="17"/>
        </w:rPr>
        <w:t>图 4 记账管理：月份/分类/类型筛选、分页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40680" cy="3778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心愿基金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37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37083"/>
          <w:sz w:val="17"/>
        </w:rPr>
        <w:t>图 5 心愿基金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40680" cy="377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I账本教练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37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37083"/>
          <w:sz w:val="17"/>
        </w:rPr>
        <w:t>图 6 AI 账本教练</w:t>
      </w:r>
    </w:p>
    <w:p>
      <w:pPr>
        <w:pStyle w:val="Heading1"/>
      </w:pPr>
      <w:r>
        <w:t>5. 测试与后续</w:t>
      </w:r>
    </w:p>
    <w:p>
      <w:pPr>
        <w:ind w:left="259" w:hanging="173"/>
      </w:pPr>
      <w:r>
        <w:rPr>
          <w:rFonts w:ascii="Microsoft YaHei" w:hAnsi="Microsoft YaHei" w:eastAsia="Microsoft YaHei"/>
          <w:b w:val="0"/>
          <w:color w:val="172033"/>
          <w:sz w:val="20"/>
        </w:rPr>
        <w:t>• 接口验证覆盖公开接口、登录、按月汇总、分页列表、非法参数、新增/修改/删除、AI 兜底。</w:t>
      </w:r>
    </w:p>
    <w:p>
      <w:pPr>
        <w:ind w:left="259" w:hanging="173"/>
      </w:pPr>
      <w:r>
        <w:rPr>
          <w:rFonts w:ascii="Microsoft YaHei" w:hAnsi="Microsoft YaHei" w:eastAsia="Microsoft YaHei"/>
          <w:b w:val="0"/>
          <w:color w:val="172033"/>
          <w:sz w:val="20"/>
        </w:rPr>
        <w:t>• 浏览器验证覆盖桌面 6 个视图和移动端仪表盘，无控制台错误，无横向溢出。</w:t>
      </w:r>
    </w:p>
    <w:p>
      <w:pPr>
        <w:ind w:left="259" w:hanging="173"/>
      </w:pPr>
      <w:r>
        <w:rPr>
          <w:rFonts w:ascii="Microsoft YaHei" w:hAnsi="Microsoft YaHei" w:eastAsia="Microsoft YaHei"/>
          <w:b w:val="0"/>
          <w:color w:val="172033"/>
          <w:sz w:val="20"/>
        </w:rPr>
        <w:t>• 后续只保留演示视频、生产部署、CSV 导出等扩展项。</w:t>
      </w:r>
    </w:p>
    <w:sectPr w:rsidR="00FC693F" w:rsidRPr="0006063C" w:rsidSect="00034616">
      <w:pgSz w:w="12240" w:h="15840"/>
      <w:pgMar w:top="1037" w:right="1094" w:bottom="1037" w:left="10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Microsoft YaHei" w:hAnsi="Microsoft YaHei" w:eastAsia="Microsoft YaHei"/>
      <w:color w:val="1720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203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