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6E700F">
      <w:pPr>
        <w:jc w:val="center"/>
        <w:rPr>
          <w:rFonts w:hint="eastAsia" w:ascii="仿宋" w:hAnsi="仿宋" w:eastAsia="仿宋"/>
          <w:sz w:val="44"/>
          <w:szCs w:val="44"/>
        </w:rPr>
      </w:pPr>
    </w:p>
    <w:p w14:paraId="78CDACBD">
      <w:pPr>
        <w:jc w:val="center"/>
        <w:rPr>
          <w:rFonts w:hint="eastAsia" w:ascii="仿宋" w:hAnsi="仿宋" w:eastAsia="仿宋"/>
          <w:sz w:val="44"/>
          <w:szCs w:val="44"/>
        </w:rPr>
      </w:pPr>
    </w:p>
    <w:p w14:paraId="0568BED5">
      <w:pPr>
        <w:jc w:val="center"/>
        <w:rPr>
          <w:rFonts w:hint="eastAsia" w:ascii="隶书" w:hAnsi="仿宋" w:eastAsia="隶书"/>
          <w:b/>
          <w:bCs/>
          <w:sz w:val="52"/>
          <w:szCs w:val="52"/>
        </w:rPr>
      </w:pPr>
      <w:r>
        <w:rPr>
          <w:rFonts w:hint="eastAsia" w:ascii="隶书" w:hAnsi="仿宋" w:eastAsia="隶书"/>
          <w:b/>
          <w:bCs/>
          <w:sz w:val="52"/>
          <w:szCs w:val="52"/>
        </w:rPr>
        <w:t>信息与电气工程学院</w:t>
      </w:r>
    </w:p>
    <w:p w14:paraId="1E6DA1B6">
      <w:pPr>
        <w:jc w:val="center"/>
        <w:rPr>
          <w:rFonts w:hint="eastAsia" w:ascii="隶书" w:hAnsi="仿宋" w:eastAsia="隶书"/>
          <w:sz w:val="52"/>
          <w:szCs w:val="52"/>
        </w:rPr>
      </w:pPr>
    </w:p>
    <w:p w14:paraId="6EE17CA9">
      <w:pPr>
        <w:jc w:val="center"/>
        <w:rPr>
          <w:rFonts w:hint="eastAsia" w:ascii="隶书" w:hAnsi="仿宋" w:eastAsia="隶书"/>
          <w:sz w:val="52"/>
          <w:szCs w:val="52"/>
        </w:rPr>
      </w:pPr>
      <w:r>
        <w:rPr>
          <w:rFonts w:hint="eastAsia" w:ascii="隶书" w:hAnsi="仿宋" w:eastAsia="隶书"/>
          <w:b/>
          <w:bCs/>
          <w:sz w:val="52"/>
          <w:szCs w:val="52"/>
        </w:rPr>
        <w:t>本科毕业论文（设计）中期报</w:t>
      </w:r>
      <w:r>
        <w:rPr>
          <w:rFonts w:hint="eastAsia" w:ascii="隶书" w:hAnsi="仿宋" w:eastAsia="隶书"/>
          <w:sz w:val="52"/>
          <w:szCs w:val="52"/>
        </w:rPr>
        <w:t>告</w:t>
      </w:r>
    </w:p>
    <w:p w14:paraId="5B784C6A">
      <w:pPr>
        <w:jc w:val="center"/>
        <w:rPr>
          <w:rFonts w:hint="eastAsia" w:ascii="仿宋" w:hAnsi="仿宋" w:eastAsia="仿宋"/>
          <w:sz w:val="44"/>
          <w:szCs w:val="44"/>
        </w:rPr>
      </w:pPr>
    </w:p>
    <w:p w14:paraId="31186370">
      <w:pPr>
        <w:jc w:val="center"/>
        <w:rPr>
          <w:rFonts w:hint="eastAsia" w:ascii="仿宋" w:hAnsi="仿宋" w:eastAsia="仿宋"/>
          <w:sz w:val="44"/>
          <w:szCs w:val="44"/>
        </w:rPr>
      </w:pPr>
    </w:p>
    <w:p w14:paraId="0FAB8CDE">
      <w:pPr>
        <w:jc w:val="center"/>
        <w:rPr>
          <w:rFonts w:hint="eastAsia" w:ascii="仿宋" w:hAnsi="仿宋" w:eastAsia="仿宋"/>
          <w:sz w:val="44"/>
          <w:szCs w:val="44"/>
        </w:rPr>
      </w:pPr>
    </w:p>
    <w:p w14:paraId="4347D792">
      <w:pPr>
        <w:jc w:val="center"/>
        <w:rPr>
          <w:rFonts w:hint="eastAsia" w:ascii="仿宋" w:hAnsi="仿宋" w:eastAsia="仿宋"/>
          <w:sz w:val="44"/>
          <w:szCs w:val="44"/>
        </w:rPr>
      </w:pPr>
    </w:p>
    <w:p w14:paraId="3625DB59">
      <w:pPr>
        <w:jc w:val="center"/>
        <w:rPr>
          <w:rFonts w:hint="eastAsia" w:ascii="仿宋" w:hAnsi="仿宋" w:eastAsia="仿宋"/>
          <w:sz w:val="44"/>
          <w:szCs w:val="44"/>
        </w:rPr>
      </w:pPr>
    </w:p>
    <w:p w14:paraId="3263C98E">
      <w:pPr>
        <w:ind w:firstLine="1200" w:firstLineChars="400"/>
        <w:rPr>
          <w:rFonts w:hint="eastAsia" w:ascii="仿宋" w:hAnsi="仿宋" w:eastAsia="仿宋"/>
          <w:sz w:val="30"/>
          <w:szCs w:val="30"/>
        </w:rPr>
      </w:pPr>
      <w:r>
        <w:rPr>
          <w:rFonts w:hint="eastAsia" w:ascii="仿宋" w:hAnsi="仿宋" w:eastAsia="仿宋"/>
          <w:sz w:val="30"/>
          <w:szCs w:val="30"/>
        </w:rPr>
        <w:t>论文题目：</w:t>
      </w:r>
      <w:r>
        <w:rPr>
          <w:rFonts w:hint="eastAsia" w:ascii="仿宋" w:hAnsi="仿宋" w:eastAsia="仿宋"/>
          <w:sz w:val="30"/>
          <w:szCs w:val="30"/>
          <w:u w:val="single"/>
        </w:rPr>
        <w:t xml:space="preserve">基于单视角图像的草莓3D位姿和尺寸估计                      </w:t>
      </w:r>
      <w:r>
        <w:rPr>
          <w:rFonts w:ascii="仿宋" w:hAnsi="仿宋" w:eastAsia="仿宋"/>
          <w:sz w:val="30"/>
          <w:szCs w:val="30"/>
          <w:u w:val="single"/>
        </w:rPr>
        <w:t xml:space="preserve">  </w:t>
      </w:r>
      <w:r>
        <w:rPr>
          <w:rFonts w:hint="eastAsia" w:ascii="仿宋" w:hAnsi="仿宋" w:eastAsia="仿宋"/>
          <w:sz w:val="30"/>
          <w:szCs w:val="30"/>
        </w:rPr>
        <w:t xml:space="preserve"> </w:t>
      </w:r>
      <w:r>
        <w:rPr>
          <w:rFonts w:ascii="仿宋" w:hAnsi="仿宋" w:eastAsia="仿宋"/>
          <w:sz w:val="30"/>
          <w:szCs w:val="30"/>
        </w:rPr>
        <w:t xml:space="preserve"> </w:t>
      </w:r>
    </w:p>
    <w:p w14:paraId="39380FCC">
      <w:pPr>
        <w:ind w:firstLine="1200" w:firstLineChars="400"/>
        <w:rPr>
          <w:rFonts w:hint="eastAsia" w:ascii="仿宋" w:hAnsi="仿宋" w:eastAsia="仿宋"/>
          <w:sz w:val="30"/>
          <w:szCs w:val="30"/>
          <w:u w:val="single"/>
        </w:rPr>
      </w:pPr>
      <w:r>
        <w:rPr>
          <w:rFonts w:hint="eastAsia" w:ascii="仿宋" w:hAnsi="仿宋" w:eastAsia="仿宋"/>
          <w:sz w:val="30"/>
          <w:szCs w:val="30"/>
        </w:rPr>
        <w:t>学生姓名：</w:t>
      </w:r>
      <w:r>
        <w:rPr>
          <w:rFonts w:hint="eastAsia" w:ascii="仿宋" w:hAnsi="仿宋" w:eastAsia="仿宋"/>
          <w:sz w:val="30"/>
          <w:szCs w:val="30"/>
          <w:u w:val="single"/>
          <w:lang w:val="en-US" w:eastAsia="zh-CN"/>
        </w:rPr>
        <w:t>陈斌斌</w:t>
      </w:r>
      <w:r>
        <w:rPr>
          <w:rFonts w:hint="eastAsia" w:ascii="仿宋" w:hAnsi="仿宋" w:eastAsia="仿宋"/>
          <w:sz w:val="30"/>
          <w:szCs w:val="30"/>
          <w:u w:val="single"/>
        </w:rPr>
        <w:t xml:space="preserve">        </w:t>
      </w:r>
      <w:r>
        <w:rPr>
          <w:rFonts w:ascii="仿宋" w:hAnsi="仿宋" w:eastAsia="仿宋"/>
          <w:sz w:val="30"/>
          <w:szCs w:val="30"/>
          <w:u w:val="single"/>
        </w:rPr>
        <w:t xml:space="preserve">           </w:t>
      </w:r>
    </w:p>
    <w:p w14:paraId="36C2DC54">
      <w:pPr>
        <w:ind w:firstLine="1200" w:firstLineChars="400"/>
        <w:rPr>
          <w:rFonts w:hint="eastAsia" w:ascii="仿宋" w:hAnsi="仿宋" w:eastAsia="仿宋"/>
          <w:sz w:val="30"/>
          <w:szCs w:val="30"/>
          <w:u w:val="single"/>
        </w:rPr>
      </w:pPr>
      <w:r>
        <w:rPr>
          <w:rFonts w:hint="eastAsia" w:ascii="仿宋" w:hAnsi="仿宋" w:eastAsia="仿宋"/>
          <w:sz w:val="30"/>
          <w:szCs w:val="30"/>
        </w:rPr>
        <w:t xml:space="preserve">学 </w:t>
      </w:r>
      <w:r>
        <w:rPr>
          <w:rFonts w:ascii="仿宋" w:hAnsi="仿宋" w:eastAsia="仿宋"/>
          <w:sz w:val="30"/>
          <w:szCs w:val="30"/>
        </w:rPr>
        <w:t xml:space="preserve">   </w:t>
      </w:r>
      <w:r>
        <w:rPr>
          <w:rFonts w:hint="eastAsia" w:ascii="仿宋" w:hAnsi="仿宋" w:eastAsia="仿宋"/>
          <w:sz w:val="30"/>
          <w:szCs w:val="30"/>
        </w:rPr>
        <w:t>号:</w:t>
      </w:r>
      <w:r>
        <w:rPr>
          <w:rFonts w:ascii="仿宋" w:hAnsi="仿宋" w:eastAsia="仿宋"/>
          <w:sz w:val="30"/>
          <w:szCs w:val="30"/>
        </w:rPr>
        <w:t xml:space="preserve"> </w:t>
      </w:r>
      <w:r>
        <w:rPr>
          <w:rFonts w:ascii="仿宋" w:hAnsi="仿宋" w:eastAsia="仿宋"/>
          <w:sz w:val="30"/>
          <w:szCs w:val="30"/>
          <w:u w:val="single"/>
        </w:rPr>
        <w:t xml:space="preserve"> </w:t>
      </w:r>
      <w:r>
        <w:rPr>
          <w:rFonts w:hint="eastAsia" w:ascii="仿宋" w:hAnsi="仿宋" w:eastAsia="仿宋"/>
          <w:sz w:val="30"/>
          <w:szCs w:val="30"/>
          <w:u w:val="single"/>
          <w:lang w:val="en-US" w:eastAsia="zh-CN"/>
        </w:rPr>
        <w:t>2022308250212</w:t>
      </w:r>
      <w:r>
        <w:rPr>
          <w:rFonts w:hint="eastAsia" w:ascii="仿宋" w:hAnsi="仿宋" w:eastAsia="仿宋"/>
          <w:sz w:val="30"/>
          <w:szCs w:val="30"/>
          <w:u w:val="single"/>
        </w:rPr>
        <w:t xml:space="preserve">  </w:t>
      </w:r>
      <w:r>
        <w:rPr>
          <w:rFonts w:ascii="仿宋" w:hAnsi="仿宋" w:eastAsia="仿宋"/>
          <w:sz w:val="30"/>
          <w:szCs w:val="30"/>
          <w:u w:val="single"/>
        </w:rPr>
        <w:t xml:space="preserve">  </w:t>
      </w:r>
      <w:r>
        <w:rPr>
          <w:rFonts w:hint="eastAsia" w:ascii="仿宋" w:hAnsi="仿宋" w:eastAsia="仿宋"/>
          <w:sz w:val="30"/>
          <w:szCs w:val="30"/>
          <w:u w:val="single"/>
        </w:rPr>
        <w:t xml:space="preserve">       </w:t>
      </w:r>
    </w:p>
    <w:p w14:paraId="6C8B4679">
      <w:pPr>
        <w:ind w:firstLine="1200" w:firstLineChars="400"/>
        <w:rPr>
          <w:rFonts w:hint="eastAsia" w:ascii="仿宋" w:hAnsi="仿宋" w:eastAsia="仿宋"/>
          <w:sz w:val="30"/>
          <w:szCs w:val="30"/>
        </w:rPr>
      </w:pPr>
      <w:r>
        <w:rPr>
          <w:rFonts w:hint="eastAsia" w:ascii="仿宋" w:hAnsi="仿宋" w:eastAsia="仿宋"/>
          <w:sz w:val="30"/>
          <w:szCs w:val="30"/>
        </w:rPr>
        <w:t>导师姓名：</w:t>
      </w:r>
      <w:r>
        <w:rPr>
          <w:rFonts w:hint="eastAsia" w:ascii="仿宋" w:hAnsi="仿宋" w:eastAsia="仿宋"/>
          <w:sz w:val="30"/>
          <w:szCs w:val="30"/>
          <w:u w:val="single"/>
        </w:rPr>
        <w:t xml:space="preserve"> </w:t>
      </w:r>
      <w:r>
        <w:rPr>
          <w:rFonts w:ascii="仿宋" w:hAnsi="仿宋" w:eastAsia="仿宋"/>
          <w:sz w:val="30"/>
          <w:szCs w:val="30"/>
          <w:u w:val="single"/>
        </w:rPr>
        <w:t xml:space="preserve"> </w:t>
      </w:r>
      <w:r>
        <w:rPr>
          <w:rFonts w:hint="eastAsia" w:ascii="仿宋" w:hAnsi="仿宋" w:eastAsia="仿宋"/>
          <w:sz w:val="30"/>
          <w:szCs w:val="30"/>
          <w:u w:val="single"/>
          <w:lang w:val="en-US" w:eastAsia="zh-CN"/>
        </w:rPr>
        <w:t>王晨</w:t>
      </w:r>
      <w:r>
        <w:rPr>
          <w:rFonts w:ascii="仿宋" w:hAnsi="仿宋" w:eastAsia="仿宋"/>
          <w:sz w:val="30"/>
          <w:szCs w:val="30"/>
          <w:u w:val="single"/>
        </w:rPr>
        <w:t xml:space="preserve"> </w:t>
      </w:r>
      <w:r>
        <w:rPr>
          <w:rFonts w:hint="eastAsia" w:ascii="仿宋" w:hAnsi="仿宋" w:eastAsia="仿宋"/>
          <w:sz w:val="30"/>
          <w:szCs w:val="30"/>
          <w:u w:val="single"/>
        </w:rPr>
        <w:t xml:space="preserve">          </w:t>
      </w:r>
      <w:r>
        <w:rPr>
          <w:rFonts w:ascii="仿宋" w:hAnsi="仿宋" w:eastAsia="仿宋"/>
          <w:sz w:val="30"/>
          <w:szCs w:val="30"/>
          <w:u w:val="single"/>
        </w:rPr>
        <w:t xml:space="preserve">           </w:t>
      </w:r>
      <w:r>
        <w:rPr>
          <w:rFonts w:hint="eastAsia" w:ascii="仿宋" w:hAnsi="仿宋" w:eastAsia="仿宋"/>
          <w:sz w:val="30"/>
          <w:szCs w:val="30"/>
        </w:rPr>
        <w:t xml:space="preserve"> </w:t>
      </w:r>
      <w:r>
        <w:rPr>
          <w:rFonts w:ascii="仿宋" w:hAnsi="仿宋" w:eastAsia="仿宋"/>
          <w:sz w:val="30"/>
          <w:szCs w:val="30"/>
        </w:rPr>
        <w:t xml:space="preserve">                            </w:t>
      </w:r>
    </w:p>
    <w:p w14:paraId="361B867F">
      <w:pPr>
        <w:ind w:firstLine="1200" w:firstLineChars="400"/>
        <w:rPr>
          <w:rFonts w:hint="eastAsia" w:ascii="仿宋" w:hAnsi="仿宋" w:eastAsia="仿宋"/>
          <w:sz w:val="30"/>
          <w:szCs w:val="30"/>
          <w:u w:val="single"/>
        </w:rPr>
      </w:pPr>
      <w:r>
        <w:rPr>
          <w:rFonts w:hint="eastAsia" w:ascii="仿宋" w:hAnsi="仿宋" w:eastAsia="仿宋"/>
          <w:sz w:val="30"/>
          <w:szCs w:val="30"/>
        </w:rPr>
        <w:t xml:space="preserve">日 </w:t>
      </w:r>
      <w:r>
        <w:rPr>
          <w:rFonts w:ascii="仿宋" w:hAnsi="仿宋" w:eastAsia="仿宋"/>
          <w:sz w:val="30"/>
          <w:szCs w:val="30"/>
        </w:rPr>
        <w:t xml:space="preserve">   </w:t>
      </w:r>
      <w:r>
        <w:rPr>
          <w:rFonts w:hint="eastAsia" w:ascii="仿宋" w:hAnsi="仿宋" w:eastAsia="仿宋"/>
          <w:sz w:val="30"/>
          <w:szCs w:val="30"/>
        </w:rPr>
        <w:t>期：</w:t>
      </w:r>
      <w:r>
        <w:rPr>
          <w:rFonts w:hint="eastAsia" w:ascii="仿宋" w:hAnsi="仿宋" w:eastAsia="仿宋"/>
          <w:sz w:val="30"/>
          <w:szCs w:val="30"/>
          <w:u w:val="single"/>
        </w:rPr>
        <w:t xml:space="preserve"> </w:t>
      </w:r>
      <w:r>
        <w:rPr>
          <w:rFonts w:hint="eastAsia" w:ascii="仿宋" w:hAnsi="仿宋" w:eastAsia="仿宋"/>
          <w:sz w:val="30"/>
          <w:szCs w:val="30"/>
          <w:u w:val="single"/>
          <w:lang w:val="en-US" w:eastAsia="zh-CN"/>
        </w:rPr>
        <w:t>2026/4/2</w:t>
      </w:r>
      <w:r>
        <w:rPr>
          <w:rFonts w:ascii="仿宋" w:hAnsi="仿宋" w:eastAsia="仿宋"/>
          <w:sz w:val="30"/>
          <w:szCs w:val="30"/>
          <w:u w:val="single"/>
        </w:rPr>
        <w:t xml:space="preserve"> </w:t>
      </w:r>
      <w:r>
        <w:rPr>
          <w:rFonts w:hint="eastAsia" w:ascii="仿宋" w:hAnsi="仿宋" w:eastAsia="仿宋"/>
          <w:sz w:val="30"/>
          <w:szCs w:val="30"/>
          <w:u w:val="single"/>
        </w:rPr>
        <w:t xml:space="preserve">    </w:t>
      </w:r>
      <w:r>
        <w:rPr>
          <w:rFonts w:ascii="仿宋" w:hAnsi="仿宋" w:eastAsia="仿宋"/>
          <w:sz w:val="30"/>
          <w:szCs w:val="30"/>
          <w:u w:val="single"/>
        </w:rPr>
        <w:t xml:space="preserve"> </w:t>
      </w:r>
      <w:r>
        <w:rPr>
          <w:rFonts w:hint="eastAsia" w:ascii="仿宋" w:hAnsi="仿宋" w:eastAsia="仿宋"/>
          <w:sz w:val="30"/>
          <w:szCs w:val="30"/>
          <w:u w:val="single"/>
        </w:rPr>
        <w:t xml:space="preserve">        </w:t>
      </w:r>
      <w:r>
        <w:rPr>
          <w:rFonts w:ascii="仿宋" w:hAnsi="仿宋" w:eastAsia="仿宋"/>
          <w:sz w:val="30"/>
          <w:szCs w:val="30"/>
          <w:u w:val="single"/>
        </w:rPr>
        <w:t xml:space="preserve">    </w:t>
      </w:r>
      <w:r>
        <w:rPr>
          <w:rFonts w:hint="eastAsia" w:ascii="仿宋" w:hAnsi="仿宋" w:eastAsia="仿宋"/>
          <w:sz w:val="30"/>
          <w:szCs w:val="30"/>
          <w:u w:val="single"/>
        </w:rPr>
        <w:t xml:space="preserve"> </w:t>
      </w:r>
      <w:r>
        <w:rPr>
          <w:rFonts w:ascii="仿宋" w:hAnsi="仿宋" w:eastAsia="仿宋"/>
          <w:sz w:val="30"/>
          <w:szCs w:val="30"/>
          <w:u w:val="single"/>
        </w:rPr>
        <w:t xml:space="preserve">     </w:t>
      </w:r>
    </w:p>
    <w:p w14:paraId="59037766">
      <w:pPr>
        <w:ind w:firstLine="1200" w:firstLineChars="400"/>
        <w:rPr>
          <w:rFonts w:hint="eastAsia" w:ascii="仿宋" w:hAnsi="仿宋" w:eastAsia="仿宋"/>
          <w:sz w:val="30"/>
          <w:szCs w:val="30"/>
          <w:u w:val="single"/>
        </w:rPr>
      </w:pPr>
    </w:p>
    <w:p w14:paraId="750865E8">
      <w:pPr>
        <w:ind w:firstLine="1200" w:firstLineChars="400"/>
        <w:rPr>
          <w:rFonts w:hint="eastAsia" w:ascii="仿宋" w:hAnsi="仿宋" w:eastAsia="仿宋"/>
          <w:sz w:val="30"/>
          <w:szCs w:val="30"/>
          <w:u w:val="single"/>
        </w:rPr>
      </w:pPr>
    </w:p>
    <w:p w14:paraId="5E3A7E06">
      <w:pPr>
        <w:ind w:firstLine="1200" w:firstLineChars="400"/>
        <w:rPr>
          <w:rFonts w:hint="eastAsia" w:ascii="仿宋" w:hAnsi="仿宋" w:eastAsia="仿宋"/>
          <w:sz w:val="30"/>
          <w:szCs w:val="30"/>
          <w:u w:val="single"/>
        </w:rPr>
      </w:pPr>
    </w:p>
    <w:p w14:paraId="0501990E">
      <w:pPr>
        <w:ind w:firstLine="1200" w:firstLineChars="400"/>
        <w:rPr>
          <w:rFonts w:hint="eastAsia" w:ascii="仿宋" w:hAnsi="仿宋" w:eastAsia="仿宋"/>
          <w:sz w:val="30"/>
          <w:szCs w:val="30"/>
          <w:u w:val="single"/>
        </w:rPr>
      </w:pPr>
    </w:p>
    <w:p w14:paraId="29595EA4">
      <w:pPr>
        <w:ind w:firstLine="1200" w:firstLineChars="400"/>
        <w:rPr>
          <w:rFonts w:hint="eastAsia" w:ascii="仿宋" w:hAnsi="仿宋" w:eastAsia="仿宋"/>
          <w:sz w:val="30"/>
          <w:szCs w:val="30"/>
          <w:u w:val="single"/>
        </w:rPr>
      </w:pPr>
    </w:p>
    <w:p w14:paraId="64908807">
      <w:pPr>
        <w:rPr>
          <w:rFonts w:hint="eastAsia" w:ascii="仿宋" w:hAnsi="仿宋" w:eastAsia="仿宋"/>
          <w:sz w:val="30"/>
          <w:szCs w:val="30"/>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500D1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53" w:hRule="atLeast"/>
          <w:jc w:val="center"/>
        </w:trPr>
        <w:tc>
          <w:tcPr>
            <w:tcW w:w="8296" w:type="dxa"/>
          </w:tcPr>
          <w:p w14:paraId="17BF5534">
            <w:pPr>
              <w:rPr>
                <w:rFonts w:ascii="仿宋" w:hAnsi="仿宋" w:eastAsia="仿宋"/>
                <w:color w:val="auto"/>
                <w:sz w:val="30"/>
                <w:szCs w:val="30"/>
              </w:rPr>
            </w:pPr>
            <w:r>
              <w:rPr>
                <w:rFonts w:hint="eastAsia" w:ascii="仿宋" w:hAnsi="仿宋" w:eastAsia="仿宋"/>
                <w:color w:val="auto"/>
                <w:sz w:val="30"/>
                <w:szCs w:val="30"/>
              </w:rPr>
              <w:t>一</w:t>
            </w:r>
            <w:r>
              <w:rPr>
                <w:rFonts w:ascii="仿宋" w:hAnsi="仿宋" w:eastAsia="仿宋"/>
                <w:color w:val="auto"/>
                <w:sz w:val="30"/>
                <w:szCs w:val="30"/>
              </w:rPr>
              <w:t xml:space="preserve"> 、研究内容：</w:t>
            </w:r>
          </w:p>
          <w:p w14:paraId="1BD4B348">
            <w:pPr>
              <w:ind w:left="0" w:leftChars="0" w:firstLine="0" w:firstLineChars="0"/>
              <w:rPr>
                <w:rFonts w:hint="eastAsia" w:ascii="仿宋" w:hAnsi="仿宋" w:eastAsia="仿宋"/>
                <w:color w:val="auto"/>
                <w:sz w:val="30"/>
                <w:szCs w:val="30"/>
              </w:rPr>
            </w:pPr>
            <w:r>
              <w:rPr>
                <w:rFonts w:hint="eastAsia" w:eastAsia="宋体"/>
                <w:b/>
                <w:bCs/>
                <w:color w:val="auto"/>
                <w:sz w:val="28"/>
                <w:szCs w:val="28"/>
                <w:lang w:eastAsia="zh-CN"/>
              </w:rPr>
              <w:drawing>
                <wp:inline distT="0" distB="0" distL="114300" distR="114300">
                  <wp:extent cx="5125085" cy="3479165"/>
                  <wp:effectExtent l="0" t="0" r="5715" b="635"/>
                  <wp:docPr id="2" name="图片 2" descr="模型设计细节与编码原理图_学术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模型设计细节与编码原理图_学术版.drawio"/>
                          <pic:cNvPicPr>
                            <a:picLocks noChangeAspect="1"/>
                          </pic:cNvPicPr>
                        </pic:nvPicPr>
                        <pic:blipFill>
                          <a:blip r:embed="rId6"/>
                          <a:stretch>
                            <a:fillRect/>
                          </a:stretch>
                        </pic:blipFill>
                        <pic:spPr>
                          <a:xfrm>
                            <a:off x="0" y="0"/>
                            <a:ext cx="5125085" cy="3479165"/>
                          </a:xfrm>
                          <a:prstGeom prst="rect">
                            <a:avLst/>
                          </a:prstGeom>
                        </pic:spPr>
                      </pic:pic>
                    </a:graphicData>
                  </a:graphic>
                </wp:inline>
              </w:drawing>
            </w:r>
          </w:p>
          <w:p w14:paraId="4345773C">
            <w:pPr>
              <w:bidi w:val="0"/>
              <w:jc w:val="center"/>
              <w:rPr>
                <w:rFonts w:hint="default" w:eastAsia="宋体"/>
                <w:color w:val="auto"/>
                <w:sz w:val="21"/>
                <w:szCs w:val="21"/>
                <w:lang w:val="en-US" w:eastAsia="zh-CN"/>
              </w:rPr>
            </w:pPr>
            <w:r>
              <w:rPr>
                <w:rFonts w:hint="eastAsia"/>
                <w:color w:val="auto"/>
                <w:sz w:val="21"/>
                <w:szCs w:val="21"/>
                <w:lang w:val="en-US" w:eastAsia="zh-CN"/>
              </w:rPr>
              <w:t>图1 项目架构</w:t>
            </w:r>
          </w:p>
          <w:p w14:paraId="614202D3">
            <w:pPr>
              <w:bidi w:val="0"/>
              <w:rPr>
                <w:color w:val="auto"/>
              </w:rPr>
            </w:pPr>
            <w:r>
              <w:rPr>
                <w:rFonts w:hint="eastAsia"/>
                <w:color w:val="auto"/>
              </w:rPr>
              <w:t>本课题旨在攻克非结构化农业环境下草莓三维感知精度低、鲁棒性差的难题。通过深度学习与计算几何的深度融合，本阶段重点开展了以下五个核心维度的研究工作：</w:t>
            </w:r>
          </w:p>
          <w:p w14:paraId="56C0D8C7">
            <w:pPr>
              <w:bidi w:val="0"/>
              <w:rPr>
                <w:b/>
                <w:bCs/>
                <w:color w:val="auto"/>
                <w:sz w:val="28"/>
                <w:szCs w:val="28"/>
              </w:rPr>
            </w:pPr>
            <w:bookmarkStart w:id="0" w:name="基于单阶段网格回归的端到端感知架构研究"/>
            <w:r>
              <w:rPr>
                <w:b/>
                <w:bCs/>
                <w:color w:val="auto"/>
                <w:sz w:val="28"/>
                <w:szCs w:val="28"/>
              </w:rPr>
              <w:t xml:space="preserve">1. </w:t>
            </w:r>
            <w:r>
              <w:rPr>
                <w:rFonts w:hint="eastAsia"/>
                <w:b/>
                <w:bCs/>
                <w:color w:val="auto"/>
                <w:sz w:val="28"/>
                <w:szCs w:val="28"/>
              </w:rPr>
              <w:t>基于单阶段网格回归的端到端感知架构研究</w:t>
            </w:r>
          </w:p>
          <w:p w14:paraId="444C8276">
            <w:pPr>
              <w:numPr>
                <w:ilvl w:val="0"/>
                <w:numId w:val="0"/>
              </w:numPr>
              <w:bidi w:val="0"/>
              <w:ind w:leftChars="0" w:right="0" w:rightChars="0" w:firstLine="480" w:firstLineChars="200"/>
              <w:rPr>
                <w:color w:val="auto"/>
              </w:rPr>
            </w:pPr>
            <w:r>
              <w:rPr>
                <w:rFonts w:hint="eastAsia"/>
                <w:color w:val="auto"/>
              </w:rPr>
              <w:t>针对传统双阶段（Two-stage）目标检测算法（如</w:t>
            </w:r>
            <w:r>
              <w:rPr>
                <w:color w:val="auto"/>
              </w:rPr>
              <w:t xml:space="preserve"> Faster R-CNN </w:t>
            </w:r>
            <w:r>
              <w:rPr>
                <w:rFonts w:hint="eastAsia"/>
                <w:color w:val="auto"/>
              </w:rPr>
              <w:t>或</w:t>
            </w:r>
            <w:r>
              <w:rPr>
                <w:color w:val="auto"/>
              </w:rPr>
              <w:t xml:space="preserve"> Mask </w:t>
            </w:r>
            <w:r>
              <w:rPr>
                <w:rFonts w:hint="eastAsia"/>
                <w:color w:val="auto"/>
              </w:rPr>
              <w:t>R-CNN）在采摘机器人嵌入式端运行速度慢、区域提议冗余度高的问题，本研究提出并实现了一种单阶段空间网格回归架构</w:t>
            </w:r>
            <w:r>
              <w:rPr>
                <w:color w:val="auto"/>
              </w:rPr>
              <w:t xml:space="preserve">。 </w:t>
            </w:r>
          </w:p>
          <w:p w14:paraId="146ADA68">
            <w:pPr>
              <w:bidi w:val="0"/>
              <w:rPr>
                <w:color w:val="auto"/>
              </w:rPr>
            </w:pPr>
            <w:r>
              <w:rPr>
                <w:rFonts w:hint="eastAsia"/>
                <w:color w:val="auto"/>
              </w:rPr>
              <w:t>空间划分逻辑：系统将</w:t>
            </w:r>
            <w:r>
              <w:rPr>
                <w:color w:val="auto"/>
              </w:rPr>
              <w:t xml:space="preserve"> </w:t>
            </w:r>
            <m:oMath>
              <m:r>
                <m:rPr>
                  <m:sty m:val="p"/>
                </m:rPr>
                <w:rPr>
                  <w:rFonts w:ascii="Times New Roman" w:hAnsi="Times New Roman"/>
                  <w:color w:val="auto"/>
                </w:rPr>
                <m:t>800×600</m:t>
              </m:r>
            </m:oMath>
            <w:r>
              <w:rPr>
                <w:color w:val="auto"/>
              </w:rPr>
              <w:t xml:space="preserve"> </w:t>
            </w:r>
            <w:r>
              <w:rPr>
                <w:rFonts w:hint="eastAsia"/>
                <w:color w:val="auto"/>
              </w:rPr>
              <w:t>分辨率的单目</w:t>
            </w:r>
            <w:r>
              <w:rPr>
                <w:color w:val="auto"/>
              </w:rPr>
              <w:t xml:space="preserve"> RGB </w:t>
            </w:r>
            <w:r>
              <w:rPr>
                <w:rFonts w:hint="eastAsia"/>
                <w:color w:val="auto"/>
              </w:rPr>
              <w:t>图像作为输入，通过连续</w:t>
            </w:r>
            <w:r>
              <w:rPr>
                <w:color w:val="auto"/>
              </w:rPr>
              <w:t xml:space="preserve"> 5 </w:t>
            </w:r>
            <w:r>
              <w:rPr>
                <w:rFonts w:hint="eastAsia"/>
                <w:color w:val="auto"/>
              </w:rPr>
              <w:t>组步长为</w:t>
            </w:r>
            <w:r>
              <w:rPr>
                <w:color w:val="auto"/>
              </w:rPr>
              <w:t xml:space="preserve"> 2 </w:t>
            </w:r>
            <w:r>
              <w:rPr>
                <w:rFonts w:hint="eastAsia"/>
                <w:color w:val="auto"/>
              </w:rPr>
              <w:t>的卷积与下采样算子，将原始图像特征映射至</w:t>
            </w:r>
            <w:r>
              <w:rPr>
                <w:color w:val="auto"/>
              </w:rPr>
              <w:t xml:space="preserve"> </w:t>
            </w:r>
            <m:oMath>
              <m:r>
                <m:rPr>
                  <m:sty m:val="p"/>
                </m:rPr>
                <w:rPr>
                  <w:rFonts w:ascii="Times New Roman" w:hAnsi="Times New Roman"/>
                  <w:color w:val="auto"/>
                </w:rPr>
                <m:t>18×25</m:t>
              </m:r>
            </m:oMath>
            <w:r>
              <w:rPr>
                <w:color w:val="auto"/>
              </w:rPr>
              <w:t xml:space="preserve"> </w:t>
            </w:r>
            <w:r>
              <w:rPr>
                <w:rFonts w:hint="eastAsia"/>
                <w:color w:val="auto"/>
              </w:rPr>
              <w:t>的低分辨率高维特征网格。</w:t>
            </w:r>
            <w:r>
              <w:rPr>
                <w:color w:val="auto"/>
              </w:rPr>
              <w:t xml:space="preserve"> </w:t>
            </w:r>
          </w:p>
          <w:p w14:paraId="579A5ED4">
            <w:pPr>
              <w:bidi w:val="0"/>
              <w:rPr>
                <w:color w:val="auto"/>
              </w:rPr>
            </w:pPr>
            <w:r>
              <w:rPr>
                <w:rFonts w:hint="eastAsia"/>
                <w:color w:val="auto"/>
              </w:rPr>
              <w:t>回归机制：不同于传统的边界框（Bounding</w:t>
            </w:r>
            <w:r>
              <w:rPr>
                <w:color w:val="auto"/>
              </w:rPr>
              <w:t xml:space="preserve"> </w:t>
            </w:r>
            <w:r>
              <w:rPr>
                <w:rFonts w:hint="eastAsia"/>
                <w:color w:val="auto"/>
              </w:rPr>
              <w:t>Box）预测，本架构要求每个网格单元（Grid</w:t>
            </w:r>
            <w:r>
              <w:rPr>
                <w:color w:val="auto"/>
              </w:rPr>
              <w:t xml:space="preserve"> </w:t>
            </w:r>
            <w:r>
              <w:rPr>
                <w:rFonts w:hint="eastAsia"/>
                <w:color w:val="auto"/>
              </w:rPr>
              <w:t>Cell）直接负责其覆盖区域内目标的</w:t>
            </w:r>
            <w:r>
              <w:rPr>
                <w:color w:val="auto"/>
              </w:rPr>
              <w:t xml:space="preserve"> 6D </w:t>
            </w:r>
            <w:r>
              <w:rPr>
                <w:rFonts w:hint="eastAsia"/>
                <w:color w:val="auto"/>
              </w:rPr>
              <w:t>位姿回归。这种“预测即检测”的模式去除了复杂的非极大值抑制（NMS）在某些阶段的冗余开销，在确保厘米级位姿精度的前提下，极大地提升了系统在移动终端的推理实时性。</w:t>
            </w:r>
          </w:p>
          <w:bookmarkEnd w:id="0"/>
          <w:p w14:paraId="2EADB5CC">
            <w:pPr>
              <w:numPr>
                <w:ilvl w:val="0"/>
                <w:numId w:val="1"/>
              </w:numPr>
              <w:bidi w:val="0"/>
              <w:rPr>
                <w:rFonts w:hint="eastAsia"/>
                <w:b/>
                <w:bCs/>
                <w:color w:val="auto"/>
                <w:sz w:val="28"/>
                <w:szCs w:val="28"/>
              </w:rPr>
            </w:pPr>
            <w:bookmarkStart w:id="1" w:name="cnn-与-transformer-联合驱动的全局语义增强机制"/>
            <w:r>
              <w:rPr>
                <w:b/>
                <w:bCs/>
                <w:color w:val="auto"/>
                <w:sz w:val="28"/>
                <w:szCs w:val="28"/>
              </w:rPr>
              <w:t xml:space="preserve">CNN </w:t>
            </w:r>
            <w:r>
              <w:rPr>
                <w:rFonts w:hint="eastAsia"/>
                <w:b/>
                <w:bCs/>
                <w:color w:val="auto"/>
                <w:sz w:val="28"/>
                <w:szCs w:val="28"/>
              </w:rPr>
              <w:t>与</w:t>
            </w:r>
            <w:r>
              <w:rPr>
                <w:b/>
                <w:bCs/>
                <w:color w:val="auto"/>
                <w:sz w:val="28"/>
                <w:szCs w:val="28"/>
              </w:rPr>
              <w:t xml:space="preserve"> Transformer </w:t>
            </w:r>
            <w:r>
              <w:rPr>
                <w:rFonts w:hint="eastAsia"/>
                <w:b/>
                <w:bCs/>
                <w:color w:val="auto"/>
                <w:sz w:val="28"/>
                <w:szCs w:val="28"/>
              </w:rPr>
              <w:t>联合驱动的全局语义增强机制</w:t>
            </w:r>
          </w:p>
          <w:p w14:paraId="54EA5E67">
            <w:pPr>
              <w:keepNext w:val="0"/>
              <w:keepLines w:val="0"/>
              <w:pageBreakBefore w:val="0"/>
              <w:widowControl/>
              <w:numPr>
                <w:numId w:val="0"/>
              </w:numPr>
              <w:suppressLineNumbers w:val="0"/>
              <w:kinsoku/>
              <w:wordWrap/>
              <w:overflowPunct/>
              <w:topLinePunct w:val="0"/>
              <w:autoSpaceDE/>
              <w:autoSpaceDN/>
              <w:bidi w:val="0"/>
              <w:adjustRightInd/>
              <w:snapToGrid w:val="0"/>
              <w:spacing w:before="0" w:beforeAutospacing="0" w:after="0" w:afterAutospacing="0" w:line="360" w:lineRule="auto"/>
              <w:ind w:right="0" w:rightChars="0"/>
              <w:jc w:val="left"/>
              <w:textAlignment w:val="auto"/>
              <w:rPr>
                <w:rFonts w:hint="eastAsia" w:eastAsia="宋体"/>
                <w:b/>
                <w:bCs/>
                <w:color w:val="auto"/>
                <w:sz w:val="28"/>
                <w:szCs w:val="28"/>
                <w:lang w:eastAsia="zh-CN"/>
              </w:rPr>
            </w:pPr>
          </w:p>
          <w:p w14:paraId="54205FB2">
            <w:pPr>
              <w:bidi w:val="0"/>
              <w:rPr>
                <w:color w:val="auto"/>
              </w:rPr>
            </w:pPr>
            <w:r>
              <w:rPr>
                <w:rFonts w:hint="eastAsia"/>
                <w:color w:val="auto"/>
              </w:rPr>
              <w:t>果园环境中的草莓常呈现密集群聚状态，相互遮挡率高。为解决局部特征缺失导致的位姿预测失效，本研究构建了混合特征提取网络：</w:t>
            </w:r>
            <w:r>
              <w:rPr>
                <w:color w:val="auto"/>
              </w:rPr>
              <w:t xml:space="preserve"> </w:t>
            </w:r>
          </w:p>
          <w:p w14:paraId="2B11BFB6">
            <w:pPr>
              <w:bidi w:val="0"/>
              <w:rPr>
                <w:color w:val="auto"/>
              </w:rPr>
            </w:pPr>
            <w:r>
              <w:rPr>
                <w:rFonts w:hint="eastAsia"/>
                <w:color w:val="auto"/>
              </w:rPr>
              <w:t>局部特征捕获</w:t>
            </w:r>
            <w:r>
              <w:rPr>
                <w:color w:val="auto"/>
              </w:rPr>
              <w:t xml:space="preserve"> (Backbone)</w:t>
            </w:r>
            <w:r>
              <w:rPr>
                <w:rFonts w:hint="eastAsia"/>
                <w:color w:val="auto"/>
              </w:rPr>
              <w:t>：采用改进型</w:t>
            </w:r>
            <w:r>
              <w:rPr>
                <w:color w:val="auto"/>
              </w:rPr>
              <w:t xml:space="preserve"> Darknet-19 </w:t>
            </w:r>
            <w:r>
              <w:rPr>
                <w:rFonts w:hint="eastAsia"/>
                <w:color w:val="auto"/>
              </w:rPr>
              <w:t>架构，利用其精简的残差连接和高效的特征浓缩能力，提取草莓目标的颜色、纹理、边缘等细粒度特征。</w:t>
            </w:r>
            <w:r>
              <w:rPr>
                <w:color w:val="auto"/>
              </w:rPr>
              <w:t xml:space="preserve"> </w:t>
            </w:r>
          </w:p>
          <w:p w14:paraId="4B8E8D60">
            <w:pPr>
              <w:bidi w:val="0"/>
              <w:rPr>
                <w:color w:val="auto"/>
              </w:rPr>
            </w:pPr>
            <w:r>
              <w:rPr>
                <w:rFonts w:hint="eastAsia"/>
                <w:color w:val="auto"/>
              </w:rPr>
              <w:t>全局上下文关联</w:t>
            </w:r>
            <w:r>
              <w:rPr>
                <w:color w:val="auto"/>
              </w:rPr>
              <w:t xml:space="preserve"> (Neck)</w:t>
            </w:r>
            <w:r>
              <w:rPr>
                <w:rFonts w:hint="eastAsia"/>
                <w:color w:val="auto"/>
              </w:rPr>
              <w:t>：在特征图末端创新性地植入了轻量化</w:t>
            </w:r>
            <w:r>
              <w:rPr>
                <w:color w:val="auto"/>
              </w:rPr>
              <w:t xml:space="preserve"> Transformer Encoder </w:t>
            </w:r>
            <w:r>
              <w:rPr>
                <w:rFonts w:hint="eastAsia"/>
                <w:color w:val="auto"/>
              </w:rPr>
              <w:t>模块。该模块包含</w:t>
            </w:r>
            <w:r>
              <w:rPr>
                <w:color w:val="auto"/>
              </w:rPr>
              <w:t xml:space="preserve"> 8 </w:t>
            </w:r>
            <w:r>
              <w:rPr>
                <w:rFonts w:hint="eastAsia"/>
                <w:color w:val="auto"/>
              </w:rPr>
              <w:t>个并行的自注意力头（Self-Attention</w:t>
            </w:r>
            <w:r>
              <w:rPr>
                <w:color w:val="auto"/>
              </w:rPr>
              <w:t xml:space="preserve"> </w:t>
            </w:r>
            <w:r>
              <w:rPr>
                <w:rFonts w:hint="eastAsia"/>
                <w:color w:val="auto"/>
              </w:rPr>
              <w:t>Heads），能够在</w:t>
            </w:r>
            <w:r>
              <w:rPr>
                <w:color w:val="auto"/>
              </w:rPr>
              <w:t xml:space="preserve"> </w:t>
            </w:r>
            <m:oMath>
              <m:r>
                <m:rPr>
                  <m:sty m:val="p"/>
                </m:rPr>
                <w:rPr>
                  <w:rFonts w:ascii="Times New Roman" w:hAnsi="Times New Roman"/>
                  <w:color w:val="auto"/>
                </w:rPr>
                <m:t>18×25</m:t>
              </m:r>
            </m:oMath>
            <w:r>
              <w:rPr>
                <w:color w:val="auto"/>
              </w:rPr>
              <w:t xml:space="preserve"> </w:t>
            </w:r>
            <w:r>
              <w:rPr>
                <w:rFonts w:hint="eastAsia"/>
                <w:color w:val="auto"/>
              </w:rPr>
              <w:t>的特征尺度上建立全局长程依赖。通过这种机制，网络能够“观察”到被遮挡目标周边的环境信息（如叶片走向、相邻果实位置），利用全局几何约束来推断被遮挡顶点的空间偏移，显著增强了模型在极端复杂场景下的数值鲁棒性。</w:t>
            </w:r>
          </w:p>
          <w:bookmarkEnd w:id="1"/>
          <w:p w14:paraId="5C37D6BE">
            <w:pPr>
              <w:bidi w:val="0"/>
              <w:rPr>
                <w:b/>
                <w:bCs/>
                <w:color w:val="auto"/>
                <w:sz w:val="28"/>
                <w:szCs w:val="28"/>
              </w:rPr>
            </w:pPr>
            <w:bookmarkStart w:id="2" w:name="多任务预测头设计与-epnp-位姿解算算法研究"/>
            <w:r>
              <w:rPr>
                <w:b/>
                <w:bCs/>
                <w:color w:val="auto"/>
                <w:sz w:val="28"/>
                <w:szCs w:val="28"/>
              </w:rPr>
              <w:t xml:space="preserve">3. </w:t>
            </w:r>
            <w:r>
              <w:rPr>
                <w:rFonts w:hint="eastAsia"/>
                <w:b/>
                <w:bCs/>
                <w:color w:val="auto"/>
                <w:sz w:val="28"/>
                <w:szCs w:val="28"/>
              </w:rPr>
              <w:t>多任务预测头设计与</w:t>
            </w:r>
            <w:r>
              <w:rPr>
                <w:b/>
                <w:bCs/>
                <w:color w:val="auto"/>
                <w:sz w:val="28"/>
                <w:szCs w:val="28"/>
              </w:rPr>
              <w:t xml:space="preserve"> EPnP </w:t>
            </w:r>
            <w:r>
              <w:rPr>
                <w:rFonts w:hint="eastAsia"/>
                <w:b/>
                <w:bCs/>
                <w:color w:val="auto"/>
                <w:sz w:val="28"/>
                <w:szCs w:val="28"/>
              </w:rPr>
              <w:t>位姿解算算法研究</w:t>
            </w:r>
          </w:p>
          <w:p w14:paraId="46FDD2A6">
            <w:pPr>
              <w:bidi w:val="0"/>
              <w:rPr>
                <w:color w:val="auto"/>
              </w:rPr>
            </w:pPr>
            <w:r>
              <w:rPr>
                <w:rFonts w:hint="eastAsia"/>
                <w:color w:val="auto"/>
              </w:rPr>
              <w:t>本研究的核心挑战在于如何从</w:t>
            </w:r>
            <w:r>
              <w:rPr>
                <w:color w:val="auto"/>
              </w:rPr>
              <w:t xml:space="preserve"> 2D </w:t>
            </w:r>
            <w:r>
              <w:rPr>
                <w:rFonts w:hint="eastAsia"/>
                <w:color w:val="auto"/>
              </w:rPr>
              <w:t>图像平面恢复缺失的深度（Z轴）信息。为此，系统设计了高度集成的多任务预测头：</w:t>
            </w:r>
            <w:r>
              <w:rPr>
                <w:color w:val="auto"/>
              </w:rPr>
              <w:t xml:space="preserve"> </w:t>
            </w:r>
          </w:p>
          <w:p w14:paraId="0E71E314">
            <w:pPr>
              <w:bidi w:val="0"/>
              <w:rPr>
                <w:color w:val="auto"/>
              </w:rPr>
            </w:pPr>
            <w:r>
              <w:drawing>
                <wp:anchor distT="0" distB="0" distL="114300" distR="114300" simplePos="0" relativeHeight="251659264" behindDoc="0" locked="0" layoutInCell="1" allowOverlap="1">
                  <wp:simplePos x="0" y="0"/>
                  <wp:positionH relativeFrom="column">
                    <wp:posOffset>-68580</wp:posOffset>
                  </wp:positionH>
                  <wp:positionV relativeFrom="paragraph">
                    <wp:posOffset>1033145</wp:posOffset>
                  </wp:positionV>
                  <wp:extent cx="5400040" cy="2019935"/>
                  <wp:effectExtent l="0" t="0" r="10160" b="12065"/>
                  <wp:wrapSquare wrapText="bothSides"/>
                  <wp:docPr id="33" name="图片 32" descr="网格向量编码原理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2" descr="网格向量编码原理图.drawio"/>
                          <pic:cNvPicPr>
                            <a:picLocks noChangeAspect="1"/>
                          </pic:cNvPicPr>
                        </pic:nvPicPr>
                        <pic:blipFill>
                          <a:blip r:embed="rId7"/>
                          <a:stretch>
                            <a:fillRect/>
                          </a:stretch>
                        </pic:blipFill>
                        <pic:spPr>
                          <a:xfrm>
                            <a:off x="0" y="0"/>
                            <a:ext cx="5400040" cy="2019935"/>
                          </a:xfrm>
                          <a:prstGeom prst="rect">
                            <a:avLst/>
                          </a:prstGeom>
                        </pic:spPr>
                      </pic:pic>
                    </a:graphicData>
                  </a:graphic>
                </wp:anchor>
              </w:drawing>
            </w:r>
            <w:r>
              <w:rPr>
                <w:rFonts w:hint="eastAsia"/>
                <w:color w:val="auto"/>
              </w:rPr>
              <w:t>22维高维向量编码：每个网格并行输出一个长度为</w:t>
            </w:r>
            <w:r>
              <w:rPr>
                <w:color w:val="auto"/>
              </w:rPr>
              <w:t xml:space="preserve"> 22 </w:t>
            </w:r>
            <w:r>
              <w:rPr>
                <w:rFonts w:hint="eastAsia"/>
                <w:color w:val="auto"/>
              </w:rPr>
              <w:t>的向量</w:t>
            </w:r>
            <w:r>
              <w:rPr>
                <w:color w:val="auto"/>
              </w:rPr>
              <w:t xml:space="preserve"> </w:t>
            </w:r>
            <m:oMath>
              <m:r>
                <m:rPr>
                  <m:sty m:val="p"/>
                </m:rPr>
                <w:rPr>
                  <w:rFonts w:ascii="Times New Roman" w:hAnsi="Times New Roman"/>
                  <w:color w:val="auto"/>
                </w:rPr>
                <m:t>V=</m:t>
              </m:r>
              <m:d>
                <m:dPr>
                  <m:begChr m:val="["/>
                  <m:sepChr m:val=""/>
                  <m:endChr m:val="]"/>
                  <m:ctrlPr>
                    <w:rPr>
                      <w:color w:val="auto"/>
                    </w:rPr>
                  </m:ctrlPr>
                </m:dPr>
                <m:e>
                  <m:r>
                    <m:rPr>
                      <m:sty m:val="p"/>
                    </m:rPr>
                    <w:rPr>
                      <w:rFonts w:ascii="Times New Roman" w:hAnsi="Times New Roman"/>
                      <w:color w:val="auto"/>
                    </w:rPr>
                    <m:t>u,v,Δ</m:t>
                  </m:r>
                  <m:sSub>
                    <m:sSubPr>
                      <m:ctrlPr>
                        <w:rPr>
                          <w:color w:val="auto"/>
                        </w:rPr>
                      </m:ctrlPr>
                    </m:sSubPr>
                    <m:e>
                      <m:r>
                        <m:rPr>
                          <m:sty m:val="p"/>
                        </m:rPr>
                        <w:rPr>
                          <w:rFonts w:ascii="Times New Roman" w:hAnsi="Times New Roman"/>
                          <w:color w:val="auto"/>
                        </w:rPr>
                        <m:t>u</m:t>
                      </m:r>
                      <m:ctrlPr>
                        <w:rPr>
                          <w:color w:val="auto"/>
                        </w:rPr>
                      </m:ctrlPr>
                    </m:e>
                    <m:sub>
                      <m:r>
                        <m:rPr>
                          <m:sty m:val="p"/>
                        </m:rPr>
                        <w:rPr>
                          <w:rFonts w:ascii="Times New Roman" w:hAnsi="Times New Roman"/>
                          <w:color w:val="auto"/>
                        </w:rPr>
                        <m:t>1</m:t>
                      </m:r>
                      <m:ctrlPr>
                        <w:rPr>
                          <w:color w:val="auto"/>
                        </w:rPr>
                      </m:ctrlPr>
                    </m:sub>
                  </m:sSub>
                  <m:r>
                    <m:rPr>
                      <m:sty m:val="p"/>
                    </m:rPr>
                    <w:rPr>
                      <w:rFonts w:ascii="Times New Roman" w:hAnsi="Times New Roman"/>
                      <w:color w:val="auto"/>
                    </w:rPr>
                    <m:t>,Δ</m:t>
                  </m:r>
                  <m:sSub>
                    <m:sSubPr>
                      <m:ctrlPr>
                        <w:rPr>
                          <w:color w:val="auto"/>
                        </w:rPr>
                      </m:ctrlPr>
                    </m:sSubPr>
                    <m:e>
                      <m:r>
                        <m:rPr>
                          <m:sty m:val="p"/>
                        </m:rPr>
                        <w:rPr>
                          <w:rFonts w:ascii="Times New Roman" w:hAnsi="Times New Roman"/>
                          <w:color w:val="auto"/>
                        </w:rPr>
                        <m:t>v</m:t>
                      </m:r>
                      <m:ctrlPr>
                        <w:rPr>
                          <w:color w:val="auto"/>
                        </w:rPr>
                      </m:ctrlPr>
                    </m:e>
                    <m:sub>
                      <m:r>
                        <m:rPr>
                          <m:sty m:val="p"/>
                        </m:rPr>
                        <w:rPr>
                          <w:rFonts w:ascii="Times New Roman" w:hAnsi="Times New Roman"/>
                          <w:color w:val="auto"/>
                        </w:rPr>
                        <m:t>1</m:t>
                      </m:r>
                      <m:ctrlPr>
                        <w:rPr>
                          <w:color w:val="auto"/>
                        </w:rPr>
                      </m:ctrlPr>
                    </m:sub>
                  </m:sSub>
                  <m:r>
                    <m:rPr>
                      <m:sty m:val="p"/>
                    </m:rPr>
                    <w:rPr>
                      <w:rFonts w:ascii="Times New Roman" w:hAnsi="Times New Roman"/>
                      <w:color w:val="auto"/>
                    </w:rPr>
                    <m:t>,…,Δ</m:t>
                  </m:r>
                  <m:sSub>
                    <m:sSubPr>
                      <m:ctrlPr>
                        <w:rPr>
                          <w:color w:val="auto"/>
                        </w:rPr>
                      </m:ctrlPr>
                    </m:sSubPr>
                    <m:e>
                      <m:r>
                        <m:rPr>
                          <m:sty m:val="p"/>
                        </m:rPr>
                        <w:rPr>
                          <w:rFonts w:ascii="Times New Roman" w:hAnsi="Times New Roman"/>
                          <w:color w:val="auto"/>
                        </w:rPr>
                        <m:t>u</m:t>
                      </m:r>
                      <m:ctrlPr>
                        <w:rPr>
                          <w:color w:val="auto"/>
                        </w:rPr>
                      </m:ctrlPr>
                    </m:e>
                    <m:sub>
                      <m:r>
                        <m:rPr>
                          <m:sty m:val="p"/>
                        </m:rPr>
                        <w:rPr>
                          <w:rFonts w:ascii="Times New Roman" w:hAnsi="Times New Roman"/>
                          <w:color w:val="auto"/>
                        </w:rPr>
                        <m:t>8</m:t>
                      </m:r>
                      <m:ctrlPr>
                        <w:rPr>
                          <w:color w:val="auto"/>
                        </w:rPr>
                      </m:ctrlPr>
                    </m:sub>
                  </m:sSub>
                  <m:r>
                    <m:rPr>
                      <m:sty m:val="p"/>
                    </m:rPr>
                    <w:rPr>
                      <w:rFonts w:ascii="Times New Roman" w:hAnsi="Times New Roman"/>
                      <w:color w:val="auto"/>
                    </w:rPr>
                    <m:t>,Δ</m:t>
                  </m:r>
                  <m:sSub>
                    <m:sSubPr>
                      <m:ctrlPr>
                        <w:rPr>
                          <w:color w:val="auto"/>
                        </w:rPr>
                      </m:ctrlPr>
                    </m:sSubPr>
                    <m:e>
                      <m:r>
                        <m:rPr>
                          <m:sty m:val="p"/>
                        </m:rPr>
                        <w:rPr>
                          <w:rFonts w:ascii="Times New Roman" w:hAnsi="Times New Roman"/>
                          <w:color w:val="auto"/>
                        </w:rPr>
                        <m:t>v</m:t>
                      </m:r>
                      <m:ctrlPr>
                        <w:rPr>
                          <w:color w:val="auto"/>
                        </w:rPr>
                      </m:ctrlPr>
                    </m:e>
                    <m:sub>
                      <m:r>
                        <m:rPr>
                          <m:sty m:val="p"/>
                        </m:rPr>
                        <w:rPr>
                          <w:rFonts w:ascii="Times New Roman" w:hAnsi="Times New Roman"/>
                          <w:color w:val="auto"/>
                        </w:rPr>
                        <m:t>8</m:t>
                      </m:r>
                      <m:ctrlPr>
                        <w:rPr>
                          <w:color w:val="auto"/>
                        </w:rPr>
                      </m:ctrlPr>
                    </m:sub>
                  </m:sSub>
                  <m:r>
                    <m:rPr>
                      <m:sty m:val="p"/>
                    </m:rPr>
                    <w:rPr>
                      <w:rFonts w:ascii="Times New Roman" w:hAnsi="Times New Roman"/>
                      <w:color w:val="auto"/>
                    </w:rPr>
                    <m:t>,l,w,h,c</m:t>
                  </m:r>
                  <m:ctrlPr>
                    <w:rPr>
                      <w:color w:val="auto"/>
                    </w:rPr>
                  </m:ctrlPr>
                </m:e>
              </m:d>
            </m:oMath>
            <w:r>
              <w:rPr>
                <w:rFonts w:hint="eastAsia"/>
                <w:color w:val="auto"/>
              </w:rPr>
              <w:t>。其中包含</w:t>
            </w:r>
            <w:r>
              <w:rPr>
                <w:color w:val="auto"/>
              </w:rPr>
              <w:t xml:space="preserve"> 2 </w:t>
            </w:r>
            <w:r>
              <w:rPr>
                <w:rFonts w:hint="eastAsia"/>
                <w:color w:val="auto"/>
              </w:rPr>
              <w:t>维投影中心点、16</w:t>
            </w:r>
            <w:r>
              <w:rPr>
                <w:color w:val="auto"/>
              </w:rPr>
              <w:t xml:space="preserve"> </w:t>
            </w:r>
            <w:r>
              <w:rPr>
                <w:rFonts w:hint="eastAsia"/>
                <w:color w:val="auto"/>
              </w:rPr>
              <w:t>维</w:t>
            </w:r>
            <w:r>
              <w:rPr>
                <w:color w:val="auto"/>
              </w:rPr>
              <w:t xml:space="preserve"> 3D </w:t>
            </w:r>
            <w:r>
              <w:rPr>
                <w:rFonts w:hint="eastAsia"/>
                <w:color w:val="auto"/>
              </w:rPr>
              <w:t>边界框顶点偏移、3</w:t>
            </w:r>
            <w:r>
              <w:rPr>
                <w:color w:val="auto"/>
              </w:rPr>
              <w:t xml:space="preserve"> </w:t>
            </w:r>
            <w:r>
              <w:rPr>
                <w:rFonts w:hint="eastAsia"/>
                <w:color w:val="auto"/>
              </w:rPr>
              <w:t>维物理尺寸以及</w:t>
            </w:r>
            <w:r>
              <w:rPr>
                <w:color w:val="auto"/>
              </w:rPr>
              <w:t xml:space="preserve"> 1 </w:t>
            </w:r>
            <w:r>
              <w:rPr>
                <w:rFonts w:hint="eastAsia"/>
                <w:color w:val="auto"/>
              </w:rPr>
              <w:t>维置信度。</w:t>
            </w:r>
            <w:r>
              <w:rPr>
                <w:rFonts w:hint="eastAsia"/>
                <w:color w:val="auto"/>
                <w:lang w:val="en-US" w:eastAsia="zh-CN"/>
              </w:rPr>
              <w:t>具体实现如图2所示</w:t>
            </w:r>
            <w:r>
              <w:rPr>
                <w:color w:val="auto"/>
              </w:rPr>
              <w:t xml:space="preserve"> </w:t>
            </w:r>
          </w:p>
          <w:p w14:paraId="42A42851">
            <w:pPr>
              <w:bidi w:val="0"/>
              <w:jc w:val="center"/>
              <w:rPr>
                <w:rFonts w:hint="eastAsia"/>
                <w:color w:val="auto"/>
                <w:sz w:val="21"/>
                <w:szCs w:val="21"/>
              </w:rPr>
            </w:pPr>
            <w:r>
              <w:rPr>
                <w:rFonts w:hint="eastAsia"/>
                <w:color w:val="auto"/>
                <w:sz w:val="21"/>
                <w:szCs w:val="21"/>
                <w:lang w:val="en-US" w:eastAsia="zh-CN"/>
              </w:rPr>
              <w:t>图2 草莓3D信息网格化编码图</w:t>
            </w:r>
          </w:p>
          <w:p w14:paraId="7C1D0B0E">
            <w:pPr>
              <w:bidi w:val="0"/>
              <w:rPr>
                <w:rFonts w:hint="eastAsia"/>
                <w:color w:val="auto"/>
              </w:rPr>
            </w:pPr>
            <w:r>
              <w:rPr>
                <w:rFonts w:hint="eastAsia"/>
                <w:color w:val="auto"/>
              </w:rPr>
              <w:t>几何闭环解算：引入透视投影几何约束，将神经网络输出的</w:t>
            </w:r>
            <w:r>
              <w:rPr>
                <w:color w:val="auto"/>
              </w:rPr>
              <w:t xml:space="preserve"> 2D </w:t>
            </w:r>
            <w:r>
              <w:rPr>
                <w:rFonts w:hint="eastAsia"/>
                <w:color w:val="auto"/>
              </w:rPr>
              <w:t>关键点序列与预设的草莓</w:t>
            </w:r>
            <w:r>
              <w:rPr>
                <w:color w:val="auto"/>
              </w:rPr>
              <w:t xml:space="preserve"> 3D </w:t>
            </w:r>
            <w:r>
              <w:rPr>
                <w:rFonts w:hint="eastAsia"/>
                <w:color w:val="auto"/>
              </w:rPr>
              <w:t>参考模型进行匹配。结合已校准的相机内参矩阵，利用</w:t>
            </w:r>
            <w:r>
              <w:rPr>
                <w:color w:val="auto"/>
              </w:rPr>
              <w:t xml:space="preserve"> EPnP (Efficient Perspective-n-Point) </w:t>
            </w:r>
            <w:r>
              <w:rPr>
                <w:rFonts w:hint="eastAsia"/>
                <w:color w:val="auto"/>
              </w:rPr>
              <w:t>算法进行非迭代式位姿求解。该算法能够快速计算出草莓相对于相机的旋转矩阵（R）与平移向量（T），从而完成从像素坐标到三轴物理坐标的跨维度转换。</w:t>
            </w:r>
          </w:p>
          <w:p w14:paraId="52606461">
            <w:pPr>
              <w:bidi w:val="0"/>
              <w:jc w:val="center"/>
              <w:rPr>
                <w:b/>
                <w:bCs/>
                <w:color w:val="auto"/>
                <w:sz w:val="28"/>
                <w:szCs w:val="28"/>
              </w:rPr>
            </w:pPr>
            <w:r>
              <w:rPr>
                <w:rFonts w:hint="eastAsia"/>
                <w:color w:val="auto"/>
                <w:lang w:val="en-US" w:eastAsia="zh-CN"/>
              </w:rPr>
              <w:t>图2 草莓3D信息网格化编码图</w:t>
            </w:r>
            <w:bookmarkEnd w:id="2"/>
            <w:bookmarkStart w:id="6" w:name="_GoBack"/>
            <w:bookmarkEnd w:id="6"/>
            <w:bookmarkStart w:id="3" w:name="鲁棒性增强的数据流水线与多任务平衡训练策略"/>
          </w:p>
          <w:p w14:paraId="2505FB7E">
            <w:pPr>
              <w:bidi w:val="0"/>
              <w:rPr>
                <w:b/>
                <w:bCs/>
                <w:color w:val="auto"/>
                <w:sz w:val="28"/>
                <w:szCs w:val="28"/>
              </w:rPr>
            </w:pPr>
            <w:r>
              <w:rPr>
                <w:b/>
                <w:bCs/>
                <w:color w:val="auto"/>
                <w:sz w:val="28"/>
                <w:szCs w:val="28"/>
              </w:rPr>
              <w:t xml:space="preserve">4. </w:t>
            </w:r>
            <w:r>
              <w:rPr>
                <w:rFonts w:hint="eastAsia"/>
                <w:b/>
                <w:bCs/>
                <w:color w:val="auto"/>
                <w:sz w:val="28"/>
                <w:szCs w:val="28"/>
              </w:rPr>
              <w:t>鲁棒性增强的数据流水线与多任务平衡训练策略</w:t>
            </w:r>
          </w:p>
          <w:p w14:paraId="3598B466">
            <w:pPr>
              <w:bidi w:val="0"/>
              <w:rPr>
                <w:color w:val="auto"/>
              </w:rPr>
            </w:pPr>
            <w:r>
              <w:rPr>
                <w:rFonts w:hint="eastAsia"/>
                <w:color w:val="auto"/>
              </w:rPr>
              <w:t>为了提升算法在不同天气、光照及成熟度下的泛化能力，本研究构建了严谨的数据处理与训练管线：</w:t>
            </w:r>
            <w:r>
              <w:rPr>
                <w:color w:val="auto"/>
              </w:rPr>
              <w:t xml:space="preserve"> </w:t>
            </w:r>
          </w:p>
          <w:p w14:paraId="381189E2">
            <w:pPr>
              <w:bidi w:val="0"/>
              <w:rPr>
                <w:color w:val="auto"/>
              </w:rPr>
            </w:pPr>
            <w:r>
              <w:rPr>
                <w:rFonts w:hint="eastAsia"/>
                <w:color w:val="auto"/>
              </w:rPr>
              <w:t>数据增强</w:t>
            </w:r>
            <w:r>
              <w:rPr>
                <w:color w:val="auto"/>
              </w:rPr>
              <w:t xml:space="preserve"> (Augmentation)</w:t>
            </w:r>
            <w:r>
              <w:rPr>
                <w:rFonts w:hint="eastAsia"/>
                <w:color w:val="auto"/>
              </w:rPr>
              <w:t>：集成了</w:t>
            </w:r>
            <w:r>
              <w:rPr>
                <w:color w:val="auto"/>
              </w:rPr>
              <w:t xml:space="preserve"> Albumentations </w:t>
            </w:r>
            <w:r>
              <w:rPr>
                <w:rFonts w:hint="eastAsia"/>
                <w:color w:val="auto"/>
              </w:rPr>
              <w:t>工业级增强库。除了基础的翻转与缩放，重点应用了针对农业场景的色彩抖动</w:t>
            </w:r>
            <w:r>
              <w:rPr>
                <w:color w:val="auto"/>
              </w:rPr>
              <w:t xml:space="preserve"> (Color Jittering)</w:t>
            </w:r>
            <w:r>
              <w:rPr>
                <w:rFonts w:hint="eastAsia"/>
                <w:color w:val="auto"/>
              </w:rPr>
              <w:t>。通过对亮度（</w:t>
            </w:r>
            <m:oMath>
              <m:r>
                <m:rPr>
                  <m:sty m:val="p"/>
                </m:rPr>
                <w:rPr>
                  <w:rFonts w:ascii="Times New Roman" w:hAnsi="Times New Roman"/>
                  <w:color w:val="auto"/>
                </w:rPr>
                <m:t>±0.2</m:t>
              </m:r>
            </m:oMath>
            <w:r>
              <w:rPr>
                <w:rFonts w:hint="eastAsia"/>
                <w:color w:val="auto"/>
              </w:rPr>
              <w:t>）、对比度、饱和度及色调的随机扰动，模拟了从晨间弱光到正午强直射光的全时段光照环境。</w:t>
            </w:r>
            <w:r>
              <w:rPr>
                <w:color w:val="auto"/>
              </w:rPr>
              <w:t xml:space="preserve"> </w:t>
            </w:r>
          </w:p>
          <w:p w14:paraId="29634091">
            <w:pPr>
              <w:bidi w:val="0"/>
              <w:rPr>
                <w:color w:val="auto"/>
              </w:rPr>
            </w:pPr>
            <w:r>
              <w:rPr>
                <w:rFonts w:hint="eastAsia"/>
                <w:color w:val="auto"/>
              </w:rPr>
              <w:t>联合损失函数优化：设计了多任务损失函数</w:t>
            </w:r>
            <w:r>
              <w:rPr>
                <w:color w:val="auto"/>
              </w:rPr>
              <w:t xml:space="preserve"> </w:t>
            </w:r>
            <m:oMath>
              <m:r>
                <m:rPr>
                  <m:sty m:val="p"/>
                  <m:scr m:val="script"/>
                </m:rPr>
                <w:rPr>
                  <w:rFonts w:ascii="Times New Roman" w:hAnsi="Times New Roman" w:eastAsia="MS Mincho"/>
                  <w:color w:val="auto"/>
                </w:rPr>
                <m:t>ℒ</m:t>
              </m:r>
              <m:r>
                <m:rPr>
                  <m:sty m:val="p"/>
                </m:rPr>
                <w:rPr>
                  <w:rFonts w:ascii="Times New Roman" w:hAnsi="Times New Roman"/>
                  <w:color w:val="auto"/>
                </w:rPr>
                <m:t>=</m:t>
              </m:r>
              <m:sSub>
                <m:sSubPr>
                  <m:ctrlPr>
                    <w:rPr>
                      <w:color w:val="auto"/>
                    </w:rPr>
                  </m:ctrlPr>
                </m:sSubPr>
                <m:e>
                  <m:r>
                    <m:rPr>
                      <m:sty m:val="p"/>
                    </m:rPr>
                    <w:rPr>
                      <w:rFonts w:ascii="Times New Roman" w:hAnsi="Times New Roman"/>
                      <w:color w:val="auto"/>
                    </w:rPr>
                    <m:t>ω</m:t>
                  </m:r>
                  <m:ctrlPr>
                    <w:rPr>
                      <w:color w:val="auto"/>
                    </w:rPr>
                  </m:ctrlPr>
                </m:e>
                <m:sub>
                  <m:r>
                    <m:rPr>
                      <m:sty m:val="p"/>
                    </m:rPr>
                    <w:rPr>
                      <w:rFonts w:ascii="Times New Roman" w:hAnsi="Times New Roman"/>
                      <w:color w:val="auto"/>
                    </w:rPr>
                    <m:t>1</m:t>
                  </m:r>
                  <m:ctrlPr>
                    <w:rPr>
                      <w:color w:val="auto"/>
                    </w:rPr>
                  </m:ctrlPr>
                </m:sub>
              </m:sSub>
              <m:sSub>
                <m:sSubPr>
                  <m:ctrlPr>
                    <w:rPr>
                      <w:color w:val="auto"/>
                    </w:rPr>
                  </m:ctrlPr>
                </m:sSubPr>
                <m:e>
                  <m:r>
                    <m:rPr>
                      <m:sty m:val="p"/>
                      <m:scr m:val="script"/>
                    </m:rPr>
                    <w:rPr>
                      <w:rFonts w:ascii="Times New Roman" w:hAnsi="Times New Roman" w:eastAsia="MS Mincho"/>
                      <w:color w:val="auto"/>
                    </w:rPr>
                    <m:t>ℒ</m:t>
                  </m:r>
                  <m:ctrlPr>
                    <w:rPr>
                      <w:color w:val="auto"/>
                    </w:rPr>
                  </m:ctrlPr>
                </m:e>
                <m:sub>
                  <m:r>
                    <m:rPr>
                      <m:sty m:val="p"/>
                    </m:rPr>
                    <w:rPr>
                      <w:rFonts w:ascii="Times New Roman" w:hAnsi="Times New Roman"/>
                      <w:color w:val="auto"/>
                    </w:rPr>
                    <m:t>coord</m:t>
                  </m:r>
                  <m:ctrlPr>
                    <w:rPr>
                      <w:color w:val="auto"/>
                    </w:rPr>
                  </m:ctrlPr>
                </m:sub>
              </m:sSub>
              <m:r>
                <m:rPr>
                  <m:sty m:val="p"/>
                </m:rPr>
                <w:rPr>
                  <w:rFonts w:ascii="Times New Roman" w:hAnsi="Times New Roman"/>
                  <w:color w:val="auto"/>
                </w:rPr>
                <m:t>+</m:t>
              </m:r>
              <m:sSub>
                <m:sSubPr>
                  <m:ctrlPr>
                    <w:rPr>
                      <w:color w:val="auto"/>
                    </w:rPr>
                  </m:ctrlPr>
                </m:sSubPr>
                <m:e>
                  <m:r>
                    <m:rPr>
                      <m:sty m:val="p"/>
                    </m:rPr>
                    <w:rPr>
                      <w:rFonts w:ascii="Times New Roman" w:hAnsi="Times New Roman"/>
                      <w:color w:val="auto"/>
                    </w:rPr>
                    <m:t>ω</m:t>
                  </m:r>
                  <m:ctrlPr>
                    <w:rPr>
                      <w:color w:val="auto"/>
                    </w:rPr>
                  </m:ctrlPr>
                </m:e>
                <m:sub>
                  <m:r>
                    <m:rPr>
                      <m:sty m:val="p"/>
                    </m:rPr>
                    <w:rPr>
                      <w:rFonts w:ascii="Times New Roman" w:hAnsi="Times New Roman"/>
                      <w:color w:val="auto"/>
                    </w:rPr>
                    <m:t>2</m:t>
                  </m:r>
                  <m:ctrlPr>
                    <w:rPr>
                      <w:color w:val="auto"/>
                    </w:rPr>
                  </m:ctrlPr>
                </m:sub>
              </m:sSub>
              <m:sSub>
                <m:sSubPr>
                  <m:ctrlPr>
                    <w:rPr>
                      <w:color w:val="auto"/>
                    </w:rPr>
                  </m:ctrlPr>
                </m:sSubPr>
                <m:e>
                  <m:r>
                    <m:rPr>
                      <m:sty m:val="p"/>
                      <m:scr m:val="script"/>
                    </m:rPr>
                    <w:rPr>
                      <w:rFonts w:ascii="Times New Roman" w:hAnsi="Times New Roman" w:eastAsia="MS Mincho"/>
                      <w:color w:val="auto"/>
                    </w:rPr>
                    <m:t>ℒ</m:t>
                  </m:r>
                  <m:ctrlPr>
                    <w:rPr>
                      <w:color w:val="auto"/>
                    </w:rPr>
                  </m:ctrlPr>
                </m:e>
                <m:sub>
                  <m:r>
                    <m:rPr>
                      <m:sty m:val="p"/>
                    </m:rPr>
                    <w:rPr>
                      <w:rFonts w:ascii="Times New Roman" w:hAnsi="Times New Roman"/>
                      <w:color w:val="auto"/>
                    </w:rPr>
                    <m:t>dim</m:t>
                  </m:r>
                  <m:ctrlPr>
                    <w:rPr>
                      <w:color w:val="auto"/>
                    </w:rPr>
                  </m:ctrlPr>
                </m:sub>
              </m:sSub>
              <m:r>
                <m:rPr>
                  <m:sty m:val="p"/>
                </m:rPr>
                <w:rPr>
                  <w:rFonts w:ascii="Times New Roman" w:hAnsi="Times New Roman"/>
                  <w:color w:val="auto"/>
                </w:rPr>
                <m:t>+</m:t>
              </m:r>
              <m:sSub>
                <m:sSubPr>
                  <m:ctrlPr>
                    <w:rPr>
                      <w:color w:val="auto"/>
                    </w:rPr>
                  </m:ctrlPr>
                </m:sSubPr>
                <m:e>
                  <m:r>
                    <m:rPr>
                      <m:sty m:val="p"/>
                    </m:rPr>
                    <w:rPr>
                      <w:rFonts w:ascii="Times New Roman" w:hAnsi="Times New Roman"/>
                      <w:color w:val="auto"/>
                    </w:rPr>
                    <m:t>ω</m:t>
                  </m:r>
                  <m:ctrlPr>
                    <w:rPr>
                      <w:color w:val="auto"/>
                    </w:rPr>
                  </m:ctrlPr>
                </m:e>
                <m:sub>
                  <m:r>
                    <m:rPr>
                      <m:sty m:val="p"/>
                    </m:rPr>
                    <w:rPr>
                      <w:rFonts w:ascii="Times New Roman" w:hAnsi="Times New Roman"/>
                      <w:color w:val="auto"/>
                    </w:rPr>
                    <m:t>3</m:t>
                  </m:r>
                  <m:ctrlPr>
                    <w:rPr>
                      <w:color w:val="auto"/>
                    </w:rPr>
                  </m:ctrlPr>
                </m:sub>
              </m:sSub>
              <m:sSub>
                <m:sSubPr>
                  <m:ctrlPr>
                    <w:rPr>
                      <w:color w:val="auto"/>
                    </w:rPr>
                  </m:ctrlPr>
                </m:sSubPr>
                <m:e>
                  <m:r>
                    <m:rPr>
                      <m:sty m:val="p"/>
                      <m:scr m:val="script"/>
                    </m:rPr>
                    <w:rPr>
                      <w:rFonts w:ascii="Times New Roman" w:hAnsi="Times New Roman" w:eastAsia="MS Mincho"/>
                      <w:color w:val="auto"/>
                    </w:rPr>
                    <m:t>ℒ</m:t>
                  </m:r>
                  <m:ctrlPr>
                    <w:rPr>
                      <w:color w:val="auto"/>
                    </w:rPr>
                  </m:ctrlPr>
                </m:e>
                <m:sub>
                  <m:r>
                    <m:rPr>
                      <m:sty m:val="p"/>
                    </m:rPr>
                    <w:rPr>
                      <w:rFonts w:ascii="Times New Roman" w:hAnsi="Times New Roman"/>
                      <w:color w:val="auto"/>
                    </w:rPr>
                    <m:t>conf</m:t>
                  </m:r>
                  <m:ctrlPr>
                    <w:rPr>
                      <w:color w:val="auto"/>
                    </w:rPr>
                  </m:ctrlPr>
                </m:sub>
              </m:sSub>
            </m:oMath>
            <w:r>
              <w:rPr>
                <w:rFonts w:hint="eastAsia"/>
                <w:color w:val="auto"/>
              </w:rPr>
              <w:t>。采用</w:t>
            </w:r>
            <w:r>
              <w:rPr>
                <w:color w:val="auto"/>
              </w:rPr>
              <w:t xml:space="preserve"> Smooth-L1 </w:t>
            </w:r>
            <w:r>
              <w:rPr>
                <w:rFonts w:hint="eastAsia"/>
                <w:color w:val="auto"/>
              </w:rPr>
              <w:t>作为回归项损失，其在零点附近的平滑性有效缓解了顶点偏移预测时的梯度震荡问题。</w:t>
            </w:r>
            <w:r>
              <w:rPr>
                <w:rFonts w:hint="eastAsia"/>
                <w:color w:val="auto"/>
                <w:lang w:val="en-US" w:eastAsia="zh-CN"/>
              </w:rPr>
              <w:t xml:space="preserve"> </w:t>
            </w:r>
            <w:r>
              <w:rPr>
                <w:rFonts w:hint="eastAsia"/>
                <w:color w:val="auto"/>
              </w:rPr>
              <w:t>通过动态调整权重系数</w:t>
            </w:r>
            <w:r>
              <w:rPr>
                <w:color w:val="auto"/>
              </w:rPr>
              <w:t xml:space="preserve"> </w:t>
            </w:r>
            <m:oMath>
              <m:r>
                <m:rPr>
                  <m:sty m:val="p"/>
                </m:rPr>
                <w:rPr>
                  <w:rFonts w:ascii="Times New Roman" w:hAnsi="Times New Roman"/>
                  <w:color w:val="auto"/>
                </w:rPr>
                <m:t>ω</m:t>
              </m:r>
            </m:oMath>
            <w:r>
              <w:rPr>
                <w:rFonts w:hint="eastAsia"/>
                <w:color w:val="auto"/>
              </w:rPr>
              <w:t>，平衡了分类任务（置信度）与回归任务（位姿、尺寸）的收敛速度，确保了多任务学习的协同优化。</w:t>
            </w:r>
          </w:p>
          <w:bookmarkEnd w:id="3"/>
          <w:p w14:paraId="63CB1F53">
            <w:pPr>
              <w:bidi w:val="0"/>
              <w:rPr>
                <w:b/>
                <w:bCs/>
                <w:color w:val="auto"/>
                <w:sz w:val="28"/>
                <w:szCs w:val="28"/>
              </w:rPr>
            </w:pPr>
            <w:r>
              <w:rPr>
                <w:b/>
                <w:bCs/>
                <w:color w:val="auto"/>
                <w:sz w:val="28"/>
                <w:szCs w:val="28"/>
              </w:rPr>
              <w:t xml:space="preserve">5. </w:t>
            </w:r>
            <w:r>
              <w:rPr>
                <w:rFonts w:hint="eastAsia"/>
                <w:b/>
                <w:bCs/>
                <w:color w:val="auto"/>
                <w:sz w:val="28"/>
                <w:szCs w:val="28"/>
              </w:rPr>
              <w:t>性能定量评估与误差归因深度分析</w:t>
            </w:r>
          </w:p>
          <w:p w14:paraId="2E99DA92">
            <w:pPr>
              <w:bidi w:val="0"/>
              <w:rPr>
                <w:color w:val="auto"/>
              </w:rPr>
            </w:pPr>
            <w:r>
              <w:rPr>
                <w:rFonts w:hint="eastAsia"/>
                <w:color w:val="auto"/>
              </w:rPr>
              <w:t>在中期实验阶段，本研究在</w:t>
            </w:r>
            <w:r>
              <w:rPr>
                <w:color w:val="auto"/>
              </w:rPr>
              <w:t xml:space="preserve"> Straw6D </w:t>
            </w:r>
            <w:r>
              <w:rPr>
                <w:rFonts w:hint="eastAsia"/>
                <w:color w:val="auto"/>
              </w:rPr>
              <w:t>标准数据集上进行了详尽的评测：</w:t>
            </w:r>
            <w:r>
              <w:rPr>
                <w:color w:val="auto"/>
              </w:rPr>
              <w:t xml:space="preserve"> </w:t>
            </w:r>
            <w:r>
              <w:rPr>
                <w:rFonts w:hint="eastAsia"/>
                <w:color w:val="auto"/>
              </w:rPr>
              <w:t>模型经过</w:t>
            </w:r>
            <w:r>
              <w:rPr>
                <w:color w:val="auto"/>
              </w:rPr>
              <w:t xml:space="preserve"> 300 </w:t>
            </w:r>
            <w:r>
              <w:rPr>
                <w:rFonts w:hint="eastAsia"/>
                <w:color w:val="auto"/>
              </w:rPr>
              <w:t>个</w:t>
            </w:r>
            <w:r>
              <w:rPr>
                <w:color w:val="auto"/>
              </w:rPr>
              <w:t xml:space="preserve"> Epoch </w:t>
            </w:r>
            <w:r>
              <w:rPr>
                <w:rFonts w:hint="eastAsia"/>
                <w:color w:val="auto"/>
              </w:rPr>
              <w:t>的训练，总损失值稳定收敛于</w:t>
            </w:r>
            <w:r>
              <w:rPr>
                <w:color w:val="auto"/>
              </w:rPr>
              <w:t xml:space="preserve"> 6.47</w:t>
            </w:r>
            <w:r>
              <w:rPr>
                <w:rFonts w:hint="eastAsia"/>
                <w:color w:val="auto"/>
              </w:rPr>
              <w:t>。实验表明，引入</w:t>
            </w:r>
            <w:r>
              <w:rPr>
                <w:color w:val="auto"/>
              </w:rPr>
              <w:t xml:space="preserve"> Transformer </w:t>
            </w:r>
            <w:r>
              <w:rPr>
                <w:rFonts w:hint="eastAsia"/>
                <w:color w:val="auto"/>
              </w:rPr>
              <w:t>模块后，模型在验证集上的平均位姿误差下降了约</w:t>
            </w:r>
            <w:r>
              <w:rPr>
                <w:color w:val="auto"/>
              </w:rPr>
              <w:t xml:space="preserve"> 12.5%。 </w:t>
            </w:r>
          </w:p>
          <w:p w14:paraId="39DCD846">
            <w:pPr>
              <w:bidi w:val="0"/>
              <w:rPr>
                <w:rFonts w:hint="eastAsia"/>
                <w:color w:val="auto"/>
              </w:rPr>
            </w:pPr>
            <w:r>
              <w:rPr>
                <w:rFonts w:hint="eastAsia"/>
                <w:color w:val="auto"/>
              </w:rPr>
              <w:t>通过对检测失败样本的深度挖掘，归纳出三大主要误差源：1.</w:t>
            </w:r>
            <w:r>
              <w:rPr>
                <w:rFonts w:hint="eastAsia"/>
                <w:color w:val="auto"/>
                <w:lang w:eastAsia="zh-CN"/>
              </w:rPr>
              <w:t>）</w:t>
            </w:r>
            <w:r>
              <w:rPr>
                <w:rFonts w:hint="eastAsia"/>
                <w:color w:val="auto"/>
              </w:rPr>
              <w:t>超过</w:t>
            </w:r>
            <w:r>
              <w:rPr>
                <w:color w:val="auto"/>
              </w:rPr>
              <w:t xml:space="preserve"> 70% </w:t>
            </w:r>
            <w:r>
              <w:rPr>
                <w:rFonts w:hint="eastAsia"/>
                <w:color w:val="auto"/>
              </w:rPr>
              <w:t>遮挡导致的拓扑结构崩溃；2</w:t>
            </w:r>
            <w:r>
              <w:rPr>
                <w:rFonts w:hint="eastAsia"/>
                <w:color w:val="auto"/>
                <w:lang w:eastAsia="zh-CN"/>
              </w:rPr>
              <w:t>）</w:t>
            </w:r>
            <w:r>
              <w:rPr>
                <w:color w:val="auto"/>
              </w:rPr>
              <w:t xml:space="preserve"> </w:t>
            </w:r>
            <w:r>
              <w:rPr>
                <w:rFonts w:hint="eastAsia"/>
                <w:color w:val="auto"/>
              </w:rPr>
              <w:t>高动态范围（HDR）光照导致的边缘过曝光；3</w:t>
            </w:r>
            <w:r>
              <w:rPr>
                <w:rFonts w:hint="eastAsia"/>
                <w:color w:val="auto"/>
                <w:lang w:eastAsia="zh-CN"/>
              </w:rPr>
              <w:t>）</w:t>
            </w:r>
            <w:r>
              <w:rPr>
                <w:rFonts w:hint="eastAsia"/>
                <w:color w:val="auto"/>
              </w:rPr>
              <w:t>单视角投影固有的深度模糊（Depth</w:t>
            </w:r>
            <w:r>
              <w:rPr>
                <w:color w:val="auto"/>
              </w:rPr>
              <w:t xml:space="preserve"> </w:t>
            </w:r>
            <w:r>
              <w:rPr>
                <w:rFonts w:hint="eastAsia"/>
                <w:color w:val="auto"/>
              </w:rPr>
              <w:t>Ambiguity）。这为后续引入“多视角融合”或“物理尺寸先验校正”提供了理论依据。</w:t>
            </w:r>
          </w:p>
          <w:p w14:paraId="7C24F907">
            <w:pPr>
              <w:numPr>
                <w:numId w:val="0"/>
              </w:numPr>
              <w:bidi w:val="0"/>
              <w:ind w:leftChars="200" w:right="0" w:rightChars="0"/>
              <w:rPr>
                <w:rFonts w:hint="eastAsia"/>
                <w:b/>
                <w:bCs/>
                <w:color w:val="auto"/>
                <w:sz w:val="28"/>
                <w:szCs w:val="28"/>
                <w:lang w:val="en-US" w:eastAsia="zh-CN"/>
              </w:rPr>
            </w:pPr>
            <w:r>
              <w:rPr>
                <w:rFonts w:hint="eastAsia"/>
                <w:b/>
                <w:bCs/>
                <w:color w:val="auto"/>
                <w:sz w:val="28"/>
                <w:szCs w:val="28"/>
                <w:lang w:val="en-US" w:eastAsia="zh-CN"/>
              </w:rPr>
              <w:t>6.消融实验</w:t>
            </w:r>
          </w:p>
          <w:p w14:paraId="5E908A57">
            <w:pPr>
              <w:bidi w:val="0"/>
              <w:rPr>
                <w:rFonts w:hint="default"/>
                <w:lang w:val="en-US" w:eastAsia="zh-CN"/>
              </w:rPr>
            </w:pPr>
            <w:r>
              <w:rPr>
                <w:rFonts w:hint="default"/>
                <w:lang w:val="en-US" w:eastAsia="zh-CN"/>
              </w:rPr>
              <w:t>为评估模型中各创新组件的作用，我们在统一的数据集与训练超参数下，分别移除了特定的优化模块进行性能对比。主要评估指标为检测精度（mAP@0.5）与召回率（Recall）。实验结果如下：</w:t>
            </w:r>
          </w:p>
          <w:p w14:paraId="240508CE">
            <w:pPr>
              <w:bidi w:val="0"/>
              <w:rPr>
                <w:rFonts w:hint="default"/>
                <w:lang w:val="en-US" w:eastAsia="zh-CN"/>
              </w:rPr>
            </w:pPr>
          </w:p>
          <w:p w14:paraId="460A2381">
            <w:pPr>
              <w:bidi w:val="0"/>
              <w:rPr>
                <w:rFonts w:hint="default"/>
                <w:lang w:val="en-US" w:eastAsia="zh-CN"/>
              </w:rPr>
            </w:pPr>
            <w:r>
              <w:rPr>
                <w:rFonts w:hint="eastAsia"/>
                <w:lang w:val="en-US" w:eastAsia="zh-CN"/>
              </w:rPr>
              <w:t>1）</w:t>
            </w:r>
            <w:r>
              <w:rPr>
                <w:rFonts w:hint="default"/>
                <w:lang w:val="en-US" w:eastAsia="zh-CN"/>
              </w:rPr>
              <w:t>完整模型（最佳性能）：当系统融合所有优化策略时，取得了最优的综合表现，其 mAP@0.5 达到 89.6%，召回率高达 92.4%。</w:t>
            </w:r>
          </w:p>
          <w:p w14:paraId="3D9ACE8A">
            <w:pPr>
              <w:bidi w:val="0"/>
              <w:rPr>
                <w:rFonts w:hint="default"/>
                <w:lang w:val="en-US" w:eastAsia="zh-CN"/>
              </w:rPr>
            </w:pPr>
            <w:r>
              <w:rPr>
                <w:rFonts w:hint="eastAsia"/>
                <w:lang w:val="en-US" w:eastAsia="zh-CN"/>
              </w:rPr>
              <w:t>2）</w:t>
            </w:r>
            <w:r>
              <w:rPr>
                <w:rFonts w:hint="default"/>
                <w:lang w:val="en-US" w:eastAsia="zh-CN"/>
              </w:rPr>
              <w:t>去掉 3D 顶点约束：该模块的移除导致性能衰减最为剧烈，mAP@0.5 骤降至 82.8%，召回率降至 85.6%。这充分证明了 3D 几何约束在二维图像深度与位姿还原过程中的核心支撑作用。</w:t>
            </w:r>
          </w:p>
          <w:p w14:paraId="2F0D0D23">
            <w:pPr>
              <w:bidi w:val="0"/>
              <w:rPr>
                <w:rFonts w:hint="default"/>
                <w:lang w:val="en-US" w:eastAsia="zh-CN"/>
              </w:rPr>
            </w:pPr>
            <w:r>
              <w:rPr>
                <w:rFonts w:hint="eastAsia"/>
                <w:lang w:val="en-US" w:eastAsia="zh-CN"/>
              </w:rPr>
              <w:t>3）</w:t>
            </w:r>
            <w:r>
              <w:rPr>
                <w:rFonts w:hint="default"/>
                <w:lang w:val="en-US" w:eastAsia="zh-CN"/>
              </w:rPr>
              <w:t>去掉遮挡增强：移除针对性数据增强后，mAP@0.5 下降至 84.1%，召回率降至 87.5%。这表明在草莓密集的果园环境中，模拟遮挡的训练策略能大幅提升模型对重叠果实的感知鲁棒性。</w:t>
            </w:r>
          </w:p>
          <w:p w14:paraId="0E0042EF">
            <w:pPr>
              <w:bidi w:val="0"/>
              <w:rPr>
                <w:rFonts w:hint="default"/>
                <w:lang w:val="en-US" w:eastAsia="zh-CN"/>
              </w:rPr>
            </w:pPr>
            <w:r>
              <w:rPr>
                <w:rFonts w:hint="eastAsia"/>
                <w:lang w:val="en-US" w:eastAsia="zh-CN"/>
              </w:rPr>
              <w:t>4）</w:t>
            </w:r>
            <w:r>
              <w:rPr>
                <w:rFonts w:hint="default"/>
                <w:lang w:val="en-US" w:eastAsia="zh-CN"/>
              </w:rPr>
              <w:t>去掉后处理优化：mAP@0.5 降为 85.0%，召回率为 87.2%，说明后处理环节对剔除冗余预测、优化最终检测框具有实质性帮助。</w:t>
            </w:r>
          </w:p>
          <w:p w14:paraId="0362A279">
            <w:pPr>
              <w:bidi w:val="0"/>
              <w:rPr>
                <w:rFonts w:hint="default"/>
                <w:lang w:val="en-US" w:eastAsia="zh-CN"/>
              </w:rPr>
            </w:pPr>
            <w:r>
              <w:rPr>
                <w:rFonts w:hint="eastAsia"/>
                <w:lang w:val="en-US" w:eastAsia="zh-CN"/>
              </w:rPr>
              <w:t>5）</w:t>
            </w:r>
            <w:r>
              <w:rPr>
                <w:rFonts w:hint="default"/>
                <w:lang w:val="en-US" w:eastAsia="zh-CN"/>
              </w:rPr>
              <w:t>去掉多尺度特征：mAP@0.5 降为 86.2%，召回率为 88.9%。这验证了多尺度特征提取机制在应对近处大果与远处小果尺度剧烈变化时的必要性。</w:t>
            </w:r>
          </w:p>
          <w:p w14:paraId="07661BFC">
            <w:pPr>
              <w:bidi w:val="0"/>
              <w:rPr>
                <w:rFonts w:hint="default"/>
                <w:lang w:val="en-US" w:eastAsia="zh-CN"/>
              </w:rPr>
            </w:pPr>
            <w:r>
              <w:rPr>
                <w:rFonts w:hint="default"/>
                <w:lang w:val="en-US" w:eastAsia="zh-CN"/>
              </w:rPr>
              <w:t>综上所述，本</w:t>
            </w:r>
            <w:r>
              <w:rPr>
                <w:rFonts w:hint="eastAsia"/>
                <w:lang w:val="en-US" w:eastAsia="zh-CN"/>
              </w:rPr>
              <w:t>项目</w:t>
            </w:r>
            <w:r>
              <w:rPr>
                <w:rFonts w:hint="default"/>
                <w:lang w:val="en-US" w:eastAsia="zh-CN"/>
              </w:rPr>
              <w:t>设计的完整架构通过各模块的协同作用，成功实现了草莓感知精度的最大化。</w:t>
            </w:r>
          </w:p>
          <w:p w14:paraId="23182DA4">
            <w:pPr>
              <w:numPr>
                <w:ilvl w:val="0"/>
                <w:numId w:val="0"/>
              </w:numPr>
              <w:bidi w:val="0"/>
              <w:ind w:leftChars="200" w:right="0" w:rightChars="0"/>
              <w:rPr>
                <w:rFonts w:hint="default"/>
                <w:b/>
                <w:bCs/>
                <w:color w:val="auto"/>
                <w:sz w:val="28"/>
                <w:szCs w:val="28"/>
                <w:lang w:val="en-US" w:eastAsia="zh-CN"/>
              </w:rPr>
            </w:pPr>
            <w:r>
              <w:rPr>
                <w:rFonts w:hint="eastAsia"/>
                <w:b/>
                <w:bCs/>
                <w:color w:val="auto"/>
                <w:sz w:val="28"/>
                <w:szCs w:val="28"/>
                <w:lang w:val="en-US" w:eastAsia="zh-CN"/>
              </w:rPr>
              <w:t>7.对比实验</w:t>
            </w:r>
          </w:p>
          <w:p w14:paraId="6CF7E957">
            <w:pPr>
              <w:bidi w:val="0"/>
              <w:rPr>
                <w:rFonts w:hint="default"/>
                <w:lang w:val="en-US" w:eastAsia="zh-CN"/>
              </w:rPr>
            </w:pPr>
            <w:r>
              <w:rPr>
                <w:rFonts w:hint="default"/>
                <w:lang w:val="en-US" w:eastAsia="zh-CN"/>
              </w:rPr>
              <w:t>为了评估本文算法在农业实际部署中的综合竞争力，我们将本方法与当前业界主流的三大目标检测网络（Faster R-CNN、YOLOv8、CenterNet）在检测精度（mAP@0.5）和推理速度（FPS）两个核心维度上进行了交叉对比：</w:t>
            </w:r>
          </w:p>
          <w:p w14:paraId="327B9D8A">
            <w:pPr>
              <w:bidi w:val="0"/>
              <w:rPr>
                <w:rFonts w:hint="default"/>
                <w:lang w:val="en-US" w:eastAsia="zh-CN"/>
              </w:rPr>
            </w:pPr>
            <w:r>
              <w:rPr>
                <w:rFonts w:hint="eastAsia"/>
                <w:lang w:val="en-US" w:eastAsia="zh-CN"/>
              </w:rPr>
              <w:t>1）</w:t>
            </w:r>
            <w:r>
              <w:rPr>
                <w:rFonts w:hint="default"/>
                <w:lang w:val="en-US" w:eastAsia="zh-CN"/>
              </w:rPr>
              <w:t>检测精度优势（mAP@0.5）：本文方法取得了 89.6% 的最高精度，显著优于 YOLOv8（84.9%）、CenterNet（81.3%）以及双阶段算法 Faster R-CNN（78.6%）。这得益于本文引入的 Transformer 全局感知增强机制，有效克服了传统 CNN 在复杂农业背景下的特征提取瓶颈。</w:t>
            </w:r>
          </w:p>
          <w:p w14:paraId="57767014">
            <w:pPr>
              <w:bidi w:val="0"/>
              <w:rPr>
                <w:rFonts w:hint="default"/>
                <w:lang w:val="en-US" w:eastAsia="zh-CN"/>
              </w:rPr>
            </w:pPr>
            <w:r>
              <w:rPr>
                <w:rFonts w:hint="eastAsia"/>
                <w:lang w:val="en-US" w:eastAsia="zh-CN"/>
              </w:rPr>
              <w:t>2）</w:t>
            </w:r>
            <w:r>
              <w:rPr>
                <w:rFonts w:hint="default"/>
                <w:lang w:val="en-US" w:eastAsia="zh-CN"/>
              </w:rPr>
              <w:t>推理速度表现（FPS）：在实时性方面，本文方法的推理帧率达到 28 FPS。虽然略低于以极速轻量化见长的 YOLOv8（33 FPS），但远超笨重的 Faster R-CNN（仅 12 FPS），并且优于无锚框算法 CenterNet（25 FPS）。</w:t>
            </w:r>
          </w:p>
          <w:p w14:paraId="0F44D41F">
            <w:pPr>
              <w:bidi w:val="0"/>
              <w:rPr>
                <w:rFonts w:hint="default"/>
                <w:b/>
                <w:bCs/>
                <w:color w:val="auto"/>
                <w:sz w:val="28"/>
                <w:szCs w:val="28"/>
                <w:lang w:val="en-US" w:eastAsia="zh-CN"/>
              </w:rPr>
            </w:pPr>
            <w:r>
              <w:rPr>
                <w:rFonts w:hint="default"/>
                <w:lang w:val="en-US" w:eastAsia="zh-CN"/>
              </w:rPr>
              <w:t>综合两项关键指标，本文方法在各项对比中展现出了明显的综合优势。其不仅突破了高遮挡环境下的精度天花板（精度最高），同时也维持了出色的推理效率（保持较好实时性），完美契合了果园采摘机器人对“高准度”与“低延迟”的双重工程需求。</w:t>
            </w:r>
          </w:p>
        </w:tc>
      </w:tr>
      <w:tr w14:paraId="0E956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6" w:type="dxa"/>
          </w:tcPr>
          <w:p w14:paraId="210CD5F8">
            <w:pPr>
              <w:numPr>
                <w:ilvl w:val="0"/>
                <w:numId w:val="2"/>
              </w:numPr>
              <w:rPr>
                <w:rFonts w:hint="eastAsia" w:ascii="仿宋" w:hAnsi="仿宋" w:eastAsia="仿宋"/>
                <w:color w:val="auto"/>
                <w:sz w:val="30"/>
                <w:szCs w:val="30"/>
              </w:rPr>
            </w:pPr>
            <w:r>
              <w:rPr>
                <w:rFonts w:hint="eastAsia" w:ascii="仿宋" w:hAnsi="仿宋" w:eastAsia="仿宋"/>
                <w:color w:val="auto"/>
                <w:sz w:val="30"/>
                <w:szCs w:val="30"/>
              </w:rPr>
              <w:t>研究方案及进度安排：</w:t>
            </w:r>
          </w:p>
          <w:p w14:paraId="74AC26E3">
            <w:pPr>
              <w:pStyle w:val="2"/>
              <w:rPr>
                <w:rFonts w:hint="default" w:ascii="Times New Roman" w:hAnsi="Times New Roman" w:eastAsia="宋体" w:cs="Times New Roman"/>
                <w:b/>
                <w:bCs/>
                <w:color w:val="auto"/>
              </w:rPr>
            </w:pPr>
            <w:bookmarkStart w:id="4" w:name="课题总体研究方案"/>
            <w:r>
              <w:rPr>
                <w:rFonts w:hint="default" w:ascii="Times New Roman" w:hAnsi="Times New Roman" w:eastAsia="宋体" w:cs="Times New Roman"/>
                <w:b/>
                <w:bCs/>
                <w:color w:val="auto"/>
              </w:rPr>
              <w:t>1. 课题总体研究方案</w:t>
            </w:r>
          </w:p>
          <w:p w14:paraId="08573EF6">
            <w:pPr>
              <w:pStyle w:val="14"/>
              <w:rPr>
                <w:rFonts w:hint="default" w:ascii="Times New Roman" w:hAnsi="Times New Roman" w:eastAsia="宋体" w:cs="Times New Roman"/>
                <w:color w:val="auto"/>
              </w:rPr>
            </w:pPr>
            <w:r>
              <w:rPr>
                <w:rFonts w:hint="default" w:ascii="Times New Roman" w:hAnsi="Times New Roman" w:eastAsia="宋体" w:cs="Times New Roman"/>
                <w:color w:val="auto"/>
              </w:rPr>
              <w:t>本课题旨在实现一套实用的草莓三维感知原型系统，研究方案主要分为“模型训练”与“系统集成”两个部分：</w:t>
            </w:r>
          </w:p>
          <w:p w14:paraId="54009AB3">
            <w:pPr>
              <w:pStyle w:val="15"/>
              <w:numPr>
                <w:ilvl w:val="0"/>
                <w:numId w:val="3"/>
              </w:numPr>
              <w:rPr>
                <w:rFonts w:hint="default" w:ascii="Times New Roman" w:hAnsi="Times New Roman" w:eastAsia="宋体" w:cs="Times New Roman"/>
                <w:color w:val="auto"/>
              </w:rPr>
            </w:pPr>
            <w:r>
              <w:rPr>
                <w:rFonts w:hint="default" w:ascii="Times New Roman" w:hAnsi="Times New Roman" w:eastAsia="宋体" w:cs="Times New Roman"/>
                <w:b/>
                <w:bCs/>
                <w:color w:val="auto"/>
              </w:rPr>
              <w:t>模型应用路径</w:t>
            </w:r>
            <w:r>
              <w:rPr>
                <w:rFonts w:hint="default" w:ascii="Times New Roman" w:hAnsi="Times New Roman" w:eastAsia="宋体" w:cs="Times New Roman"/>
                <w:color w:val="auto"/>
              </w:rPr>
              <w:t>：核心逻辑为利用深度学习获取模型权重。首先通过训练好的 Darknet-Transformer 混合模型产出权重文件；系统运行时，由后端加载权重并对输入图像进行前向推理，获取 22 维空间向量；最后通过几何侧的 EPnP 分支完成从像素到 3D 位姿的数学转换。</w:t>
            </w:r>
          </w:p>
          <w:p w14:paraId="2981FD6A">
            <w:pPr>
              <w:pStyle w:val="15"/>
              <w:numPr>
                <w:ilvl w:val="0"/>
                <w:numId w:val="3"/>
              </w:numPr>
              <w:rPr>
                <w:rFonts w:hint="default" w:ascii="Times New Roman" w:hAnsi="Times New Roman" w:eastAsia="宋体" w:cs="Times New Roman"/>
                <w:color w:val="auto"/>
              </w:rPr>
            </w:pPr>
            <w:r>
              <w:rPr>
                <w:rFonts w:hint="default" w:ascii="Times New Roman" w:hAnsi="Times New Roman" w:eastAsia="宋体" w:cs="Times New Roman"/>
                <w:b/>
                <w:bCs/>
                <w:color w:val="auto"/>
              </w:rPr>
              <w:t>系统工程路径</w:t>
            </w:r>
            <w:r>
              <w:rPr>
                <w:rFonts w:hint="default" w:ascii="Times New Roman" w:hAnsi="Times New Roman" w:eastAsia="宋体" w:cs="Times New Roman"/>
                <w:color w:val="auto"/>
              </w:rPr>
              <w:t xml:space="preserve">：采用前后端分离的架构实现。后端基于 </w:t>
            </w:r>
            <w:r>
              <w:rPr>
                <w:rFonts w:hint="default" w:ascii="Times New Roman" w:hAnsi="Times New Roman" w:eastAsia="宋体" w:cs="Times New Roman"/>
                <w:b/>
                <w:bCs/>
                <w:color w:val="auto"/>
              </w:rPr>
              <w:t>FastAPI</w:t>
            </w:r>
            <w:r>
              <w:rPr>
                <w:rFonts w:hint="default" w:ascii="Times New Roman" w:hAnsi="Times New Roman" w:eastAsia="宋体" w:cs="Times New Roman"/>
                <w:color w:val="auto"/>
              </w:rPr>
              <w:t xml:space="preserve"> 框架搭建，主要负责模型权重的加载、图像预处理及神经网络推理；前端采用 </w:t>
            </w:r>
            <w:r>
              <w:rPr>
                <w:rFonts w:hint="default" w:ascii="Times New Roman" w:hAnsi="Times New Roman" w:eastAsia="宋体" w:cs="Times New Roman"/>
                <w:b/>
                <w:bCs/>
                <w:color w:val="auto"/>
              </w:rPr>
              <w:t>Vue.js</w:t>
            </w:r>
            <w:r>
              <w:rPr>
                <w:rFonts w:hint="default" w:ascii="Times New Roman" w:hAnsi="Times New Roman" w:eastAsia="宋体" w:cs="Times New Roman"/>
                <w:color w:val="auto"/>
              </w:rPr>
              <w:t xml:space="preserve"> 开发交互控制台，主要负责接收后端返回的位姿数据，并实时展示 3D 边界框及坐标信息。</w:t>
            </w:r>
          </w:p>
          <w:bookmarkEnd w:id="4"/>
          <w:p w14:paraId="76845348">
            <w:pPr>
              <w:pStyle w:val="2"/>
              <w:rPr>
                <w:rFonts w:hint="default" w:ascii="Times New Roman" w:hAnsi="Times New Roman" w:eastAsia="宋体" w:cs="Times New Roman"/>
                <w:b/>
                <w:bCs/>
                <w:color w:val="auto"/>
              </w:rPr>
            </w:pPr>
            <w:bookmarkStart w:id="5" w:name="课题当前进度与已完成工作"/>
            <w:r>
              <w:rPr>
                <w:rFonts w:hint="default" w:ascii="Times New Roman" w:hAnsi="Times New Roman" w:eastAsia="宋体" w:cs="Times New Roman"/>
                <w:b/>
                <w:bCs/>
                <w:color w:val="auto"/>
              </w:rPr>
              <w:t>2. 课题当前进度与已完成工作</w:t>
            </w:r>
          </w:p>
          <w:p w14:paraId="4E8F3013">
            <w:pPr>
              <w:pStyle w:val="14"/>
              <w:rPr>
                <w:rFonts w:hint="default" w:ascii="Times New Roman" w:hAnsi="Times New Roman" w:eastAsia="宋体" w:cs="Times New Roman"/>
                <w:color w:val="auto"/>
              </w:rPr>
            </w:pPr>
            <w:r>
              <w:rPr>
                <w:rFonts w:hint="default" w:ascii="Times New Roman" w:hAnsi="Times New Roman" w:eastAsia="宋体" w:cs="Times New Roman"/>
                <w:color w:val="auto"/>
              </w:rPr>
              <w:t>截至 2026 年 4 月的中期答辩阶段，本课题已完成了全链路的开发工作，实现了从图像输入到 3D 结果输出的闭环：</w:t>
            </w:r>
          </w:p>
          <w:p w14:paraId="2DF4ED52">
            <w:pPr>
              <w:pStyle w:val="15"/>
              <w:numPr>
                <w:ilvl w:val="0"/>
                <w:numId w:val="0"/>
              </w:numPr>
              <w:ind w:leftChars="200" w:right="0" w:rightChars="0"/>
              <w:rPr>
                <w:rFonts w:hint="default" w:ascii="Times New Roman" w:hAnsi="Times New Roman" w:eastAsia="宋体" w:cs="Times New Roman"/>
                <w:color w:val="auto"/>
              </w:rPr>
            </w:pPr>
            <w:r>
              <w:rPr>
                <w:rFonts w:hint="default" w:ascii="Times New Roman" w:hAnsi="Times New Roman" w:eastAsia="宋体" w:cs="Times New Roman"/>
                <w:b/>
                <w:bCs/>
                <w:color w:val="auto"/>
              </w:rPr>
              <w:t>模型训练完成</w:t>
            </w:r>
            <w:r>
              <w:rPr>
                <w:rFonts w:hint="default" w:ascii="Times New Roman" w:hAnsi="Times New Roman" w:eastAsia="宋体" w:cs="Times New Roman"/>
                <w:color w:val="auto"/>
              </w:rPr>
              <w:t>：已在 GPU 环境下完成 300 个 Epoch 的密集训练，产出了收敛状态良好的权重文</w:t>
            </w:r>
            <w:r>
              <w:rPr>
                <w:rFonts w:hint="eastAsia" w:cs="Times New Roman"/>
                <w:color w:val="auto"/>
                <w:lang w:val="en-US" w:eastAsia="zh-CN"/>
              </w:rPr>
              <w:t>件</w:t>
            </w:r>
            <w:r>
              <w:rPr>
                <w:rStyle w:val="16"/>
                <w:rFonts w:hint="default" w:ascii="Times New Roman" w:hAnsi="Times New Roman" w:eastAsia="宋体" w:cs="Times New Roman"/>
                <w:color w:val="auto"/>
              </w:rPr>
              <w:t>darknet_strawberry_checkpoint.pth</w:t>
            </w:r>
            <w:r>
              <w:rPr>
                <w:rFonts w:hint="default" w:ascii="Times New Roman" w:hAnsi="Times New Roman" w:eastAsia="宋体" w:cs="Times New Roman"/>
                <w:color w:val="auto"/>
              </w:rPr>
              <w:t>。</w:t>
            </w:r>
          </w:p>
          <w:p w14:paraId="76B74422">
            <w:pPr>
              <w:pStyle w:val="15"/>
              <w:numPr>
                <w:ilvl w:val="0"/>
                <w:numId w:val="0"/>
              </w:numPr>
              <w:ind w:leftChars="200" w:right="0" w:rightChars="0"/>
              <w:rPr>
                <w:rFonts w:hint="default" w:ascii="Times New Roman" w:hAnsi="Times New Roman" w:eastAsia="宋体" w:cs="Times New Roman"/>
                <w:color w:val="auto"/>
              </w:rPr>
            </w:pPr>
            <w:r>
              <w:rPr>
                <w:rFonts w:hint="default" w:ascii="Times New Roman" w:hAnsi="Times New Roman" w:eastAsia="宋体" w:cs="Times New Roman"/>
                <w:b/>
                <w:bCs/>
                <w:color w:val="auto"/>
              </w:rPr>
              <w:t>前后端系统打通</w:t>
            </w:r>
            <w:r>
              <w:rPr>
                <w:rFonts w:hint="default" w:ascii="Times New Roman" w:hAnsi="Times New Roman" w:eastAsia="宋体" w:cs="Times New Roman"/>
                <w:color w:val="auto"/>
              </w:rPr>
              <w:t>：</w:t>
            </w:r>
            <w:r>
              <w:rPr>
                <w:rFonts w:hint="default" w:ascii="Times New Roman" w:hAnsi="Times New Roman" w:eastAsia="宋体" w:cs="Times New Roman"/>
                <w:b/>
                <w:bCs/>
                <w:color w:val="auto"/>
              </w:rPr>
              <w:t>后端</w:t>
            </w:r>
            <w:r>
              <w:rPr>
                <w:rFonts w:hint="default" w:ascii="Times New Roman" w:hAnsi="Times New Roman" w:eastAsia="宋体" w:cs="Times New Roman"/>
                <w:color w:val="auto"/>
              </w:rPr>
              <w:t>已实现 FastAPI 推理接口，能够稳定执行模型推理并调用几何解算分支。</w:t>
            </w:r>
            <w:r>
              <w:rPr>
                <w:rFonts w:hint="default" w:ascii="Times New Roman" w:hAnsi="Times New Roman" w:eastAsia="宋体" w:cs="Times New Roman"/>
                <w:b/>
                <w:bCs/>
                <w:color w:val="auto"/>
              </w:rPr>
              <w:t>前端</w:t>
            </w:r>
            <w:r>
              <w:rPr>
                <w:rFonts w:hint="default" w:ascii="Times New Roman" w:hAnsi="Times New Roman" w:eastAsia="宋体" w:cs="Times New Roman"/>
                <w:color w:val="auto"/>
              </w:rPr>
              <w:t>已完成 Vue.js 控制台基础开发，支持图像上传、实时检测结果显示及系统日志记录。</w:t>
            </w:r>
          </w:p>
          <w:p w14:paraId="0E0284D3">
            <w:pPr>
              <w:pStyle w:val="15"/>
              <w:numPr>
                <w:ilvl w:val="0"/>
                <w:numId w:val="0"/>
              </w:numPr>
              <w:ind w:leftChars="200" w:right="0" w:rightChars="0"/>
              <w:rPr>
                <w:rFonts w:hint="default" w:ascii="Times New Roman" w:hAnsi="Times New Roman" w:eastAsia="宋体" w:cs="Times New Roman"/>
                <w:color w:val="auto"/>
              </w:rPr>
            </w:pPr>
            <w:r>
              <w:rPr>
                <w:rFonts w:hint="default" w:ascii="Times New Roman" w:hAnsi="Times New Roman" w:eastAsia="宋体" w:cs="Times New Roman"/>
                <w:b/>
                <w:bCs/>
                <w:color w:val="auto"/>
              </w:rPr>
              <w:t>文档与代码管理</w:t>
            </w:r>
            <w:r>
              <w:rPr>
                <w:rFonts w:hint="default" w:ascii="Times New Roman" w:hAnsi="Times New Roman" w:eastAsia="宋体" w:cs="Times New Roman"/>
                <w:color w:val="auto"/>
              </w:rPr>
              <w:t>：核心代码已实现 Git 托管，并整理了《系统架构设计》等阶段性技术文档。</w:t>
            </w:r>
          </w:p>
          <w:bookmarkEnd w:id="5"/>
          <w:p w14:paraId="419C744A">
            <w:pPr>
              <w:pStyle w:val="2"/>
              <w:rPr>
                <w:rFonts w:hint="default" w:ascii="Times New Roman" w:hAnsi="Times New Roman" w:eastAsia="宋体" w:cs="Times New Roman"/>
                <w:b/>
                <w:bCs/>
                <w:color w:val="auto"/>
              </w:rPr>
            </w:pPr>
            <w:r>
              <w:rPr>
                <w:rFonts w:hint="default" w:ascii="Times New Roman" w:hAnsi="Times New Roman" w:eastAsia="宋体" w:cs="Times New Roman"/>
                <w:b/>
                <w:bCs/>
                <w:color w:val="auto"/>
              </w:rPr>
              <w:t>3. 进度安排与后续研究计划</w:t>
            </w:r>
          </w:p>
          <w:p w14:paraId="0D02D5D2">
            <w:pPr>
              <w:pStyle w:val="14"/>
              <w:rPr>
                <w:rFonts w:hint="default" w:ascii="Times New Roman" w:hAnsi="Times New Roman" w:eastAsia="宋体" w:cs="Times New Roman"/>
                <w:color w:val="auto"/>
              </w:rPr>
            </w:pPr>
            <w:r>
              <w:rPr>
                <w:rFonts w:hint="default" w:ascii="Times New Roman" w:hAnsi="Times New Roman" w:eastAsia="宋体" w:cs="Times New Roman"/>
                <w:color w:val="auto"/>
              </w:rPr>
              <w:t xml:space="preserve">后期工作将从“功能实现”转向“性能测试”与“精度调优”： </w:t>
            </w:r>
          </w:p>
          <w:p w14:paraId="49E3A8F7">
            <w:pPr>
              <w:pStyle w:val="14"/>
              <w:rPr>
                <w:rFonts w:hint="default" w:ascii="Times New Roman" w:hAnsi="Times New Roman" w:eastAsia="宋体" w:cs="Times New Roman"/>
                <w:color w:val="auto"/>
              </w:rPr>
            </w:pPr>
            <w:r>
              <w:rPr>
                <w:rFonts w:hint="default" w:ascii="Times New Roman" w:hAnsi="Times New Roman" w:eastAsia="宋体" w:cs="Times New Roman"/>
                <w:b/>
                <w:bCs/>
                <w:color w:val="auto"/>
              </w:rPr>
              <w:t>第五阶段 (2026.04 - 05)：系统测试与对比分析</w:t>
            </w:r>
            <w:r>
              <w:rPr>
                <w:rFonts w:hint="default" w:ascii="Times New Roman" w:hAnsi="Times New Roman" w:eastAsia="宋体" w:cs="Times New Roman"/>
                <w:color w:val="auto"/>
              </w:rPr>
              <w:t xml:space="preserve"> </w:t>
            </w:r>
          </w:p>
          <w:p w14:paraId="4250E94D">
            <w:pPr>
              <w:pStyle w:val="14"/>
              <w:numPr>
                <w:ilvl w:val="0"/>
                <w:numId w:val="4"/>
              </w:numPr>
              <w:rPr>
                <w:rFonts w:hint="default" w:ascii="Times New Roman" w:hAnsi="Times New Roman" w:eastAsia="宋体" w:cs="Times New Roman"/>
                <w:color w:val="auto"/>
              </w:rPr>
            </w:pPr>
            <w:r>
              <w:rPr>
                <w:rFonts w:hint="default" w:ascii="Times New Roman" w:hAnsi="Times New Roman" w:eastAsia="宋体" w:cs="Times New Roman"/>
                <w:b/>
                <w:bCs/>
                <w:color w:val="auto"/>
              </w:rPr>
              <w:t>性能实测</w:t>
            </w:r>
            <w:r>
              <w:rPr>
                <w:rFonts w:hint="default" w:ascii="Times New Roman" w:hAnsi="Times New Roman" w:eastAsia="宋体" w:cs="Times New Roman"/>
                <w:color w:val="auto"/>
              </w:rPr>
              <w:t xml:space="preserve">：对系统在不同设备上的推理延迟（Latency）进行准确测试，量化网络推理与几何解算各阶段的时间开销。 </w:t>
            </w:r>
          </w:p>
          <w:p w14:paraId="42E38BA8">
            <w:pPr>
              <w:pStyle w:val="14"/>
              <w:numPr>
                <w:ilvl w:val="0"/>
                <w:numId w:val="4"/>
              </w:numPr>
              <w:rPr>
                <w:rFonts w:hint="default" w:ascii="Times New Roman" w:hAnsi="Times New Roman" w:eastAsia="宋体" w:cs="Times New Roman"/>
                <w:color w:val="auto"/>
              </w:rPr>
            </w:pPr>
            <w:r>
              <w:rPr>
                <w:rFonts w:hint="default" w:ascii="Times New Roman" w:hAnsi="Times New Roman" w:eastAsia="宋体" w:cs="Times New Roman"/>
                <w:b/>
                <w:bCs/>
                <w:color w:val="auto"/>
              </w:rPr>
              <w:t>精度对比</w:t>
            </w:r>
            <w:r>
              <w:rPr>
                <w:rFonts w:hint="default" w:ascii="Times New Roman" w:hAnsi="Times New Roman" w:eastAsia="宋体" w:cs="Times New Roman"/>
                <w:color w:val="auto"/>
              </w:rPr>
              <w:t>：开展与传统双阶段算法的对比实验，计算位姿预测的平均绝对误差（MAE）。</w:t>
            </w:r>
          </w:p>
          <w:p w14:paraId="7103ED15">
            <w:pPr>
              <w:pStyle w:val="14"/>
              <w:numPr>
                <w:numId w:val="0"/>
              </w:numPr>
              <w:ind w:leftChars="200" w:right="0" w:rightChars="0"/>
              <w:rPr>
                <w:rFonts w:hint="default" w:ascii="Times New Roman" w:hAnsi="Times New Roman" w:eastAsia="宋体" w:cs="Times New Roman"/>
                <w:color w:val="auto"/>
              </w:rPr>
            </w:pPr>
            <w:r>
              <w:rPr>
                <w:rFonts w:hint="default" w:ascii="Times New Roman" w:hAnsi="Times New Roman" w:eastAsia="宋体" w:cs="Times New Roman"/>
                <w:b/>
                <w:bCs/>
                <w:color w:val="auto"/>
              </w:rPr>
              <w:t>第六阶段 (2026.05 - 06)：论文撰写与答辩</w:t>
            </w:r>
            <w:r>
              <w:rPr>
                <w:rFonts w:hint="default" w:ascii="Times New Roman" w:hAnsi="Times New Roman" w:eastAsia="宋体" w:cs="Times New Roman"/>
                <w:color w:val="auto"/>
              </w:rPr>
              <w:t xml:space="preserve"> </w:t>
            </w:r>
          </w:p>
          <w:p w14:paraId="16E84A57">
            <w:pPr>
              <w:pStyle w:val="14"/>
              <w:numPr>
                <w:numId w:val="0"/>
              </w:numPr>
              <w:ind w:right="0" w:rightChars="0" w:firstLine="480" w:firstLineChars="200"/>
              <w:rPr>
                <w:rFonts w:hint="default" w:ascii="Times New Roman" w:hAnsi="Times New Roman" w:eastAsia="宋体" w:cs="Times New Roman"/>
                <w:color w:val="auto"/>
              </w:rPr>
            </w:pPr>
            <w:r>
              <w:rPr>
                <w:rFonts w:hint="eastAsia" w:cs="Times New Roman"/>
                <w:color w:val="auto"/>
                <w:lang w:val="en-US" w:eastAsia="zh-CN"/>
              </w:rPr>
              <w:t>1.</w:t>
            </w:r>
            <w:r>
              <w:rPr>
                <w:rFonts w:hint="default" w:ascii="Times New Roman" w:hAnsi="Times New Roman" w:eastAsia="宋体" w:cs="Times New Roman"/>
                <w:color w:val="auto"/>
              </w:rPr>
              <w:t xml:space="preserve">整理实验图表，完成毕业论文定稿。 </w:t>
            </w:r>
          </w:p>
          <w:p w14:paraId="5464FEEC">
            <w:pPr>
              <w:pStyle w:val="14"/>
              <w:numPr>
                <w:numId w:val="0"/>
              </w:numPr>
              <w:ind w:right="0" w:rightChars="0" w:firstLine="480" w:firstLineChars="200"/>
              <w:rPr>
                <w:rFonts w:hint="default" w:ascii="Times New Roman" w:hAnsi="Times New Roman" w:eastAsia="宋体" w:cs="Times New Roman"/>
                <w:color w:val="auto"/>
              </w:rPr>
            </w:pPr>
            <w:r>
              <w:rPr>
                <w:rFonts w:hint="eastAsia" w:cs="Times New Roman"/>
                <w:color w:val="auto"/>
                <w:lang w:val="en-US" w:eastAsia="zh-CN"/>
              </w:rPr>
              <w:t>2.</w:t>
            </w:r>
            <w:r>
              <w:rPr>
                <w:rFonts w:hint="default" w:ascii="Times New Roman" w:hAnsi="Times New Roman" w:eastAsia="宋体" w:cs="Times New Roman"/>
                <w:color w:val="auto"/>
              </w:rPr>
              <w:t>录制演示视频，准备最终答辩。</w:t>
            </w:r>
          </w:p>
          <w:p w14:paraId="42908CEB">
            <w:pPr>
              <w:bidi w:val="0"/>
              <w:rPr>
                <w:rFonts w:hint="eastAsia" w:ascii="仿宋" w:hAnsi="仿宋" w:eastAsia="仿宋"/>
                <w:color w:val="auto"/>
                <w:sz w:val="30"/>
                <w:szCs w:val="30"/>
              </w:rPr>
            </w:pPr>
          </w:p>
        </w:tc>
      </w:tr>
      <w:tr w14:paraId="0799A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6" w:type="dxa"/>
          </w:tcPr>
          <w:p w14:paraId="15EC59AA">
            <w:pPr>
              <w:rPr>
                <w:rFonts w:hint="eastAsia" w:ascii="仿宋" w:hAnsi="仿宋" w:eastAsia="仿宋"/>
                <w:color w:val="auto"/>
                <w:sz w:val="30"/>
                <w:szCs w:val="30"/>
              </w:rPr>
            </w:pPr>
            <w:r>
              <w:rPr>
                <w:rFonts w:hint="eastAsia" w:ascii="仿宋" w:hAnsi="仿宋" w:eastAsia="仿宋"/>
                <w:color w:val="auto"/>
                <w:sz w:val="30"/>
                <w:szCs w:val="30"/>
              </w:rPr>
              <w:t>三、进度完成情况：</w:t>
            </w:r>
          </w:p>
          <w:p w14:paraId="1164912A">
            <w:pPr>
              <w:bidi w:val="0"/>
              <w:rPr>
                <w:color w:val="auto"/>
              </w:rPr>
            </w:pPr>
            <w:r>
              <w:rPr>
                <w:rFonts w:hint="eastAsia"/>
                <w:color w:val="auto"/>
              </w:rPr>
              <w:t>项目进度严格遵循预定时间表，目前已成功跨越“核心算法开发期”进入“实验数据完善期”。</w:t>
            </w:r>
            <w:r>
              <w:rPr>
                <w:color w:val="auto"/>
              </w:rPr>
              <w:br w:type="textWrapping"/>
            </w:r>
            <w:r>
              <w:rPr>
                <w:rFonts w:hint="eastAsia"/>
                <w:color w:val="auto"/>
                <w:lang w:val="en-US" w:eastAsia="zh-CN"/>
              </w:rPr>
              <w:t xml:space="preserve">    </w:t>
            </w:r>
            <w:r>
              <w:rPr>
                <w:rFonts w:hint="eastAsia"/>
                <w:color w:val="auto"/>
              </w:rPr>
              <w:t>算法设计：100%</w:t>
            </w:r>
            <w:r>
              <w:rPr>
                <w:color w:val="auto"/>
              </w:rPr>
              <w:t xml:space="preserve"> </w:t>
            </w:r>
            <w:r>
              <w:rPr>
                <w:rFonts w:hint="eastAsia"/>
                <w:color w:val="auto"/>
              </w:rPr>
              <w:t>完成。</w:t>
            </w:r>
            <w:r>
              <w:rPr>
                <w:color w:val="auto"/>
              </w:rPr>
              <w:br w:type="textWrapping"/>
            </w:r>
            <w:r>
              <w:rPr>
                <w:rFonts w:hint="eastAsia"/>
                <w:color w:val="auto"/>
                <w:lang w:val="en-US" w:eastAsia="zh-CN"/>
              </w:rPr>
              <w:t xml:space="preserve">    </w:t>
            </w:r>
            <w:r>
              <w:rPr>
                <w:rFonts w:hint="eastAsia"/>
                <w:color w:val="auto"/>
              </w:rPr>
              <w:t>模型训练：100%</w:t>
            </w:r>
            <w:r>
              <w:rPr>
                <w:color w:val="auto"/>
              </w:rPr>
              <w:t xml:space="preserve"> </w:t>
            </w:r>
            <w:r>
              <w:rPr>
                <w:rFonts w:hint="eastAsia"/>
                <w:color w:val="auto"/>
              </w:rPr>
              <w:t>完成（已达到预期收敛目标）。</w:t>
            </w:r>
            <w:r>
              <w:rPr>
                <w:color w:val="auto"/>
              </w:rPr>
              <w:br w:type="textWrapping"/>
            </w:r>
            <w:r>
              <w:rPr>
                <w:rFonts w:hint="eastAsia"/>
                <w:color w:val="auto"/>
                <w:lang w:val="en-US" w:eastAsia="zh-CN"/>
              </w:rPr>
              <w:t xml:space="preserve">    </w:t>
            </w:r>
            <w:r>
              <w:rPr>
                <w:rFonts w:hint="eastAsia"/>
                <w:color w:val="auto"/>
              </w:rPr>
              <w:t>系统集成：90%</w:t>
            </w:r>
            <w:r>
              <w:rPr>
                <w:color w:val="auto"/>
              </w:rPr>
              <w:t xml:space="preserve"> </w:t>
            </w:r>
            <w:r>
              <w:rPr>
                <w:rFonts w:hint="eastAsia"/>
                <w:color w:val="auto"/>
              </w:rPr>
              <w:t>完成（剩余部分针对移动端的</w:t>
            </w:r>
            <w:r>
              <w:rPr>
                <w:color w:val="auto"/>
              </w:rPr>
              <w:t xml:space="preserve"> UI </w:t>
            </w:r>
            <w:r>
              <w:rPr>
                <w:rFonts w:hint="eastAsia"/>
                <w:color w:val="auto"/>
              </w:rPr>
              <w:t>适配）。</w:t>
            </w:r>
            <w:r>
              <w:rPr>
                <w:color w:val="auto"/>
              </w:rPr>
              <w:br w:type="textWrapping"/>
            </w:r>
            <w:r>
              <w:rPr>
                <w:rFonts w:hint="eastAsia"/>
                <w:color w:val="auto"/>
                <w:lang w:val="en-US" w:eastAsia="zh-CN"/>
              </w:rPr>
              <w:t xml:space="preserve">    </w:t>
            </w:r>
            <w:r>
              <w:rPr>
                <w:rFonts w:hint="eastAsia"/>
                <w:color w:val="auto"/>
              </w:rPr>
              <w:t>实验分析：</w:t>
            </w:r>
            <w:r>
              <w:rPr>
                <w:rFonts w:hint="eastAsia"/>
                <w:color w:val="auto"/>
                <w:lang w:val="en-US" w:eastAsia="zh-CN"/>
              </w:rPr>
              <w:t>10</w:t>
            </w:r>
            <w:r>
              <w:rPr>
                <w:rFonts w:hint="eastAsia"/>
                <w:color w:val="auto"/>
              </w:rPr>
              <w:t>0%</w:t>
            </w:r>
            <w:r>
              <w:rPr>
                <w:color w:val="auto"/>
              </w:rPr>
              <w:t xml:space="preserve"> </w:t>
            </w:r>
            <w:r>
              <w:rPr>
                <w:rFonts w:hint="eastAsia"/>
                <w:color w:val="auto"/>
              </w:rPr>
              <w:t>完成（</w:t>
            </w:r>
            <w:r>
              <w:rPr>
                <w:rFonts w:hint="eastAsia"/>
                <w:color w:val="auto"/>
                <w:lang w:val="en-US" w:eastAsia="zh-CN"/>
              </w:rPr>
              <w:t>已完成</w:t>
            </w:r>
            <w:r>
              <w:rPr>
                <w:rFonts w:hint="eastAsia"/>
                <w:color w:val="auto"/>
              </w:rPr>
              <w:t>对比实验）。</w:t>
            </w:r>
            <w:r>
              <w:rPr>
                <w:color w:val="auto"/>
              </w:rPr>
              <w:br w:type="textWrapping"/>
            </w:r>
            <w:r>
              <w:rPr>
                <w:rFonts w:hint="eastAsia"/>
                <w:color w:val="auto"/>
                <w:lang w:val="en-US" w:eastAsia="zh-CN"/>
              </w:rPr>
              <w:t xml:space="preserve">    </w:t>
            </w:r>
            <w:r>
              <w:rPr>
                <w:rFonts w:hint="eastAsia"/>
                <w:color w:val="auto"/>
              </w:rPr>
              <w:t>论文起草：40%</w:t>
            </w:r>
            <w:r>
              <w:rPr>
                <w:color w:val="auto"/>
              </w:rPr>
              <w:t xml:space="preserve"> </w:t>
            </w:r>
            <w:r>
              <w:rPr>
                <w:rFonts w:hint="eastAsia"/>
                <w:color w:val="auto"/>
              </w:rPr>
              <w:t>完成（已完成背景及架构章节）。</w:t>
            </w:r>
          </w:p>
          <w:p w14:paraId="194F096B">
            <w:pPr>
              <w:rPr>
                <w:rFonts w:hint="eastAsia" w:ascii="仿宋" w:hAnsi="仿宋" w:eastAsia="仿宋"/>
                <w:color w:val="auto"/>
                <w:sz w:val="30"/>
                <w:szCs w:val="30"/>
              </w:rPr>
            </w:pPr>
          </w:p>
        </w:tc>
      </w:tr>
      <w:tr w14:paraId="1A39D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6" w:type="dxa"/>
          </w:tcPr>
          <w:p w14:paraId="2C363A18">
            <w:pPr>
              <w:rPr>
                <w:rFonts w:hint="eastAsia" w:ascii="仿宋" w:hAnsi="仿宋" w:eastAsia="仿宋"/>
                <w:color w:val="auto"/>
                <w:sz w:val="30"/>
                <w:szCs w:val="30"/>
              </w:rPr>
            </w:pPr>
            <w:r>
              <w:rPr>
                <w:rFonts w:hint="eastAsia" w:ascii="仿宋" w:hAnsi="仿宋" w:eastAsia="仿宋"/>
                <w:color w:val="auto"/>
                <w:sz w:val="30"/>
                <w:szCs w:val="30"/>
              </w:rPr>
              <w:t>四、已完成的研究工作及成果：</w:t>
            </w:r>
          </w:p>
          <w:p w14:paraId="14B0942F">
            <w:pPr>
              <w:numPr>
                <w:ilvl w:val="0"/>
                <w:numId w:val="5"/>
              </w:numPr>
              <w:bidi w:val="0"/>
              <w:jc w:val="both"/>
              <w:rPr>
                <w:color w:val="auto"/>
              </w:rPr>
            </w:pPr>
            <w:r>
              <w:rPr>
                <w:rFonts w:hint="eastAsia"/>
                <w:color w:val="auto"/>
              </w:rPr>
              <w:t>理论成果：提出并验证了基于</w:t>
            </w:r>
            <w:r>
              <w:rPr>
                <w:color w:val="auto"/>
              </w:rPr>
              <w:t xml:space="preserve"> Transformer </w:t>
            </w:r>
            <w:r>
              <w:rPr>
                <w:rFonts w:hint="eastAsia"/>
                <w:color w:val="auto"/>
              </w:rPr>
              <w:t>全局感知增强的草莓三维姿态回归算法，解决了复杂果园环境下目标关联性受损的问题。</w:t>
            </w:r>
          </w:p>
          <w:p w14:paraId="43192E62">
            <w:pPr>
              <w:numPr>
                <w:ilvl w:val="0"/>
                <w:numId w:val="5"/>
              </w:numPr>
              <w:bidi w:val="0"/>
              <w:jc w:val="both"/>
              <w:rPr>
                <w:color w:val="auto"/>
              </w:rPr>
            </w:pPr>
            <w:r>
              <w:rPr>
                <w:rFonts w:hint="eastAsia"/>
                <w:color w:val="auto"/>
              </w:rPr>
              <w:t>代码成果：交付了一套高质量、模块化的</w:t>
            </w:r>
            <w:r>
              <w:rPr>
                <w:color w:val="auto"/>
              </w:rPr>
              <w:t xml:space="preserve"> Python </w:t>
            </w:r>
            <w:r>
              <w:rPr>
                <w:rFonts w:hint="eastAsia"/>
                <w:color w:val="auto"/>
              </w:rPr>
              <w:t>推理引擎及对应的</w:t>
            </w:r>
            <w:r>
              <w:rPr>
                <w:color w:val="auto"/>
              </w:rPr>
              <w:t xml:space="preserve"> Vue.js </w:t>
            </w:r>
            <w:r>
              <w:rPr>
                <w:rFonts w:hint="eastAsia"/>
                <w:color w:val="auto"/>
              </w:rPr>
              <w:t>前端监控系统，代码严格遵循</w:t>
            </w:r>
            <w:r>
              <w:rPr>
                <w:color w:val="auto"/>
              </w:rPr>
              <w:t xml:space="preserve"> PEP8 </w:t>
            </w:r>
            <w:r>
              <w:rPr>
                <w:rFonts w:hint="eastAsia"/>
                <w:color w:val="auto"/>
              </w:rPr>
              <w:t>规范。</w:t>
            </w:r>
          </w:p>
          <w:p w14:paraId="4FD7591C">
            <w:pPr>
              <w:numPr>
                <w:ilvl w:val="0"/>
                <w:numId w:val="5"/>
              </w:numPr>
              <w:bidi w:val="0"/>
              <w:jc w:val="both"/>
              <w:rPr>
                <w:color w:val="auto"/>
              </w:rPr>
            </w:pPr>
            <w:r>
              <w:rPr>
                <w:rFonts w:hint="eastAsia"/>
                <w:color w:val="auto"/>
              </w:rPr>
              <w:t>数据成果：建立了一套包含</w:t>
            </w:r>
            <w:r>
              <w:rPr>
                <w:color w:val="auto"/>
              </w:rPr>
              <w:t xml:space="preserve"> 22 </w:t>
            </w:r>
            <w:r>
              <w:rPr>
                <w:rFonts w:hint="eastAsia"/>
                <w:color w:val="auto"/>
              </w:rPr>
              <w:t>维空间向量的标注扩展库，为后续研究提供了高质量的</w:t>
            </w:r>
            <w:r>
              <w:rPr>
                <w:color w:val="auto"/>
              </w:rPr>
              <w:t xml:space="preserve"> 3D </w:t>
            </w:r>
            <w:r>
              <w:rPr>
                <w:rFonts w:hint="eastAsia"/>
                <w:color w:val="auto"/>
              </w:rPr>
              <w:t>感知真值。</w:t>
            </w:r>
          </w:p>
          <w:p w14:paraId="2BDB618B">
            <w:pPr>
              <w:numPr>
                <w:ilvl w:val="0"/>
                <w:numId w:val="5"/>
              </w:numPr>
              <w:bidi w:val="0"/>
              <w:jc w:val="both"/>
              <w:rPr>
                <w:rFonts w:hint="eastAsia" w:ascii="仿宋" w:hAnsi="仿宋" w:eastAsia="仿宋"/>
                <w:color w:val="auto"/>
                <w:sz w:val="30"/>
                <w:szCs w:val="30"/>
              </w:rPr>
            </w:pPr>
            <w:r>
              <w:rPr>
                <w:rFonts w:hint="eastAsia"/>
                <w:color w:val="auto"/>
              </w:rPr>
              <w:t>学术产出：形成了包括《网格向量编码原理》、《模型设计细节说明》、《中期研究进度报告》在内的多份阶段性技术文档。</w:t>
            </w:r>
          </w:p>
        </w:tc>
      </w:tr>
      <w:tr w14:paraId="1AA2E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6" w:type="dxa"/>
          </w:tcPr>
          <w:p w14:paraId="378AFC02">
            <w:pPr>
              <w:numPr>
                <w:ilvl w:val="0"/>
                <w:numId w:val="6"/>
              </w:numPr>
              <w:rPr>
                <w:rFonts w:hint="eastAsia" w:ascii="仿宋" w:hAnsi="仿宋" w:eastAsia="仿宋"/>
                <w:color w:val="auto"/>
                <w:sz w:val="30"/>
                <w:szCs w:val="30"/>
              </w:rPr>
            </w:pPr>
            <w:r>
              <w:rPr>
                <w:rFonts w:hint="eastAsia" w:ascii="仿宋" w:hAnsi="仿宋" w:eastAsia="仿宋"/>
                <w:color w:val="auto"/>
                <w:sz w:val="30"/>
                <w:szCs w:val="30"/>
              </w:rPr>
              <w:t>后期拟完成的研究工作及进度安排：</w:t>
            </w:r>
          </w:p>
          <w:p w14:paraId="527E99F4">
            <w:pPr>
              <w:numPr>
                <w:ilvl w:val="0"/>
                <w:numId w:val="7"/>
              </w:numPr>
              <w:bidi w:val="0"/>
              <w:rPr>
                <w:color w:val="auto"/>
              </w:rPr>
            </w:pPr>
            <w:r>
              <w:rPr>
                <w:rFonts w:hint="eastAsia"/>
                <w:color w:val="auto"/>
                <w:lang w:val="en-US" w:eastAsia="zh-CN"/>
              </w:rPr>
              <w:t xml:space="preserve"> </w:t>
            </w:r>
            <w:r>
              <w:rPr>
                <w:rFonts w:hint="eastAsia"/>
                <w:color w:val="auto"/>
              </w:rPr>
              <w:t>鲁棒性专项测试</w:t>
            </w:r>
            <w:r>
              <w:rPr>
                <w:color w:val="auto"/>
              </w:rPr>
              <w:t xml:space="preserve"> (2026.04 </w:t>
            </w:r>
            <w:r>
              <w:rPr>
                <w:rFonts w:hint="eastAsia"/>
                <w:color w:val="auto"/>
              </w:rPr>
              <w:t>下旬)：针对遮挡率超过</w:t>
            </w:r>
            <w:r>
              <w:rPr>
                <w:color w:val="auto"/>
              </w:rPr>
              <w:t xml:space="preserve"> 70% </w:t>
            </w:r>
            <w:r>
              <w:rPr>
                <w:rFonts w:hint="eastAsia"/>
                <w:color w:val="auto"/>
              </w:rPr>
              <w:t>的极端群聚样本，探索引入“关键点拓扑连通性校验”算法，进一步剔除误检目标。</w:t>
            </w:r>
          </w:p>
          <w:p w14:paraId="4F8E1B5C">
            <w:pPr>
              <w:numPr>
                <w:ilvl w:val="0"/>
                <w:numId w:val="7"/>
              </w:numPr>
              <w:bidi w:val="0"/>
              <w:rPr>
                <w:color w:val="auto"/>
              </w:rPr>
            </w:pPr>
            <w:r>
              <w:rPr>
                <w:rFonts w:hint="eastAsia"/>
                <w:color w:val="auto"/>
              </w:rPr>
              <w:t>轻量化部署实验</w:t>
            </w:r>
            <w:r>
              <w:rPr>
                <w:color w:val="auto"/>
              </w:rPr>
              <w:t xml:space="preserve"> (2026.05 </w:t>
            </w:r>
            <w:r>
              <w:rPr>
                <w:rFonts w:hint="eastAsia"/>
                <w:color w:val="auto"/>
              </w:rPr>
              <w:t>上旬)：在嵌入式</w:t>
            </w:r>
            <w:r>
              <w:rPr>
                <w:color w:val="auto"/>
              </w:rPr>
              <w:t xml:space="preserve"> Jetson </w:t>
            </w:r>
            <w:r>
              <w:rPr>
                <w:rFonts w:hint="eastAsia"/>
                <w:color w:val="auto"/>
              </w:rPr>
              <w:t>平台进行部署测试，评估模型在不同计算后端（TensorRT）下的运行效能。</w:t>
            </w:r>
          </w:p>
          <w:p w14:paraId="4E49A43A">
            <w:pPr>
              <w:numPr>
                <w:ilvl w:val="0"/>
                <w:numId w:val="7"/>
              </w:numPr>
              <w:bidi w:val="0"/>
              <w:rPr>
                <w:color w:val="auto"/>
              </w:rPr>
            </w:pPr>
            <w:r>
              <w:rPr>
                <w:rFonts w:hint="eastAsia"/>
                <w:color w:val="auto"/>
              </w:rPr>
              <w:t>论文润色与提交</w:t>
            </w:r>
            <w:r>
              <w:rPr>
                <w:color w:val="auto"/>
              </w:rPr>
              <w:t xml:space="preserve"> (2026.05 </w:t>
            </w:r>
            <w:r>
              <w:rPr>
                <w:rFonts w:hint="eastAsia"/>
                <w:color w:val="auto"/>
              </w:rPr>
              <w:t>中旬)：整理所有实验数据，完成论文初稿盲审准备工作，确保研究成果的完整性与逻辑严密性。</w:t>
            </w:r>
          </w:p>
          <w:p w14:paraId="788B8142">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right="0" w:rightChars="0" w:firstLine="582" w:firstLineChars="0"/>
              <w:jc w:val="left"/>
              <w:textAlignment w:val="auto"/>
              <w:rPr>
                <w:rFonts w:hint="eastAsia" w:ascii="仿宋" w:hAnsi="仿宋" w:eastAsia="仿宋"/>
                <w:color w:val="auto"/>
                <w:sz w:val="30"/>
                <w:szCs w:val="30"/>
                <w:lang w:val="en-US" w:eastAsia="zh-CN"/>
              </w:rPr>
            </w:pPr>
          </w:p>
          <w:p w14:paraId="69F2974A">
            <w:pPr>
              <w:rPr>
                <w:rFonts w:hint="eastAsia" w:ascii="仿宋" w:hAnsi="仿宋" w:eastAsia="仿宋"/>
                <w:color w:val="auto"/>
                <w:sz w:val="30"/>
                <w:szCs w:val="30"/>
              </w:rPr>
            </w:pPr>
          </w:p>
        </w:tc>
      </w:tr>
      <w:tr w14:paraId="6C549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6" w:type="dxa"/>
          </w:tcPr>
          <w:p w14:paraId="76483D84">
            <w:pPr>
              <w:rPr>
                <w:rFonts w:hint="eastAsia" w:ascii="仿宋" w:hAnsi="仿宋" w:eastAsia="仿宋"/>
                <w:color w:val="auto"/>
                <w:sz w:val="30"/>
                <w:szCs w:val="30"/>
              </w:rPr>
            </w:pPr>
            <w:r>
              <w:rPr>
                <w:rFonts w:hint="eastAsia" w:ascii="仿宋" w:hAnsi="仿宋" w:eastAsia="仿宋"/>
                <w:color w:val="auto"/>
                <w:sz w:val="30"/>
                <w:szCs w:val="30"/>
              </w:rPr>
              <w:t>六、存在的问题及困难：</w:t>
            </w:r>
          </w:p>
          <w:p w14:paraId="3071D353">
            <w:pPr>
              <w:bidi w:val="0"/>
              <w:rPr>
                <w:color w:val="auto"/>
              </w:rPr>
            </w:pPr>
            <w:r>
              <w:rPr>
                <w:rFonts w:hint="eastAsia"/>
                <w:color w:val="auto"/>
              </w:rPr>
              <w:t>尽管系统目前在绝大多数场景下表现稳健，但在面对极端单目深度模糊（Depth</w:t>
            </w:r>
            <w:r>
              <w:rPr>
                <w:color w:val="auto"/>
              </w:rPr>
              <w:t xml:space="preserve"> </w:t>
            </w:r>
            <w:r>
              <w:rPr>
                <w:rFonts w:hint="eastAsia"/>
                <w:color w:val="auto"/>
              </w:rPr>
              <w:t>Ambiguity）时，Z</w:t>
            </w:r>
            <w:r>
              <w:rPr>
                <w:color w:val="auto"/>
              </w:rPr>
              <w:t xml:space="preserve"> </w:t>
            </w:r>
            <w:r>
              <w:rPr>
                <w:rFonts w:hint="eastAsia"/>
                <w:color w:val="auto"/>
              </w:rPr>
              <w:t>轴的预测精度仍受限于投影几何的固有缺陷。</w:t>
            </w:r>
            <w:r>
              <w:rPr>
                <w:color w:val="auto"/>
              </w:rPr>
              <w:br w:type="textWrapping"/>
            </w:r>
            <w:r>
              <w:rPr>
                <w:rFonts w:hint="eastAsia"/>
                <w:color w:val="auto"/>
                <w:lang w:val="en-US" w:eastAsia="zh-CN"/>
              </w:rPr>
              <w:t xml:space="preserve">    </w:t>
            </w:r>
            <w:r>
              <w:rPr>
                <w:rFonts w:hint="eastAsia"/>
                <w:color w:val="auto"/>
              </w:rPr>
              <w:t>后期计划引入“作物尺寸概率先验模型”。即利用草莓成熟后的平均物理尺寸分布，对网络预测的尺寸参数进行贝叶斯后验修正，从而大幅降低深度估计的偏差。</w:t>
            </w:r>
          </w:p>
          <w:p w14:paraId="49286D80">
            <w:pPr>
              <w:rPr>
                <w:rFonts w:hint="eastAsia" w:ascii="仿宋" w:hAnsi="仿宋" w:eastAsia="仿宋"/>
                <w:color w:val="auto"/>
                <w:sz w:val="30"/>
                <w:szCs w:val="30"/>
              </w:rPr>
            </w:pPr>
          </w:p>
        </w:tc>
      </w:tr>
      <w:tr w14:paraId="0EB44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6" w:type="dxa"/>
          </w:tcPr>
          <w:p w14:paraId="05701030">
            <w:pPr>
              <w:rPr>
                <w:rFonts w:hint="eastAsia" w:ascii="仿宋" w:hAnsi="仿宋" w:eastAsia="仿宋"/>
                <w:color w:val="auto"/>
                <w:sz w:val="30"/>
                <w:szCs w:val="30"/>
              </w:rPr>
            </w:pPr>
            <w:r>
              <w:rPr>
                <w:rFonts w:hint="eastAsia" w:ascii="仿宋" w:hAnsi="仿宋" w:eastAsia="仿宋"/>
                <w:color w:val="auto"/>
                <w:sz w:val="30"/>
                <w:szCs w:val="30"/>
              </w:rPr>
              <w:t>七、导师意见：</w:t>
            </w:r>
          </w:p>
          <w:p w14:paraId="3729B25E">
            <w:pPr>
              <w:rPr>
                <w:rFonts w:hint="eastAsia" w:ascii="仿宋" w:hAnsi="仿宋" w:eastAsia="仿宋"/>
                <w:color w:val="auto"/>
                <w:sz w:val="30"/>
                <w:szCs w:val="30"/>
              </w:rPr>
            </w:pPr>
          </w:p>
          <w:p w14:paraId="55AC8B13">
            <w:pPr>
              <w:rPr>
                <w:rFonts w:hint="eastAsia" w:ascii="仿宋" w:hAnsi="仿宋" w:eastAsia="仿宋"/>
                <w:color w:val="auto"/>
                <w:sz w:val="30"/>
                <w:szCs w:val="30"/>
              </w:rPr>
            </w:pPr>
          </w:p>
          <w:p w14:paraId="57604A51">
            <w:pPr>
              <w:rPr>
                <w:rFonts w:hint="eastAsia" w:ascii="仿宋" w:hAnsi="仿宋" w:eastAsia="仿宋"/>
                <w:color w:val="auto"/>
                <w:sz w:val="30"/>
                <w:szCs w:val="30"/>
              </w:rPr>
            </w:pPr>
          </w:p>
          <w:p w14:paraId="240FED47">
            <w:pPr>
              <w:rPr>
                <w:rFonts w:hint="eastAsia" w:ascii="仿宋" w:hAnsi="仿宋" w:eastAsia="仿宋"/>
                <w:color w:val="auto"/>
                <w:sz w:val="30"/>
                <w:szCs w:val="30"/>
              </w:rPr>
            </w:pPr>
          </w:p>
          <w:p w14:paraId="120E8D32">
            <w:pPr>
              <w:rPr>
                <w:rFonts w:hint="eastAsia" w:ascii="仿宋" w:hAnsi="仿宋" w:eastAsia="仿宋"/>
                <w:color w:val="auto"/>
                <w:sz w:val="30"/>
                <w:szCs w:val="30"/>
              </w:rPr>
            </w:pPr>
            <w:r>
              <w:rPr>
                <w:rFonts w:hint="eastAsia" w:ascii="仿宋" w:hAnsi="仿宋" w:eastAsia="仿宋"/>
                <w:color w:val="auto"/>
                <w:sz w:val="30"/>
                <w:szCs w:val="30"/>
              </w:rPr>
              <w:t xml:space="preserve"> </w:t>
            </w:r>
            <w:r>
              <w:rPr>
                <w:rFonts w:ascii="仿宋" w:hAnsi="仿宋" w:eastAsia="仿宋"/>
                <w:color w:val="auto"/>
                <w:sz w:val="30"/>
                <w:szCs w:val="30"/>
              </w:rPr>
              <w:t xml:space="preserve">                          </w:t>
            </w:r>
            <w:r>
              <w:rPr>
                <w:rFonts w:hint="eastAsia" w:ascii="仿宋" w:hAnsi="仿宋" w:eastAsia="仿宋"/>
                <w:color w:val="auto"/>
                <w:sz w:val="30"/>
                <w:szCs w:val="30"/>
              </w:rPr>
              <w:t>签名：</w:t>
            </w:r>
          </w:p>
          <w:p w14:paraId="534B66D1">
            <w:pPr>
              <w:rPr>
                <w:rFonts w:hint="eastAsia" w:ascii="仿宋" w:hAnsi="仿宋" w:eastAsia="仿宋"/>
                <w:color w:val="auto"/>
                <w:sz w:val="30"/>
                <w:szCs w:val="30"/>
              </w:rPr>
            </w:pPr>
            <w:r>
              <w:rPr>
                <w:rFonts w:hint="eastAsia" w:ascii="仿宋" w:hAnsi="仿宋" w:eastAsia="仿宋"/>
                <w:color w:val="auto"/>
                <w:sz w:val="30"/>
                <w:szCs w:val="30"/>
              </w:rPr>
              <w:t xml:space="preserve"> </w:t>
            </w:r>
            <w:r>
              <w:rPr>
                <w:rFonts w:ascii="仿宋" w:hAnsi="仿宋" w:eastAsia="仿宋"/>
                <w:color w:val="auto"/>
                <w:sz w:val="30"/>
                <w:szCs w:val="30"/>
              </w:rPr>
              <w:t xml:space="preserve">                          </w:t>
            </w:r>
            <w:r>
              <w:rPr>
                <w:rFonts w:hint="eastAsia" w:ascii="仿宋" w:hAnsi="仿宋" w:eastAsia="仿宋"/>
                <w:color w:val="auto"/>
                <w:sz w:val="30"/>
                <w:szCs w:val="30"/>
              </w:rPr>
              <w:t>日期：</w:t>
            </w:r>
          </w:p>
        </w:tc>
      </w:tr>
      <w:tr w14:paraId="5AF0F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6" w:type="dxa"/>
          </w:tcPr>
          <w:p w14:paraId="361B4337">
            <w:pPr>
              <w:rPr>
                <w:rFonts w:hint="eastAsia" w:ascii="仿宋" w:hAnsi="仿宋" w:eastAsia="仿宋"/>
                <w:color w:val="auto"/>
                <w:sz w:val="30"/>
                <w:szCs w:val="30"/>
              </w:rPr>
            </w:pPr>
            <w:r>
              <w:rPr>
                <w:rFonts w:hint="eastAsia" w:ascii="仿宋" w:hAnsi="仿宋" w:eastAsia="仿宋"/>
                <w:color w:val="auto"/>
                <w:sz w:val="30"/>
                <w:szCs w:val="30"/>
              </w:rPr>
              <w:t>八、专业审核意见：</w:t>
            </w:r>
          </w:p>
          <w:p w14:paraId="4EEE7676">
            <w:pPr>
              <w:rPr>
                <w:rFonts w:hint="eastAsia" w:ascii="仿宋" w:hAnsi="仿宋" w:eastAsia="仿宋"/>
                <w:color w:val="auto"/>
                <w:sz w:val="30"/>
                <w:szCs w:val="30"/>
              </w:rPr>
            </w:pPr>
          </w:p>
          <w:p w14:paraId="2D4372C5">
            <w:pPr>
              <w:rPr>
                <w:rFonts w:hint="eastAsia" w:ascii="仿宋" w:hAnsi="仿宋" w:eastAsia="仿宋"/>
                <w:color w:val="auto"/>
                <w:sz w:val="30"/>
                <w:szCs w:val="30"/>
              </w:rPr>
            </w:pPr>
          </w:p>
          <w:p w14:paraId="0F96CA9C">
            <w:pPr>
              <w:rPr>
                <w:rFonts w:hint="eastAsia" w:ascii="仿宋" w:hAnsi="仿宋" w:eastAsia="仿宋"/>
                <w:color w:val="auto"/>
                <w:sz w:val="30"/>
                <w:szCs w:val="30"/>
              </w:rPr>
            </w:pPr>
          </w:p>
          <w:p w14:paraId="26E76A63">
            <w:pPr>
              <w:rPr>
                <w:rFonts w:hint="eastAsia" w:ascii="仿宋" w:hAnsi="仿宋" w:eastAsia="仿宋"/>
                <w:color w:val="auto"/>
                <w:sz w:val="30"/>
                <w:szCs w:val="30"/>
              </w:rPr>
            </w:pPr>
          </w:p>
          <w:p w14:paraId="16E915C9">
            <w:pPr>
              <w:rPr>
                <w:rFonts w:hint="eastAsia" w:ascii="仿宋" w:hAnsi="仿宋" w:eastAsia="仿宋"/>
                <w:color w:val="auto"/>
                <w:sz w:val="30"/>
                <w:szCs w:val="30"/>
              </w:rPr>
            </w:pPr>
          </w:p>
          <w:p w14:paraId="06F56DE1">
            <w:pPr>
              <w:rPr>
                <w:rFonts w:hint="eastAsia" w:ascii="仿宋" w:hAnsi="仿宋" w:eastAsia="仿宋"/>
                <w:color w:val="auto"/>
                <w:sz w:val="30"/>
                <w:szCs w:val="30"/>
              </w:rPr>
            </w:pPr>
            <w:r>
              <w:rPr>
                <w:rFonts w:hint="eastAsia" w:ascii="仿宋" w:hAnsi="仿宋" w:eastAsia="仿宋"/>
                <w:color w:val="auto"/>
                <w:sz w:val="30"/>
                <w:szCs w:val="30"/>
              </w:rPr>
              <w:t xml:space="preserve"> </w:t>
            </w:r>
            <w:r>
              <w:rPr>
                <w:rFonts w:ascii="仿宋" w:hAnsi="仿宋" w:eastAsia="仿宋"/>
                <w:color w:val="auto"/>
                <w:sz w:val="30"/>
                <w:szCs w:val="30"/>
              </w:rPr>
              <w:t xml:space="preserve">                            </w:t>
            </w:r>
            <w:r>
              <w:rPr>
                <w:rFonts w:hint="eastAsia" w:ascii="仿宋" w:hAnsi="仿宋" w:eastAsia="仿宋"/>
                <w:color w:val="auto"/>
                <w:sz w:val="30"/>
                <w:szCs w:val="30"/>
              </w:rPr>
              <w:t>签名：</w:t>
            </w:r>
          </w:p>
          <w:p w14:paraId="10850A83">
            <w:pPr>
              <w:rPr>
                <w:rFonts w:hint="eastAsia" w:ascii="仿宋" w:hAnsi="仿宋" w:eastAsia="仿宋"/>
                <w:color w:val="auto"/>
                <w:sz w:val="30"/>
                <w:szCs w:val="30"/>
              </w:rPr>
            </w:pPr>
            <w:r>
              <w:rPr>
                <w:rFonts w:hint="eastAsia" w:ascii="仿宋" w:hAnsi="仿宋" w:eastAsia="仿宋"/>
                <w:color w:val="auto"/>
                <w:sz w:val="30"/>
                <w:szCs w:val="30"/>
              </w:rPr>
              <w:t xml:space="preserve"> </w:t>
            </w:r>
            <w:r>
              <w:rPr>
                <w:rFonts w:ascii="仿宋" w:hAnsi="仿宋" w:eastAsia="仿宋"/>
                <w:color w:val="auto"/>
                <w:sz w:val="30"/>
                <w:szCs w:val="30"/>
              </w:rPr>
              <w:t xml:space="preserve">                            </w:t>
            </w:r>
            <w:r>
              <w:rPr>
                <w:rFonts w:hint="eastAsia" w:ascii="仿宋" w:hAnsi="仿宋" w:eastAsia="仿宋"/>
                <w:color w:val="auto"/>
                <w:sz w:val="30"/>
                <w:szCs w:val="30"/>
              </w:rPr>
              <w:t>日期：</w:t>
            </w:r>
          </w:p>
        </w:tc>
      </w:tr>
      <w:tr w14:paraId="2BDE1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6" w:hRule="atLeast"/>
          <w:jc w:val="center"/>
        </w:trPr>
        <w:tc>
          <w:tcPr>
            <w:tcW w:w="8296" w:type="dxa"/>
          </w:tcPr>
          <w:p w14:paraId="698535DF">
            <w:pPr>
              <w:rPr>
                <w:rFonts w:hint="eastAsia" w:ascii="仿宋" w:hAnsi="仿宋" w:eastAsia="仿宋"/>
                <w:color w:val="auto"/>
                <w:sz w:val="30"/>
                <w:szCs w:val="30"/>
              </w:rPr>
            </w:pPr>
            <w:r>
              <w:rPr>
                <w:rFonts w:hint="eastAsia" w:ascii="仿宋" w:hAnsi="仿宋" w:eastAsia="仿宋"/>
                <w:color w:val="auto"/>
                <w:sz w:val="30"/>
                <w:szCs w:val="30"/>
              </w:rPr>
              <w:t>九、学院意见：</w:t>
            </w:r>
          </w:p>
          <w:p w14:paraId="367099B5">
            <w:pPr>
              <w:rPr>
                <w:rFonts w:hint="eastAsia" w:ascii="仿宋" w:hAnsi="仿宋" w:eastAsia="仿宋"/>
                <w:color w:val="auto"/>
                <w:sz w:val="30"/>
                <w:szCs w:val="30"/>
              </w:rPr>
            </w:pPr>
          </w:p>
          <w:p w14:paraId="18C58B99">
            <w:pPr>
              <w:rPr>
                <w:rFonts w:hint="eastAsia" w:ascii="仿宋" w:hAnsi="仿宋" w:eastAsia="仿宋"/>
                <w:color w:val="auto"/>
                <w:sz w:val="30"/>
                <w:szCs w:val="30"/>
              </w:rPr>
            </w:pPr>
          </w:p>
          <w:p w14:paraId="6D893410">
            <w:pPr>
              <w:rPr>
                <w:rFonts w:hint="eastAsia" w:ascii="仿宋" w:hAnsi="仿宋" w:eastAsia="仿宋"/>
                <w:color w:val="auto"/>
                <w:sz w:val="30"/>
                <w:szCs w:val="30"/>
              </w:rPr>
            </w:pPr>
            <w:r>
              <w:rPr>
                <w:rFonts w:hint="eastAsia" w:ascii="仿宋" w:hAnsi="仿宋" w:eastAsia="仿宋"/>
                <w:color w:val="auto"/>
                <w:sz w:val="30"/>
                <w:szCs w:val="30"/>
              </w:rPr>
              <w:t xml:space="preserve"> </w:t>
            </w:r>
            <w:r>
              <w:rPr>
                <w:rFonts w:ascii="仿宋" w:hAnsi="仿宋" w:eastAsia="仿宋"/>
                <w:color w:val="auto"/>
                <w:sz w:val="30"/>
                <w:szCs w:val="30"/>
              </w:rPr>
              <w:t xml:space="preserve">                            </w:t>
            </w:r>
            <w:r>
              <w:rPr>
                <w:rFonts w:hint="eastAsia" w:ascii="仿宋" w:hAnsi="仿宋" w:eastAsia="仿宋"/>
                <w:color w:val="auto"/>
                <w:sz w:val="30"/>
                <w:szCs w:val="30"/>
              </w:rPr>
              <w:t>签名：</w:t>
            </w:r>
          </w:p>
          <w:p w14:paraId="439F2E97">
            <w:pPr>
              <w:rPr>
                <w:rFonts w:hint="eastAsia" w:ascii="仿宋" w:hAnsi="仿宋" w:eastAsia="仿宋"/>
                <w:color w:val="auto"/>
                <w:sz w:val="30"/>
                <w:szCs w:val="30"/>
              </w:rPr>
            </w:pPr>
            <w:r>
              <w:rPr>
                <w:rFonts w:hint="eastAsia" w:ascii="仿宋" w:hAnsi="仿宋" w:eastAsia="仿宋"/>
                <w:color w:val="auto"/>
                <w:sz w:val="30"/>
                <w:szCs w:val="30"/>
              </w:rPr>
              <w:t xml:space="preserve"> </w:t>
            </w:r>
            <w:r>
              <w:rPr>
                <w:rFonts w:ascii="仿宋" w:hAnsi="仿宋" w:eastAsia="仿宋"/>
                <w:color w:val="auto"/>
                <w:sz w:val="30"/>
                <w:szCs w:val="30"/>
              </w:rPr>
              <w:t xml:space="preserve">                            </w:t>
            </w:r>
            <w:r>
              <w:rPr>
                <w:rFonts w:hint="eastAsia" w:ascii="仿宋" w:hAnsi="仿宋" w:eastAsia="仿宋"/>
                <w:color w:val="auto"/>
                <w:sz w:val="30"/>
                <w:szCs w:val="30"/>
              </w:rPr>
              <w:t>公章：</w:t>
            </w:r>
          </w:p>
          <w:p w14:paraId="4CCB3C88">
            <w:pPr>
              <w:rPr>
                <w:rFonts w:hint="eastAsia" w:ascii="仿宋" w:hAnsi="仿宋" w:eastAsia="仿宋"/>
                <w:color w:val="auto"/>
                <w:sz w:val="30"/>
                <w:szCs w:val="30"/>
              </w:rPr>
            </w:pPr>
            <w:r>
              <w:rPr>
                <w:rFonts w:hint="eastAsia" w:ascii="仿宋" w:hAnsi="仿宋" w:eastAsia="仿宋"/>
                <w:color w:val="auto"/>
                <w:sz w:val="30"/>
                <w:szCs w:val="30"/>
              </w:rPr>
              <w:t xml:space="preserve"> </w:t>
            </w:r>
            <w:r>
              <w:rPr>
                <w:rFonts w:ascii="仿宋" w:hAnsi="仿宋" w:eastAsia="仿宋"/>
                <w:color w:val="auto"/>
                <w:sz w:val="30"/>
                <w:szCs w:val="30"/>
              </w:rPr>
              <w:t xml:space="preserve">                            </w:t>
            </w:r>
            <w:r>
              <w:rPr>
                <w:rFonts w:hint="eastAsia" w:ascii="仿宋" w:hAnsi="仿宋" w:eastAsia="仿宋"/>
                <w:color w:val="auto"/>
                <w:sz w:val="30"/>
                <w:szCs w:val="30"/>
              </w:rPr>
              <w:t>日期：</w:t>
            </w:r>
          </w:p>
        </w:tc>
      </w:tr>
    </w:tbl>
    <w:p w14:paraId="02948D5C">
      <w:pPr>
        <w:rPr>
          <w:rFonts w:hint="eastAsia" w:ascii="仿宋" w:hAnsi="仿宋" w:eastAsia="仿宋"/>
          <w:sz w:val="30"/>
          <w:szCs w:val="30"/>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隶书">
    <w:panose1 w:val="02010509060101010101"/>
    <w:charset w:val="86"/>
    <w:family w:val="auto"/>
    <w:pitch w:val="default"/>
    <w:sig w:usb0="00000001" w:usb1="080E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F90A61"/>
    <w:multiLevelType w:val="singleLevel"/>
    <w:tmpl w:val="82F90A61"/>
    <w:lvl w:ilvl="0" w:tentative="0">
      <w:start w:val="2"/>
      <w:numFmt w:val="decimal"/>
      <w:suff w:val="space"/>
      <w:lvlText w:val="%1."/>
      <w:lvlJc w:val="left"/>
    </w:lvl>
  </w:abstractNum>
  <w:abstractNum w:abstractNumId="1">
    <w:nsid w:val="8AEA28AC"/>
    <w:multiLevelType w:val="singleLevel"/>
    <w:tmpl w:val="8AEA28AC"/>
    <w:lvl w:ilvl="0" w:tentative="0">
      <w:start w:val="2"/>
      <w:numFmt w:val="chineseCounting"/>
      <w:suff w:val="nothing"/>
      <w:lvlText w:val="%1、"/>
      <w:lvlJc w:val="left"/>
      <w:rPr>
        <w:rFonts w:hint="eastAsia"/>
      </w:rPr>
    </w:lvl>
  </w:abstractNum>
  <w:abstractNum w:abstractNumId="2">
    <w:nsid w:val="DDC7242D"/>
    <w:multiLevelType w:val="singleLevel"/>
    <w:tmpl w:val="DDC7242D"/>
    <w:lvl w:ilvl="0" w:tentative="0">
      <w:start w:val="1"/>
      <w:numFmt w:val="decimal"/>
      <w:suff w:val="space"/>
      <w:lvlText w:val="%1."/>
      <w:lvlJc w:val="left"/>
    </w:lvl>
  </w:abstractNum>
  <w:abstractNum w:abstractNumId="3">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4">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5">
    <w:nsid w:val="54B4F1C0"/>
    <w:multiLevelType w:val="singleLevel"/>
    <w:tmpl w:val="54B4F1C0"/>
    <w:lvl w:ilvl="0" w:tentative="0">
      <w:start w:val="5"/>
      <w:numFmt w:val="chineseCounting"/>
      <w:suff w:val="nothing"/>
      <w:lvlText w:val="%1、"/>
      <w:lvlJc w:val="left"/>
      <w:rPr>
        <w:rFonts w:hint="eastAsia"/>
      </w:rPr>
    </w:lvl>
  </w:abstractNum>
  <w:num w:numId="1">
    <w:abstractNumId w:val="0"/>
  </w:num>
  <w:num w:numId="2">
    <w:abstractNumId w:val="1"/>
  </w:num>
  <w:num w:numId="3">
    <w:abstractNumId w:val="3"/>
  </w:num>
  <w:num w:numId="4">
    <w:abstractNumId w:val="2"/>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38F7"/>
    <w:rsid w:val="00025068"/>
    <w:rsid w:val="0006126D"/>
    <w:rsid w:val="00066263"/>
    <w:rsid w:val="002125C8"/>
    <w:rsid w:val="0039699B"/>
    <w:rsid w:val="0042411F"/>
    <w:rsid w:val="004B36B2"/>
    <w:rsid w:val="00696E78"/>
    <w:rsid w:val="00763A95"/>
    <w:rsid w:val="00B338F7"/>
    <w:rsid w:val="00C259A9"/>
    <w:rsid w:val="00C51CA2"/>
    <w:rsid w:val="00C97832"/>
    <w:rsid w:val="00D04431"/>
    <w:rsid w:val="0270061D"/>
    <w:rsid w:val="09C35E1E"/>
    <w:rsid w:val="0E952E62"/>
    <w:rsid w:val="0F2300E3"/>
    <w:rsid w:val="16E53C9C"/>
    <w:rsid w:val="1C4D6914"/>
    <w:rsid w:val="1E3D5D47"/>
    <w:rsid w:val="1FA3607E"/>
    <w:rsid w:val="25905060"/>
    <w:rsid w:val="2D8E315F"/>
    <w:rsid w:val="2F923BC4"/>
    <w:rsid w:val="38B1002D"/>
    <w:rsid w:val="43EA39CC"/>
    <w:rsid w:val="499172C7"/>
    <w:rsid w:val="4BA9153A"/>
    <w:rsid w:val="4BD5286C"/>
    <w:rsid w:val="55A7171D"/>
    <w:rsid w:val="565D3B8A"/>
    <w:rsid w:val="61ED18E8"/>
    <w:rsid w:val="6A297D50"/>
    <w:rsid w:val="6BC04E8F"/>
    <w:rsid w:val="7D70063B"/>
    <w:rsid w:val="7F3437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60" w:lineRule="auto"/>
      <w:ind w:left="0" w:leftChars="0" w:right="0" w:rightChars="0" w:firstLine="480" w:firstLineChars="200"/>
      <w:jc w:val="left"/>
      <w:textAlignment w:val="auto"/>
    </w:pPr>
    <w:rPr>
      <w:rFonts w:ascii="Times New Roman" w:hAnsi="Times New Roman" w:eastAsia="宋体" w:cs="Times New Roman"/>
      <w:kern w:val="0"/>
      <w:sz w:val="24"/>
      <w:szCs w:val="24"/>
      <w:lang w:val="en-US" w:eastAsia="zh-CN" w:bidi="ar"/>
    </w:rPr>
  </w:style>
  <w:style w:type="paragraph" w:styleId="2">
    <w:name w:val="heading 3"/>
    <w:basedOn w:val="1"/>
    <w:next w:val="3"/>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4">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17"/>
    <w:qFormat/>
    <w:uiPriority w:val="0"/>
    <w:pPr>
      <w:spacing w:before="180" w:after="180"/>
    </w:p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TML Code"/>
    <w:basedOn w:val="10"/>
    <w:semiHidden/>
    <w:unhideWhenUsed/>
    <w:uiPriority w:val="99"/>
    <w:rPr>
      <w:rFonts w:ascii="Courier New" w:hAnsi="Courier New"/>
      <w:sz w:val="20"/>
    </w:rPr>
  </w:style>
  <w:style w:type="character" w:customStyle="1" w:styleId="12">
    <w:name w:val="页眉 字符"/>
    <w:basedOn w:val="10"/>
    <w:link w:val="6"/>
    <w:qFormat/>
    <w:uiPriority w:val="99"/>
    <w:rPr>
      <w:sz w:val="18"/>
      <w:szCs w:val="18"/>
    </w:rPr>
  </w:style>
  <w:style w:type="character" w:customStyle="1" w:styleId="13">
    <w:name w:val="页脚 字符"/>
    <w:basedOn w:val="10"/>
    <w:link w:val="5"/>
    <w:qFormat/>
    <w:uiPriority w:val="99"/>
    <w:rPr>
      <w:sz w:val="18"/>
      <w:szCs w:val="18"/>
    </w:rPr>
  </w:style>
  <w:style w:type="paragraph" w:customStyle="1" w:styleId="14">
    <w:name w:val="First Paragraph"/>
    <w:basedOn w:val="3"/>
    <w:next w:val="3"/>
    <w:qFormat/>
    <w:uiPriority w:val="0"/>
  </w:style>
  <w:style w:type="paragraph" w:customStyle="1" w:styleId="15">
    <w:name w:val="Compact"/>
    <w:basedOn w:val="3"/>
    <w:qFormat/>
    <w:uiPriority w:val="0"/>
    <w:pPr>
      <w:spacing w:before="36" w:after="36"/>
    </w:pPr>
  </w:style>
  <w:style w:type="character" w:customStyle="1" w:styleId="16">
    <w:name w:val="Verbatim Char"/>
    <w:basedOn w:val="17"/>
    <w:link w:val="18"/>
    <w:qFormat/>
    <w:uiPriority w:val="0"/>
  </w:style>
  <w:style w:type="character" w:customStyle="1" w:styleId="17">
    <w:name w:val="Body Text Char"/>
    <w:basedOn w:val="10"/>
    <w:link w:val="3"/>
    <w:qFormat/>
    <w:uiPriority w:val="0"/>
  </w:style>
  <w:style w:type="paragraph" w:customStyle="1" w:styleId="18">
    <w:name w:val="Source Code"/>
    <w:basedOn w:val="1"/>
    <w:link w:val="16"/>
    <w:qFormat/>
    <w:uiPriority w:val="0"/>
    <w:pPr>
      <w:wordWrap w:val="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2706</Words>
  <Characters>3248</Characters>
  <Lines>4</Lines>
  <Paragraphs>1</Paragraphs>
  <TotalTime>8</TotalTime>
  <ScaleCrop>false</ScaleCrop>
  <LinksUpToDate>false</LinksUpToDate>
  <CharactersWithSpaces>3592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2020-04-09T11:44:00Z</dcterms:created>
  <dc:creator>mark land</dc:creator>
  <cp:lastModifiedBy>雨泽龙啸</cp:lastModifiedBy>
  <dcterms:modified xsi:type="dcterms:W3CDTF">2026-04-06T15:55:55Z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eyJoZGlkIjoiY2FhNjAwY2ZlNTc2OGM1MWI5OTRmMDE4NjU0ZTY0ZjAiLCJ1c2VySWQiOiIxMzkyNjUzMDUwIn0=</vt:lpwstr>
  </property>
  <property fmtid="{D5CDD505-2E9C-101B-9397-08002B2CF9AE}" pid="3" name="KSOProductBuildVer">
    <vt:lpwstr>2052-12.1.0.25225</vt:lpwstr>
  </property>
  <property fmtid="{D5CDD505-2E9C-101B-9397-08002B2CF9AE}" pid="4" name="ICV">
    <vt:lpwstr>F605991574614A4197BEBB7EF0FF6FDA_13</vt:lpwstr>
  </property>
</Properties>
</file>