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i w:val="0"/>
          <w:color w:val="2764A3"/>
          <w:sz w:val="20"/>
        </w:rPr>
        <w:t>技术实施方案</w:t>
      </w:r>
    </w:p>
    <w:p>
      <w:pPr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17263C"/>
          <w:sz w:val="50"/>
        </w:rPr>
        <w:t>写实真人 3D 数字人升级</w:t>
      </w:r>
    </w:p>
    <w:p>
      <w:pPr>
        <w:spacing w:before="0" w:after="320" w:line="264" w:lineRule="auto"/>
        <w:jc w:val="left"/>
      </w:pPr>
      <w:r>
        <w:rPr>
          <w:rFonts w:ascii="Calibri" w:hAnsi="Calibri" w:eastAsia="Microsoft YaHei"/>
          <w:b w:val="0"/>
          <w:i w:val="0"/>
          <w:color w:val="5F6B7A"/>
          <w:sz w:val="26"/>
        </w:rPr>
        <w:t>在现有 LiveTalking 实时对话、TTS 与 WebRTC 基础上，增加可交互的全身写实 3D 数字人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17263C"/>
          <w:sz w:val="22"/>
        </w:rPr>
        <w:t>项目：</w:t>
      </w:r>
      <w:r>
        <w:rPr>
          <w:rFonts w:ascii="Calibri" w:hAnsi="Calibri" w:eastAsia="Microsoft YaHei"/>
          <w:color w:val="000000"/>
          <w:sz w:val="22"/>
        </w:rPr>
        <w:t>E:\SZR\LiveTalking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17263C"/>
          <w:sz w:val="22"/>
        </w:rPr>
        <w:t>文档状态：</w:t>
      </w:r>
      <w:r>
        <w:rPr>
          <w:rFonts w:ascii="Calibri" w:hAnsi="Calibri" w:eastAsia="Microsoft YaHei"/>
          <w:color w:val="000000"/>
          <w:sz w:val="22"/>
        </w:rPr>
        <w:t>方案评审稿 - 暂不执行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17263C"/>
          <w:sz w:val="22"/>
        </w:rPr>
        <w:t>目标形态：</w:t>
      </w:r>
      <w:r>
        <w:rPr>
          <w:rFonts w:ascii="Calibri" w:hAnsi="Calibri" w:eastAsia="Microsoft YaHei"/>
          <w:color w:val="000000"/>
          <w:sz w:val="22"/>
        </w:rPr>
        <w:t>非卡通、可实时驱动、支持自然语言动作命令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17263C"/>
          <w:sz w:val="22"/>
        </w:rPr>
        <w:t>存储约束：</w:t>
      </w:r>
      <w:r>
        <w:rPr>
          <w:rFonts w:ascii="Calibri" w:hAnsi="Calibri" w:eastAsia="Microsoft YaHei"/>
          <w:color w:val="000000"/>
          <w:sz w:val="22"/>
        </w:rPr>
        <w:t>后续新增模型、依赖、缓存与临时文件全部放在 E:\SZR 或本项目内</w:t>
      </w:r>
    </w:p>
    <w:p>
      <w:pPr>
        <w:spacing w:before="0" w:after="40" w:line="264" w:lineRule="auto"/>
        <w:jc w:val="left"/>
      </w:pPr>
      <w:r>
        <w:rPr>
          <w:rFonts w:ascii="Calibri" w:hAnsi="Calibri" w:eastAsia="Microsoft YaHei"/>
          <w:b/>
          <w:color w:val="17263C"/>
          <w:sz w:val="22"/>
        </w:rPr>
        <w:t>编制日期：</w:t>
      </w:r>
      <w:r>
        <w:rPr>
          <w:rFonts w:ascii="Calibri" w:hAnsi="Calibri" w:eastAsia="Microsoft YaHei"/>
          <w:color w:val="000000"/>
          <w:sz w:val="22"/>
        </w:rPr>
        <w:t>2026 年 7 月 26 日</w:t>
      </w:r>
    </w:p>
    <w:p>
      <w:pPr>
        <w:spacing w:before="0" w:after="10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0" w:space="0" w:color="E8EEF5"/>
              <w:left w:val="single" w:sz="0" w:space="0" w:color="E8EEF5"/>
              <w:bottom w:val="single" w:sz="0" w:space="0" w:color="E8EEF5"/>
              <w:right w:val="single" w:sz="0" w:space="0" w:color="E8EEF5"/>
              <w:insideH w:val="single" w:sz="0" w:space="0" w:color="E8EEF5"/>
              <w:insideV w:val="single" w:sz="0" w:space="0" w:color="E8EEF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color w:val="2764A3"/>
                <w:sz w:val="22"/>
              </w:rPr>
              <w:t xml:space="preserve">结论 </w:t>
            </w:r>
            <w:r>
              <w:rPr>
                <w:rFonts w:ascii="Calibri" w:hAnsi="Calibri" w:eastAsia="Microsoft YaHei"/>
                <w:color w:val="17263C"/>
                <w:sz w:val="22"/>
              </w:rPr>
              <w:t>存在完整可行方案。推荐先采用“浏览器原生写实 3D（Three.js + 自定义写实 GLB/VRM）”，复用现有 LiveTalking 后端；MetaHuman/Unreal 作为后续高写实度增强路线，而不是第一版。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1. 方案目标与边界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保留现有文字输入、AI 回复、EdgeTTS、会话管理、WebRTC 与单用户运行能力。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数字人由真正的三维网格、骨骼、材质、灯光和动画驱动，不使用 2D 视频缩放冒充全身动作。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支持“蹲下、站起、点头、摇头、鞠躬、挥手、转身”等命令，并允许动作与语音同时进行。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第一版优先在当前 Windows 主机和主流桌面浏览器稳定运行，再做手机降级与性能优化。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本文件只制定方案，不下载模型、不安装 3D 依赖、不改动现有业务代码。</w:t>
      </w:r>
    </w:p>
    <w:p>
      <w:pPr>
        <w:pStyle w:val="Heading1"/>
        <w:keepNext/>
      </w:pPr>
      <w:r>
        <w:t>2. 推荐路线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050"/>
        <w:gridCol w:w="2250"/>
        <w:gridCol w:w="1700"/>
        <w:gridCol w:w="1460"/>
      </w:tblGrid>
      <w:tr>
        <w:trPr>
          <w:tblHeader/>
          <w:cantSplit w:val="true"/>
        </w:trPr>
        <w:tc>
          <w:tcPr>
            <w:tcW w:type="dxa" w:w="19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路线</w:t>
            </w:r>
          </w:p>
        </w:tc>
        <w:tc>
          <w:tcPr>
            <w:tcW w:type="dxa" w:w="20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写实度</w:t>
            </w:r>
          </w:p>
        </w:tc>
        <w:tc>
          <w:tcPr>
            <w:tcW w:type="dxa" w:w="22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部署与性能</w:t>
            </w:r>
          </w:p>
        </w:tc>
        <w:tc>
          <w:tcPr>
            <w:tcW w:type="dxa" w:w="17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适合度</w:t>
            </w:r>
          </w:p>
        </w:tc>
        <w:tc>
          <w:tcPr>
            <w:tcW w:type="dxa" w:w="14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A. 浏览器写实 3D</w:t>
            </w:r>
          </w:p>
        </w:tc>
        <w:tc>
          <w:tcPr>
            <w:tcW w:type="dxa" w:w="20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中高；取决于人物资产、材质、灯光和表情</w:t>
            </w:r>
          </w:p>
        </w:tc>
        <w:tc>
          <w:tcPr>
            <w:tcW w:type="dxa" w:w="2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本机直接渲染；与现有网页容易集成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当前项目最匹配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第一版推荐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B. Unreal MetaHuman + Pixel Streaming</w:t>
            </w:r>
          </w:p>
        </w:tc>
        <w:tc>
          <w:tcPr>
            <w:tcW w:type="dxa" w:w="20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高到很高</w:t>
            </w:r>
          </w:p>
        </w:tc>
        <w:tc>
          <w:tcPr>
            <w:tcW w:type="dxa" w:w="2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需要更高内存/GPU、Unreal 服务和视频推流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适合展示级或远程 GPU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第二阶段增强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C. 预录真人动作视频切换</w:t>
            </w:r>
          </w:p>
        </w:tc>
        <w:tc>
          <w:tcPr>
            <w:tcW w:type="dxa" w:w="20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画面是真人，但不是可自由观察的 3D</w:t>
            </w:r>
          </w:p>
        </w:tc>
        <w:tc>
          <w:tcPr>
            <w:tcW w:type="dxa" w:w="2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素材制作重；组合动作受限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不满足“真正 3D”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不采用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Borders>
              <w:top w:val="single" w:sz="0" w:space="0" w:color="FFF7E6"/>
              <w:left w:val="single" w:sz="0" w:space="0" w:color="FFF7E6"/>
              <w:bottom w:val="single" w:sz="0" w:space="0" w:color="FFF7E6"/>
              <w:right w:val="single" w:sz="0" w:space="0" w:color="FFF7E6"/>
              <w:insideH w:val="single" w:sz="0" w:space="0" w:color="FFF7E6"/>
              <w:insideV w:val="single" w:sz="0" w:space="0" w:color="FFF7E6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color w:val="8A6500"/>
                <w:sz w:val="22"/>
              </w:rPr>
              <w:t xml:space="preserve">写实度说明 </w:t>
            </w:r>
            <w:r>
              <w:rPr>
                <w:rFonts w:ascii="Calibri" w:hAnsi="Calibri" w:eastAsia="Microsoft YaHei"/>
                <w:color w:val="17263C"/>
                <w:sz w:val="22"/>
              </w:rPr>
              <w:t>浏览器方案能做到明显非卡通、接近游戏角色/虚拟主播级的实时写实效果；若要求影视级毛发、皮肤和微表情，需要转向 Unreal/MetaHuman，并接受更高硬件与部署成本。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3. 总体技术架构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现有 LiveTalking 继续负责对话、语音和会话；新增 3D 前端、动作意图、表情/口型时间线三条能力链。这样可以保留现有可用功能，并允许 2D Wav2Lip 作为回退模式。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900"/>
        <w:gridCol w:w="3600"/>
        <w:gridCol w:w="2660"/>
      </w:tblGrid>
      <w:tr>
        <w:trPr>
          <w:tblHeader/>
          <w:cantSplit w:val="true"/>
        </w:trPr>
        <w:tc>
          <w:tcPr>
            <w:tcW w:type="dxa" w:w="12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层级</w:t>
            </w:r>
          </w:p>
        </w:tc>
        <w:tc>
          <w:tcPr>
            <w:tcW w:type="dxa" w:w="19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组件</w:t>
            </w:r>
          </w:p>
        </w:tc>
        <w:tc>
          <w:tcPr>
            <w:tcW w:type="dxa" w:w="36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职责</w:t>
            </w:r>
          </w:p>
        </w:tc>
        <w:tc>
          <w:tcPr>
            <w:tcW w:type="dxa" w:w="26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复用/新增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交互层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web3d 页面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输入、快捷动作、状态反馈、画质档位与 2D/3D 切换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渲染层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Three.js + GLB/VRM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骨骼、PBR 材质、灯光、相机、LOD、动画混合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动作状态机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意图白名单、优先级、中断、循环、过渡和恢复站姿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表情层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表情/口型时间线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眨眼、视线、情绪、嘴形与音频同步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LiveTalking API/Session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对话、TTS、会话、性能指标和控制接口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复用并扩展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兼容层</w:t>
            </w:r>
          </w:p>
        </w:tc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Wav2Lip 页面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旧模式保留，3D 不可用时一键回退</w:t>
            </w:r>
          </w:p>
        </w:tc>
        <w:tc>
          <w:tcPr>
            <w:tcW w:type="dxa" w:w="26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保留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i w:val="0"/>
          <w:color w:val="17263C"/>
          <w:sz w:val="22"/>
        </w:rPr>
        <w:t>建议的数据流：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4D78"/>
          <w:sz w:val="23"/>
        </w:rPr>
        <w:t>用户文本/按钮 → 动作意图解析 → LiveTalking 对话与 TTS → 动作状态机 + 口型时间线 → Three.js 写实角色渲染 → 浏览器音视频输出。</w:t>
      </w:r>
    </w:p>
    <w:p>
      <w:pPr>
        <w:pStyle w:val="Heading1"/>
        <w:keepNext/>
      </w:pPr>
      <w:r>
        <w:t>4. 项目内目录规划（执行时创建）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3800"/>
        <w:gridCol w:w="2560"/>
      </w:tblGrid>
      <w:tr>
        <w:trPr>
          <w:tblHeader/>
          <w:cantSplit w:val="true"/>
        </w:trPr>
        <w:tc>
          <w:tcPr>
            <w:tcW w:type="dxa" w:w="30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路径</w:t>
            </w:r>
          </w:p>
        </w:tc>
        <w:tc>
          <w:tcPr>
            <w:tcW w:type="dxa" w:w="38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用途</w:t>
            </w:r>
          </w:p>
        </w:tc>
        <w:tc>
          <w:tcPr>
            <w:tcW w:type="dxa" w:w="25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版本控制策略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web3d\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3D 页面、场景、渲染循环、动作与 UI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提交源码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assets3d\avatars\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写实人物 GLB/VRM、LOD、贴图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默认不提交大模型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assets3d\animations\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站立、蹲下、挥手等动画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按授权决定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server\action_service.py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动作意图白名单与状态协议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提交源码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server\viseme_service.py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口型/音素时间线生成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提交源码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server\routes_3d.py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模型清单、动作与表情 API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提交源码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config\actions.json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动作别名、优先级、循环和过渡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提交配置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config\viseme_zh.json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中文口型映射参数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提交配置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E:\SZR\.cache\livetalking-3d</w:t>
            </w:r>
          </w:p>
        </w:tc>
        <w:tc>
          <w:tcPr>
            <w:tcW w:type="dxa" w:w="3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构建缓存、下载缓存、临时文件</w:t>
            </w:r>
          </w:p>
        </w:tc>
        <w:tc>
          <w:tcPr>
            <w:tcW w:type="dxa" w:w="25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不提交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5. 写实人物资产规范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人物资产是最终效果的决定因素。建议委托建模师或使用具备明确商业/个人使用权的现成写实角色，完成统一骨骼、表情和浏览器优化后再接入。不能仅把卡通 VRM 换一张真人贴图。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600"/>
        <w:gridCol w:w="2800"/>
        <w:gridCol w:w="2810"/>
      </w:tblGrid>
      <w:tr>
        <w:trPr>
          <w:tblHeader/>
          <w:cantSplit w:val="true"/>
        </w:trPr>
        <w:tc>
          <w:tcPr>
            <w:tcW w:type="dxa" w:w="11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类别</w:t>
            </w:r>
          </w:p>
        </w:tc>
        <w:tc>
          <w:tcPr>
            <w:tcW w:type="dxa" w:w="26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最低要求</w:t>
            </w:r>
          </w:p>
        </w:tc>
        <w:tc>
          <w:tcPr>
            <w:tcW w:type="dxa" w:w="28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推荐要求</w:t>
            </w:r>
          </w:p>
        </w:tc>
        <w:tc>
          <w:tcPr>
            <w:tcW w:type="dxa" w:w="281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验收重点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网格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全身、拓扑完整、无穿模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60k-120k 三角面，另做 2 个 LOD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脸、手、关节变形自然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骨骼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标准 Humanoid，全身蒙皮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含手指、眼球、下颌、Twist 骨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蹲下/抬手无塌陷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材质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PBR BaseColor/Normal/Roughness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皮肤、眼睛、牙齿、头发分材质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肤色真实、无塑料感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贴图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桌面 2K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脸部 4K，移动端 1K/2K 降级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显存占用与清晰度平衡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表情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眨眼、张嘴、微笑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52 个 ARKit BlendShape + VRM 表情映射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左右对称、无破面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格式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glTF/GLB 2.0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VRM 1.0 元数据 + GLB 兼容导出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单位、朝向、骨骼命名一致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授权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肖像权、模型版权、贴图权明确</w:t>
            </w:r>
          </w:p>
        </w:tc>
        <w:tc>
          <w:tcPr>
            <w:tcW w:type="dxa" w:w="28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可部署、可修改、可商用范围书面化</w:t>
            </w:r>
          </w:p>
        </w:tc>
        <w:tc>
          <w:tcPr>
            <w:tcW w:type="dxa" w:w="28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留存合同与来源记录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F2"/>
            <w:tcBorders>
              <w:top w:val="single" w:sz="0" w:space="0" w:color="FFF2F2"/>
              <w:left w:val="single" w:sz="0" w:space="0" w:color="FFF2F2"/>
              <w:bottom w:val="single" w:sz="0" w:space="0" w:color="FFF2F2"/>
              <w:right w:val="single" w:sz="0" w:space="0" w:color="FFF2F2"/>
              <w:insideH w:val="single" w:sz="0" w:space="0" w:color="FFF2F2"/>
              <w:insideV w:val="single" w:sz="0" w:space="0" w:color="FFF2F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关键输入 </w:t>
            </w:r>
            <w:r>
              <w:rPr>
                <w:rFonts w:ascii="Calibri" w:hAnsi="Calibri" w:eastAsia="Microsoft YaHei"/>
                <w:color w:val="17263C"/>
                <w:sz w:val="22"/>
              </w:rPr>
              <w:t>正式执行前必须提供或采购一套写实全身人物资产。若只有一张照片，可先做近似形象建模，但不能保证与真人完全一致；若要复刻具体真人，还需要多角度照片/扫描数据和肖像授权。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6. 动作系统设计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动作采用“预制骨骼动画 + 实时混合 + 状态机”，这是目前最稳定、最可控的方案。蹲下由真正的骨骼动画完成，不依赖 CSS 或视频画面缩放。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700"/>
        <w:gridCol w:w="3950"/>
        <w:gridCol w:w="2460"/>
      </w:tblGrid>
      <w:tr>
        <w:trPr>
          <w:tblHeader/>
          <w:cantSplit w:val="true"/>
        </w:trPr>
        <w:tc>
          <w:tcPr>
            <w:tcW w:type="dxa" w:w="12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类型</w:t>
            </w:r>
          </w:p>
        </w:tc>
        <w:tc>
          <w:tcPr>
            <w:tcW w:type="dxa" w:w="17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动作</w:t>
            </w:r>
          </w:p>
        </w:tc>
        <w:tc>
          <w:tcPr>
            <w:tcW w:type="dxa" w:w="39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状态规则</w:t>
            </w:r>
          </w:p>
        </w:tc>
        <w:tc>
          <w:tcPr>
            <w:tcW w:type="dxa" w:w="24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建议时长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持续姿态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站立、蹲下</w:t>
            </w:r>
          </w:p>
        </w:tc>
        <w:tc>
          <w:tcPr>
            <w:tcW w:type="dxa" w:w="39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保持到收到相反命令；动作切换可打断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0.3-0.6 秒过渡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一次动作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点头、摇头、鞠躬、挥手</w:t>
            </w:r>
          </w:p>
        </w:tc>
        <w:tc>
          <w:tcPr>
            <w:tcW w:type="dxa" w:w="39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完成后回到当前基础姿态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0.8-2.0 秒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移动动作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左转、右转、向前一步</w:t>
            </w:r>
          </w:p>
        </w:tc>
        <w:tc>
          <w:tcPr>
            <w:tcW w:type="dxa" w:w="39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受场景边界约束；完成后回到待机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1.0-2.5 秒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说话伴随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呼吸、手势、重心变化</w:t>
            </w:r>
          </w:p>
        </w:tc>
        <w:tc>
          <w:tcPr>
            <w:tcW w:type="dxa" w:w="39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低权重叠加，不覆盖口型和主动作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循环/随机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保护动作</w:t>
            </w:r>
          </w:p>
        </w:tc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停止、恢复站立</w:t>
            </w:r>
          </w:p>
        </w:tc>
        <w:tc>
          <w:tcPr>
            <w:tcW w:type="dxa" w:w="39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最高优先级，清空动作队列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立即响应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spacing w:before="0" w:after="60" w:line="264" w:lineRule="auto"/>
        <w:jc w:val="left"/>
      </w:pPr>
      <w:r>
        <w:rPr>
          <w:rFonts w:ascii="Calibri" w:hAnsi="Calibri" w:eastAsia="Microsoft YaHei"/>
          <w:b/>
          <w:i w:val="0"/>
          <w:color w:val="17263C"/>
          <w:sz w:val="22"/>
        </w:rPr>
        <w:t>动作意图协议示例：</w:t>
      </w:r>
    </w:p>
    <w:p>
      <w:pPr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4D78"/>
          <w:sz w:val="20"/>
        </w:rPr>
        <w:t>{"intent":"action","action":"crouch","mode":"hold","speech":"我蹲下了。","confidence":0.98}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只允许配置文件中的动作 ID，禁止大模型直接生成代码、文件路径或任意动画名。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纯动作命令不必调用大模型；动作与问答混合时，先确定动作，再并行合成语音。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动作冲突由优先级解决：停止/安全恢复 &gt; 持续姿态 &gt; 一次动作 &gt; 待机微动。</w:t>
      </w:r>
    </w:p>
    <w:p>
      <w:pPr>
        <w:pStyle w:val="Heading1"/>
        <w:keepNext/>
      </w:pPr>
      <w:r>
        <w:t>7. 面部、目光与口型</w:t>
      </w:r>
    </w:p>
    <w:p>
      <w:pPr>
        <w:pStyle w:val="Heading2"/>
        <w:keepNext/>
      </w:pPr>
      <w:r>
        <w:t>7.1 第一版（可用基线）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通过 Web Audio 获取语音能量，驱动下颌和基础开合嘴形。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增加自然眨眼、轻微呼吸、头部微动和看向用户，避免静态“蜡像感”。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根据句子情绪选择微笑、中性、疑问等表情，但限制幅度，避免夸张卡通化。</w:t>
      </w:r>
    </w:p>
    <w:p>
      <w:pPr>
        <w:pStyle w:val="Heading2"/>
        <w:keepNext/>
      </w:pPr>
      <w:r>
        <w:t>7.2 正式版（推荐）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TTS 返回音频后生成带时间戳的音素/口型序列，映射到 aa、ih、ou、ee、oh 及闭口。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使用 Web Audio 时钟统一音频与表情时间线，支持暂停、停止、丢帧补偿和网络抖动恢复。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若继续使用 EdgeTTS，可先采用字词边界加中文拼音/韵母近似；若对口型要求更高，改接原生提供 viseme 事件的 TTS 服务。</w:t>
      </w:r>
    </w:p>
    <w:p>
      <w:pPr>
        <w:pStyle w:val="Heading2"/>
        <w:keepNext/>
      </w:pPr>
      <w:r>
        <w:t>7.3 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200"/>
        <w:gridCol w:w="2200"/>
        <w:gridCol w:w="3260"/>
      </w:tblGrid>
      <w:tr>
        <w:trPr>
          <w:tblHeader/>
          <w:cantSplit w:val="true"/>
        </w:trPr>
        <w:tc>
          <w:tcPr>
            <w:tcW w:type="dxa" w:w="17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指标</w:t>
            </w:r>
          </w:p>
        </w:tc>
        <w:tc>
          <w:tcPr>
            <w:tcW w:type="dxa" w:w="22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第一版目标</w:t>
            </w:r>
          </w:p>
        </w:tc>
        <w:tc>
          <w:tcPr>
            <w:tcW w:type="dxa" w:w="22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正式版目标</w:t>
            </w:r>
          </w:p>
        </w:tc>
        <w:tc>
          <w:tcPr>
            <w:tcW w:type="dxa" w:w="32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测试方法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音画主观同步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可理解，无明显长时间反相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偏差绝对值 &lt; 100 ms</w:t>
            </w:r>
          </w:p>
        </w:tc>
        <w:tc>
          <w:tcPr>
            <w:tcW w:type="dxa" w:w="32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固定语料录屏逐帧检查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闭口控制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静音后 300 ms 内闭口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静音后 150 ms 内闭口</w:t>
            </w:r>
          </w:p>
        </w:tc>
        <w:tc>
          <w:tcPr>
            <w:tcW w:type="dxa" w:w="32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短句/停顿/打断测试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表情稳定性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无抖动和破面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连续 30 分钟无累积漂移</w:t>
            </w:r>
          </w:p>
        </w:tc>
        <w:tc>
          <w:tcPr>
            <w:tcW w:type="dxa" w:w="32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自动脚本 + 人工观察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视线自然度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基本看向镜头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有平滑注视与短暂游移</w:t>
            </w:r>
          </w:p>
        </w:tc>
        <w:tc>
          <w:tcPr>
            <w:tcW w:type="dxa" w:w="32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近景主观验收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8. 分阶段实施与测试门槛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每个阶段完成后先执行自动化测试和人工视觉检查，出具阶段报告；通过后再进入下一阶段。这延续当前项目的阶段式开发方式。</w:t>
      </w:r>
    </w:p>
    <w:p>
      <w:pPr>
        <w:pStyle w:val="Heading2"/>
        <w:keepNext/>
      </w:pPr>
      <w:r>
        <w:t>阶段 0：资产与授权冻结（1-3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确定具体写实人物、用途（个人/商业）、肖像与模型授权。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检查骨骼、BlendShape、贴图、面数、单位和导出格式。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验收：模型可在独立查看器正确加载；授权清单完整；资产全部位于 E 盘。</w:t>
      </w:r>
    </w:p>
    <w:p>
      <w:pPr>
        <w:pStyle w:val="Heading2"/>
        <w:keepNext/>
      </w:pPr>
      <w:r>
        <w:t>阶段 1：独立 3D 原型（2-3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创建 web3d 最小页面，完成模型加载、灯光、相机、阴影和画质档位。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验收：桌面 1080p 平均 30 FPS 以上；无控制台错误；刷新后可恢复。</w:t>
      </w:r>
    </w:p>
    <w:p>
      <w:pPr>
        <w:pStyle w:val="Heading2"/>
        <w:keepNext/>
      </w:pPr>
      <w:r>
        <w:t>阶段 2：骨骼动作系统（3-4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接入站立、蹲下、点头、摇头、鞠躬、挥手，建立动画混合和状态机。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验收：“蹲下”保持、“站起”恢复；连续 100 次命令无卡死、穿模或队列失控。</w:t>
      </w:r>
    </w:p>
    <w:p>
      <w:pPr>
        <w:pStyle w:val="Heading2"/>
        <w:keepNext/>
      </w:pPr>
      <w:r>
        <w:t>阶段 3：面部和口型（3-5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完成眨眼、视线、表情与基础/正式口型时间线。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验收：固定中文语料音画偏差目标 &lt; 100 ms；停止语音后能及时闭口。</w:t>
      </w:r>
    </w:p>
    <w:p>
      <w:pPr>
        <w:pStyle w:val="Heading2"/>
        <w:keepNext/>
      </w:pPr>
      <w:r>
        <w:t>阶段 4：LiveTalking 集成（2-3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复用现有会话、AI、EdgeTTS 与控制接口；新增模型/动作 API。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验收：直读、AI 回复、停止、清空、切音色及 2D 回退均不回归。</w:t>
      </w:r>
    </w:p>
    <w:p>
      <w:pPr>
        <w:pStyle w:val="Heading2"/>
        <w:keepNext/>
      </w:pPr>
      <w:r>
        <w:t>阶段 5：自然语言动作意图（2-3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实现本地规则优先、大模型结构化补充、白名单校验与动作/语音并行。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验收：至少 80 条同义表达；危险或未知指令不执行；纯动作不误发 TTS。</w:t>
      </w:r>
    </w:p>
    <w:p>
      <w:pPr>
        <w:pStyle w:val="Heading2"/>
        <w:keepNext/>
      </w:pPr>
      <w:r>
        <w:t>阶段 6：真实感增强（2-4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加入说话伴随手势、呼吸、重心、情绪、目光和动作中断。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验收：动作过渡自然；无明显脚滑、关节塌陷或表情突变。</w:t>
      </w:r>
    </w:p>
    <w:p>
      <w:pPr>
        <w:pStyle w:val="Heading2"/>
        <w:keepNext/>
      </w:pPr>
      <w:r>
        <w:t>阶段 7：性能与移动端（2-4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加入 LOD、纹理压缩、帧率自适应、资源释放和移动端画质档。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验收：桌面 30-60 FPS；移动端 24-30 FPS（真实设备另行验收）。</w:t>
      </w:r>
    </w:p>
    <w:p>
      <w:pPr>
        <w:pStyle w:val="Heading2"/>
        <w:keepNext/>
      </w:pPr>
      <w:r>
        <w:t>阶段 8：稳定性与交付（1-2 天）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运行 30 分钟压力测试、10 轮以上交互、断线重连和资源回收检查。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验收：无 OOM、无持续显存增长、无严重音画漂移；文档和启动脚本齐全。</w:t>
      </w:r>
    </w:p>
    <w:p>
      <w:pPr>
        <w:pStyle w:val="Heading1"/>
        <w:keepNext/>
      </w:pPr>
      <w:r>
        <w:t>9. 性能与兼容目标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2150"/>
        <w:gridCol w:w="3150"/>
        <w:gridCol w:w="2410"/>
      </w:tblGrid>
      <w:tr>
        <w:trPr>
          <w:tblHeader/>
          <w:cantSplit w:val="true"/>
        </w:trPr>
        <w:tc>
          <w:tcPr>
            <w:tcW w:type="dxa" w:w="16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场景</w:t>
            </w:r>
          </w:p>
        </w:tc>
        <w:tc>
          <w:tcPr>
            <w:tcW w:type="dxa" w:w="21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分辨率/帧率目标</w:t>
            </w:r>
          </w:p>
        </w:tc>
        <w:tc>
          <w:tcPr>
            <w:tcW w:type="dxa" w:w="315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建议资产档位</w:t>
            </w:r>
          </w:p>
        </w:tc>
        <w:tc>
          <w:tcPr>
            <w:tcW w:type="dxa" w:w="241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降级策略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桌面默认</w:t>
            </w:r>
          </w:p>
        </w:tc>
        <w:tc>
          <w:tcPr>
            <w:tcW w:type="dxa" w:w="2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1080p，30-60 FPS</w:t>
            </w:r>
          </w:p>
        </w:tc>
        <w:tc>
          <w:tcPr>
            <w:tcW w:type="dxa" w:w="3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4K 脸部 + 2K 服装；高质量阴影</w:t>
            </w:r>
          </w:p>
        </w:tc>
        <w:tc>
          <w:tcPr>
            <w:tcW w:type="dxa" w:w="24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降阴影/后处理，再降贴图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桌面低配</w:t>
            </w:r>
          </w:p>
        </w:tc>
        <w:tc>
          <w:tcPr>
            <w:tcW w:type="dxa" w:w="2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720p，稳定 30 FPS</w:t>
            </w:r>
          </w:p>
        </w:tc>
        <w:tc>
          <w:tcPr>
            <w:tcW w:type="dxa" w:w="3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2K 贴图；LOD1</w:t>
            </w:r>
          </w:p>
        </w:tc>
        <w:tc>
          <w:tcPr>
            <w:tcW w:type="dxa" w:w="24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关闭 SSAO/高质量毛发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移动端</w:t>
            </w:r>
          </w:p>
        </w:tc>
        <w:tc>
          <w:tcPr>
            <w:tcW w:type="dxa" w:w="2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720p，24-30 FPS</w:t>
            </w:r>
          </w:p>
        </w:tc>
        <w:tc>
          <w:tcPr>
            <w:tcW w:type="dxa" w:w="3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1K/2K 贴图；LOD1/LOD2</w:t>
            </w:r>
          </w:p>
        </w:tc>
        <w:tc>
          <w:tcPr>
            <w:tcW w:type="dxa" w:w="24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半身模式、低阴影、少骨骼更新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兼容回退</w:t>
            </w:r>
          </w:p>
        </w:tc>
        <w:tc>
          <w:tcPr>
            <w:tcW w:type="dxa" w:w="2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保持现有 2D 能力</w:t>
            </w:r>
          </w:p>
        </w:tc>
        <w:tc>
          <w:tcPr>
            <w:tcW w:type="dxa" w:w="315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Wav2Lip 页面</w:t>
            </w:r>
          </w:p>
        </w:tc>
        <w:tc>
          <w:tcPr>
            <w:tcW w:type="dxa" w:w="241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WebGL/模型加载失败时切换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资源加载采用 manifest + 哈希校验；大模型不进入 Git，来源、版本和授权记录写入清单。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角色切换前显式释放纹理、材质、几何体、AnimationMixer 和 AudioNode。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渲染统计至少记录 FPS、帧耗时、GPU/纹理内存近似值、模型加载耗时和动作队列长度。</w:t>
      </w:r>
    </w:p>
    <w:p>
      <w:pPr>
        <w:pStyle w:val="Heading1"/>
        <w:keepNext/>
      </w:pPr>
      <w:r>
        <w:t>10. 主要风险与对策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200"/>
        <w:gridCol w:w="3600"/>
        <w:gridCol w:w="1460"/>
      </w:tblGrid>
      <w:tr>
        <w:trPr>
          <w:tblHeader/>
          <w:cantSplit w:val="true"/>
        </w:trPr>
        <w:tc>
          <w:tcPr>
            <w:tcW w:type="dxa" w:w="21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风险</w:t>
            </w:r>
          </w:p>
        </w:tc>
        <w:tc>
          <w:tcPr>
            <w:tcW w:type="dxa" w:w="22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影响</w:t>
            </w:r>
          </w:p>
        </w:tc>
        <w:tc>
          <w:tcPr>
            <w:tcW w:type="dxa" w:w="36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对策</w:t>
            </w:r>
          </w:p>
        </w:tc>
        <w:tc>
          <w:tcPr>
            <w:tcW w:type="dxa" w:w="14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等级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人物资产不够写实或无完整表情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最终效果达不到预期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先做资产验收样片，再开始编码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肖像/模型/动作授权不完整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无法发布或商用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建立来源、合同、用途和期限清单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恐怖谷效应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“像真人但不自然”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降低夸张表情；优化眼睛、皮肤、微动和口型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浏览器显存不足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黑屏、掉帧、崩溃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LOD、KTX2、延迟加载、显式资源释放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动作重定向质量差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脚滑、关节扭曲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统一骨架；逐动作人工修正；必要时 IK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TTS 无精确 viseme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口型近似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先做基线；正式版换支持 viseme 的服务或离线对齐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MetaHuman 硬件成本</w:t>
            </w:r>
          </w:p>
        </w:tc>
        <w:tc>
          <w:tcPr>
            <w:tcW w:type="dxa" w:w="22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当前主机不适合第一版</w:t>
            </w:r>
          </w:p>
        </w:tc>
        <w:tc>
          <w:tcPr>
            <w:tcW w:type="dxa" w:w="3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浏览器路线先落地；后续远程 GPU/升级硬件</w:t>
            </w:r>
          </w:p>
        </w:tc>
        <w:tc>
          <w:tcPr>
            <w:tcW w:type="dxa" w:w="1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11. 工期、成本与人员投入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0" w:space="0" w:color="E8EEF5"/>
              <w:left w:val="single" w:sz="0" w:space="0" w:color="E8EEF5"/>
              <w:bottom w:val="single" w:sz="0" w:space="0" w:color="E8EEF5"/>
              <w:right w:val="single" w:sz="0" w:space="0" w:color="E8EEF5"/>
              <w:insideH w:val="single" w:sz="0" w:space="0" w:color="E8EEF5"/>
              <w:insideV w:val="single" w:sz="0" w:space="0" w:color="E8EEF5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color w:val="2764A3"/>
                <w:sz w:val="22"/>
              </w:rPr>
              <w:t xml:space="preserve">预计工期 </w:t>
            </w:r>
            <w:r>
              <w:rPr>
                <w:rFonts w:ascii="Calibri" w:hAnsi="Calibri" w:eastAsia="Microsoft YaHei"/>
                <w:color w:val="17263C"/>
                <w:sz w:val="22"/>
              </w:rPr>
              <w:t>已有合格写实模型和动作素材时，约 18-31 个工作日；若需从照片定制人物、重做头发/服装、制作 52 个表情或补动作，资产制作通常另需 10-30 个工作日。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400"/>
        <w:gridCol w:w="2600"/>
        <w:gridCol w:w="2460"/>
      </w:tblGrid>
      <w:tr>
        <w:trPr>
          <w:tblHeader/>
          <w:cantSplit w:val="true"/>
        </w:trPr>
        <w:tc>
          <w:tcPr>
            <w:tcW w:type="dxa" w:w="19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成本项</w:t>
            </w:r>
          </w:p>
        </w:tc>
        <w:tc>
          <w:tcPr>
            <w:tcW w:type="dxa" w:w="24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最低可行</w:t>
            </w:r>
          </w:p>
        </w:tc>
        <w:tc>
          <w:tcPr>
            <w:tcW w:type="dxa" w:w="260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推荐投入</w:t>
            </w:r>
          </w:p>
        </w:tc>
        <w:tc>
          <w:tcPr>
            <w:tcW w:type="dxa" w:w="2460"/>
            <w:vAlign w:val="center"/>
            <w:shd w:fill="F2F4F7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263C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软件开发</w:t>
            </w:r>
          </w:p>
        </w:tc>
        <w:tc>
          <w:tcPr>
            <w:tcW w:type="dxa" w:w="24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现有项目内完成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 8 个阶段实施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主要是工程时间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写实人物资产</w:t>
            </w:r>
          </w:p>
        </w:tc>
        <w:tc>
          <w:tcPr>
            <w:tcW w:type="dxa" w:w="24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合法现成模型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定制建模/扫描与优化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决定最终观感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动作素材</w:t>
            </w:r>
          </w:p>
        </w:tc>
        <w:tc>
          <w:tcPr>
            <w:tcW w:type="dxa" w:w="24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开源/已授权动作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动作捕捉 + 人工修正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需确认再分发权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TTS/口型</w:t>
            </w:r>
          </w:p>
        </w:tc>
        <w:tc>
          <w:tcPr>
            <w:tcW w:type="dxa" w:w="24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继续 EdgeTTS + 近似口型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支持 viseme 的付费 TTS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高精度可能产生调用费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9"/>
              </w:rPr>
              <w:t>部署硬件</w:t>
            </w:r>
          </w:p>
        </w:tc>
        <w:tc>
          <w:tcPr>
            <w:tcW w:type="dxa" w:w="24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当前电脑浏览器渲染</w:t>
            </w:r>
          </w:p>
        </w:tc>
        <w:tc>
          <w:tcPr>
            <w:tcW w:type="dxa" w:w="260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更强 GPU 或远程渲染</w:t>
            </w:r>
          </w:p>
        </w:tc>
        <w:tc>
          <w:tcPr>
            <w:tcW w:type="dxa" w:w="2460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MetaHuman 路线成本更高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预算无法在人物来源、授权范围和目标写实度未确定时给出准确金额。正式采购前应先拿一套候选模型做“静态近景 + 蹲下 + 说话”样片验收，再决定是否投入定制资产。</w:t>
      </w:r>
    </w:p>
    <w:p>
      <w:pPr>
        <w:pStyle w:val="Heading1"/>
        <w:keepNext/>
      </w:pPr>
      <w:r>
        <w:t>12. 交付物清单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可切换 2D/3D 的浏览器页面与写实角色渲染模块。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动作状态机、动作意图白名单、中文同义命令与快捷按钮。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口型/表情/目光驱动模块及时间线协议。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3D 模型与动作资产清单、哈希、来源、授权与禁止事项。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阶段 0-8 测试报告、30 分钟稳定性报告和性能基线。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E 盘安装/启动/排错文档，以及不写入 C 盘的路径检查脚本。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现有 Wav2Lip 2D 回退模式和兼容性说明。</w:t>
      </w:r>
    </w:p>
    <w:p>
      <w:pPr>
        <w:pStyle w:val="Heading1"/>
        <w:keepNext/>
      </w:pPr>
      <w:r>
        <w:t>13. 开始执行前需要确认的两项输入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目标人物：使用“虚构写实人物”，还是复刻某位具体真人？若复刻真人，需要其明确肖像授权和素材。</w:t>
      </w:r>
    </w:p>
    <w:p>
      <w:pPr>
        <w:pStyle w:val="ListNumber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使用范围：仅个人学习/演示，还是未来可能公开发布、接单或商业使用？这会直接决定模型、动作和 TTS 的授权选择。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CF7F2"/>
            <w:tcBorders>
              <w:top w:val="single" w:sz="0" w:space="0" w:color="ECF7F2"/>
              <w:left w:val="single" w:sz="0" w:space="0" w:color="ECF7F2"/>
              <w:bottom w:val="single" w:sz="0" w:space="0" w:color="ECF7F2"/>
              <w:right w:val="single" w:sz="0" w:space="0" w:color="ECF7F2"/>
              <w:insideH w:val="single" w:sz="0" w:space="0" w:color="ECF7F2"/>
              <w:insideV w:val="single" w:sz="0" w:space="0" w:color="ECF7F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60" w:after="60" w:line="264" w:lineRule="auto"/>
            </w:pPr>
            <w:r>
              <w:rPr>
                <w:rFonts w:ascii="Calibri" w:hAnsi="Calibri" w:eastAsia="Microsoft YaHei"/>
                <w:b/>
                <w:color w:val="2E6B57"/>
                <w:sz w:val="22"/>
              </w:rPr>
              <w:t xml:space="preserve">建议默认选择 </w:t>
            </w:r>
            <w:r>
              <w:rPr>
                <w:rFonts w:ascii="Calibri" w:hAnsi="Calibri" w:eastAsia="Microsoft YaHei"/>
                <w:color w:val="17263C"/>
                <w:sz w:val="22"/>
              </w:rPr>
              <w:t>若暂时没有人物素材，先选择“虚构写实人物 + 个人/内部演示”，用一套合法候选资产完成阶段 0 样片；确认观感后再决定是否定制真人形象。未经确认，不进入实施阶段。</w:t>
            </w:r>
          </w:p>
        </w:tc>
      </w:tr>
    </w:tbl>
    <w:p>
      <w:pPr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14. 官方技术参考</w:t>
      </w:r>
    </w:p>
    <w:p>
      <w:pPr>
        <w:pStyle w:val="ListBullet"/>
        <w:spacing w:after="120"/>
      </w:pPr>
      <w:hyperlink r:id="rId11">
        <w:r>
          <w:rPr>
            <w:rFonts w:ascii="Calibri" w:hAnsi="Calibri" w:eastAsia="Microsoft YaHei"/>
            <w:color w:val="2764A3"/>
            <w:u w:val="single"/>
          </w:rPr>
          <w:t>VRM 1.0 功能与格式说明</w:t>
        </w:r>
      </w:hyperlink>
    </w:p>
    <w:p>
      <w:pPr>
        <w:pStyle w:val="ListBullet"/>
        <w:spacing w:after="120"/>
      </w:pPr>
      <w:hyperlink r:id="rId12">
        <w:r>
          <w:rPr>
            <w:rFonts w:ascii="Calibri" w:hAnsi="Calibri" w:eastAsia="Microsoft YaHei"/>
            <w:color w:val="2764A3"/>
            <w:u w:val="single"/>
          </w:rPr>
          <w:t>VRM Animation 规范</w:t>
        </w:r>
      </w:hyperlink>
    </w:p>
    <w:p>
      <w:pPr>
        <w:pStyle w:val="ListBullet"/>
        <w:spacing w:after="120"/>
      </w:pPr>
      <w:hyperlink r:id="rId13">
        <w:r>
          <w:rPr>
            <w:rFonts w:ascii="Calibri" w:hAnsi="Calibri" w:eastAsia="Microsoft YaHei"/>
            <w:color w:val="2764A3"/>
            <w:u w:val="single"/>
          </w:rPr>
          <w:t>pixiv three-vrm 官方仓库</w:t>
        </w:r>
      </w:hyperlink>
    </w:p>
    <w:p>
      <w:pPr>
        <w:pStyle w:val="ListBullet"/>
        <w:spacing w:after="120"/>
      </w:pPr>
      <w:hyperlink r:id="rId14">
        <w:r>
          <w:rPr>
            <w:rFonts w:ascii="Calibri" w:hAnsi="Calibri" w:eastAsia="Microsoft YaHei"/>
            <w:color w:val="2764A3"/>
            <w:u w:val="single"/>
          </w:rPr>
          <w:t>Three.js AnimationMixer 文档</w:t>
        </w:r>
      </w:hyperlink>
    </w:p>
    <w:p>
      <w:pPr>
        <w:pStyle w:val="ListBullet"/>
        <w:spacing w:after="120"/>
      </w:pPr>
      <w:hyperlink r:id="rId15">
        <w:r>
          <w:rPr>
            <w:rFonts w:ascii="Calibri" w:hAnsi="Calibri" w:eastAsia="Microsoft YaHei"/>
            <w:color w:val="2764A3"/>
            <w:u w:val="single"/>
          </w:rPr>
          <w:t>Three.js WebGLRenderer 文档</w:t>
        </w:r>
      </w:hyperlink>
    </w:p>
    <w:p>
      <w:pPr>
        <w:pStyle w:val="ListBullet"/>
        <w:spacing w:after="120"/>
      </w:pPr>
      <w:hyperlink r:id="rId16">
        <w:r>
          <w:rPr>
            <w:rFonts w:ascii="Calibri" w:hAnsi="Calibri" w:eastAsia="Microsoft YaHei"/>
            <w:color w:val="2764A3"/>
            <w:u w:val="single"/>
          </w:rPr>
          <w:t>MDN Web Audio AnalyserNode</w:t>
        </w:r>
      </w:hyperlink>
    </w:p>
    <w:p>
      <w:pPr>
        <w:pStyle w:val="ListBullet"/>
        <w:spacing w:after="120"/>
      </w:pPr>
      <w:hyperlink r:id="rId17">
        <w:r>
          <w:rPr>
            <w:rFonts w:ascii="Calibri" w:hAnsi="Calibri" w:eastAsia="Microsoft YaHei"/>
            <w:color w:val="2764A3"/>
            <w:u w:val="single"/>
          </w:rPr>
          <w:t>MetaHuman 硬件要求</w:t>
        </w:r>
      </w:hyperlink>
    </w:p>
    <w:p>
      <w:pPr>
        <w:pStyle w:val="ListBullet"/>
        <w:spacing w:after="120"/>
      </w:pPr>
      <w:hyperlink r:id="rId18">
        <w:r>
          <w:rPr>
            <w:rFonts w:ascii="Calibri" w:hAnsi="Calibri" w:eastAsia="Microsoft YaHei"/>
            <w:color w:val="2764A3"/>
            <w:u w:val="single"/>
          </w:rPr>
          <w:t>Unreal Pixel Streaming 概览</w:t>
        </w:r>
      </w:hyperlink>
    </w:p>
    <w:p>
      <w:pPr>
        <w:pStyle w:val="ListBullet"/>
        <w:spacing w:after="120"/>
      </w:pPr>
      <w:hyperlink r:id="rId19">
        <w:r>
          <w:rPr>
            <w:rFonts w:ascii="Calibri" w:hAnsi="Calibri" w:eastAsia="Microsoft YaHei"/>
            <w:color w:val="2764A3"/>
            <w:u w:val="single"/>
          </w:rPr>
          <w:t>VRM Public License 1.0</w:t>
        </w:r>
      </w:hyperlink>
    </w:p>
    <w:p>
      <w:pPr>
        <w:spacing w:before="160" w:after="120" w:line="264" w:lineRule="auto"/>
        <w:jc w:val="left"/>
      </w:pPr>
      <w:r>
        <w:rPr>
          <w:rFonts w:ascii="Calibri" w:hAnsi="Calibri" w:eastAsia="Microsoft YaHei"/>
          <w:b w:val="0"/>
          <w:i/>
          <w:color w:val="5F6B7A"/>
          <w:sz w:val="19"/>
        </w:rPr>
        <w:t>注：上述链接用于技术与许可评审。最终使用任何人物、动作、模型、贴图、字体或在线服务时，仍需以其下载页面、合同和当时有效条款为准。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fldSimple w:instr="PAGE"/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8"/>
      </w:rPr>
      <w:t>LiveTalking 写实 3D 升级方案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764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764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rm.dev/en/vrm/vrm_features/" TargetMode="External"/><Relationship Id="rId12" Type="http://schemas.openxmlformats.org/officeDocument/2006/relationships/hyperlink" Target="https://vrm.dev/vrma/" TargetMode="External"/><Relationship Id="rId13" Type="http://schemas.openxmlformats.org/officeDocument/2006/relationships/hyperlink" Target="https://github.com/pixiv/three-vrm" TargetMode="External"/><Relationship Id="rId14" Type="http://schemas.openxmlformats.org/officeDocument/2006/relationships/hyperlink" Target="https://threejs.org/docs/pages/AnimationMixer.html" TargetMode="External"/><Relationship Id="rId15" Type="http://schemas.openxmlformats.org/officeDocument/2006/relationships/hyperlink" Target="https://threejs.org/docs/pages/WebGLRenderer.html" TargetMode="External"/><Relationship Id="rId16" Type="http://schemas.openxmlformats.org/officeDocument/2006/relationships/hyperlink" Target="https://developer.mozilla.org/en-US/docs/Web/API/AnalyserNode" TargetMode="External"/><Relationship Id="rId17" Type="http://schemas.openxmlformats.org/officeDocument/2006/relationships/hyperlink" Target="https://dev.epicgames.com/documentation/metahuman/metahuman-hardware-requirements-in-unreal-engine" TargetMode="External"/><Relationship Id="rId18" Type="http://schemas.openxmlformats.org/officeDocument/2006/relationships/hyperlink" Target="https://dev.epicgames.com/documentation/unreal-engine/overview-of-pixel-streaming-in-unreal-engine" TargetMode="External"/><Relationship Id="rId19" Type="http://schemas.openxmlformats.org/officeDocument/2006/relationships/hyperlink" Target="https://vrm.dev/en/licenses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写实真人 3D 数字人完整实施方案</dc:title>
  <dc:subject>LiveTalking 写实 3D 升级技术方案</dc:subject>
  <dc:creator>LiveTalking 项目组</dc:creator>
  <cp:keywords>LiveTalking, 3D数字人, 写实人物, Three.js, VRM, 动作交互</cp:keywords>
  <dc:description>方案评审稿；未执行 3D 开发。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