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594E6">
      <w:pPr>
        <w:keepNext w:val="0"/>
        <w:keepLines w:val="0"/>
        <w:pageBreakBefore w:val="0"/>
        <w:widowControl w:val="0"/>
        <w:kinsoku w:val="0"/>
        <w:wordWrap/>
        <w:overflowPunct/>
        <w:topLinePunct w:val="0"/>
        <w:autoSpaceDE/>
        <w:autoSpaceDN/>
        <w:bidi w:val="0"/>
        <w:adjustRightInd w:val="0"/>
        <w:snapToGrid w:val="0"/>
        <w:spacing w:before="800" w:after="120" w:line="360" w:lineRule="auto"/>
        <w:ind w:firstLine="960" w:firstLineChars="200"/>
        <w:jc w:val="center"/>
        <w:textAlignment w:val="auto"/>
        <w:rPr>
          <w:rFonts w:hint="eastAsia" w:ascii="宋体" w:hAnsi="宋体" w:eastAsia="宋体" w:cs="宋体"/>
        </w:rPr>
      </w:pPr>
      <w:r>
        <w:rPr>
          <w:rFonts w:hint="eastAsia" w:ascii="宋体" w:hAnsi="宋体" w:eastAsia="宋体" w:cs="宋体"/>
          <w:b w:val="0"/>
          <w:sz w:val="48"/>
        </w:rPr>
        <w:t>九〇三医院医疗大模型多智能体系统</w:t>
      </w:r>
    </w:p>
    <w:p w14:paraId="66CB20F7">
      <w:pPr>
        <w:pStyle w:val="3"/>
        <w:bidi w:val="0"/>
        <w:rPr>
          <w:rFonts w:hint="eastAsia" w:ascii="宋体" w:hAnsi="宋体" w:eastAsia="宋体" w:cs="宋体"/>
        </w:rPr>
      </w:pPr>
      <w:r>
        <w:rPr>
          <w:rFonts w:hint="eastAsia" w:ascii="宋体" w:hAnsi="宋体" w:eastAsia="宋体" w:cs="宋体"/>
        </w:rPr>
        <w:t>1. 项目总体方案</w:t>
      </w:r>
    </w:p>
    <w:p w14:paraId="4A65ABFF">
      <w:pPr>
        <w:pStyle w:val="4"/>
        <w:bidi w:val="0"/>
        <w:rPr>
          <w:rFonts w:hint="eastAsia" w:ascii="宋体" w:hAnsi="宋体" w:eastAsia="宋体" w:cs="宋体"/>
        </w:rPr>
      </w:pPr>
      <w:r>
        <w:rPr>
          <w:rFonts w:hint="eastAsia" w:ascii="宋体" w:hAnsi="宋体" w:eastAsia="宋体" w:cs="宋体"/>
        </w:rPr>
        <w:t xml:space="preserve">1.1 </w:t>
      </w:r>
      <w:r>
        <w:rPr>
          <w:rFonts w:hint="eastAsia" w:ascii="宋体" w:hAnsi="宋体" w:eastAsia="宋体" w:cs="宋体"/>
          <w:b/>
          <w:bCs/>
          <w:color w:val="000000" w:themeColor="text1"/>
          <w:sz w:val="28"/>
          <w:szCs w:val="28"/>
          <w:lang w:val="en-US" w:eastAsia="en-US" w:bidi="ar-SA"/>
          <w14:textFill>
            <w14:solidFill>
              <w14:schemeClr w14:val="tx1"/>
            </w14:solidFill>
          </w14:textFill>
        </w:rPr>
        <w:t>方案编制依据与设计原则</w:t>
      </w:r>
    </w:p>
    <w:p w14:paraId="2DF65086">
      <w:pPr>
        <w:pStyle w:val="5"/>
        <w:bidi w:val="0"/>
        <w:rPr>
          <w:rFonts w:hint="eastAsia" w:ascii="宋体" w:hAnsi="宋体" w:eastAsia="宋体" w:cs="宋体"/>
        </w:rPr>
      </w:pPr>
      <w:r>
        <w:rPr>
          <w:rFonts w:hint="eastAsia" w:ascii="宋体" w:hAnsi="宋体" w:eastAsia="宋体" w:cs="宋体"/>
        </w:rPr>
        <w:t>1.1.1 建设背景</w:t>
      </w:r>
    </w:p>
    <w:p w14:paraId="1CE5B9DB">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九〇三医院始建于1970年，隶属于中国工程物理研究院，是一所国家三级甲等公立综合医院，现为成都医学院非直管附属医院、西南医科大学研究生联合培养基地，也是四川大学华西第二医院医联体医院及多家知名医院专科联盟医院。医院编制床位810张，设有18个综合科室、56个临床诊疗及辅助科室、20个病区，现有职工1055人，其中卫生专业技术人员979人，年门急诊量76万余人次，出院4万余人次。医院已建成临床服务“五大中心”和急诊急救“五大中心”，在心脑血管疾病、危重症救治、呼吸系统疾病、消化系统疾病、神经系统疾病、肿瘤相关疾病以及疼痛治疗等领域形成了显著的诊疗特色。</w:t>
      </w:r>
    </w:p>
    <w:p w14:paraId="3FCAADC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从信息化基础看，医院已按照电子病历系统应用水平分级评价、医院信息互联互通标准化成熟度测评等要求推进以电子病历为核心的医院信息化建设，HIS、EMR、LIS、PACS、手麻、护理、病案等业务系统已在院内稳定运行，并已具备一定规模的算力平台资源。这为本次医疗大模型多智能体系统的建设提供了两个关键前提：</w:t>
      </w:r>
      <w:r>
        <w:rPr>
          <w:rFonts w:hint="eastAsia" w:ascii="宋体" w:hAnsi="宋体" w:eastAsia="宋体" w:cs="宋体"/>
          <w:b w:val="0"/>
          <w:sz w:val="24"/>
          <w:lang w:eastAsia="zh-CN"/>
        </w:rPr>
        <w:t>一、</w:t>
      </w:r>
      <w:r>
        <w:rPr>
          <w:rFonts w:hint="eastAsia" w:ascii="宋体" w:hAnsi="宋体" w:eastAsia="宋体" w:cs="宋体"/>
          <w:b w:val="0"/>
          <w:sz w:val="24"/>
        </w:rPr>
        <w:t>院内已经沉淀了较为完整、连续、结构化的诊疗数据，具备支撑大模型与知识检索的良好数据基础；</w:t>
      </w:r>
      <w:r>
        <w:rPr>
          <w:rFonts w:hint="eastAsia" w:ascii="宋体" w:hAnsi="宋体" w:eastAsia="宋体" w:cs="宋体"/>
          <w:b w:val="0"/>
          <w:sz w:val="24"/>
          <w:lang w:eastAsia="zh-CN"/>
        </w:rPr>
        <w:t>二、</w:t>
      </w:r>
      <w:r>
        <w:rPr>
          <w:rFonts w:hint="eastAsia" w:ascii="宋体" w:hAnsi="宋体" w:eastAsia="宋体" w:cs="宋体"/>
          <w:b w:val="0"/>
          <w:sz w:val="24"/>
        </w:rPr>
        <w:t>院内已具备算力承载条件，本项目不需要重复投入底层硬件，建设的重心应放在“算力之上”的模型能力、知识能力、智能体编排能力与业务场景融合能力上。</w:t>
      </w:r>
    </w:p>
    <w:p w14:paraId="4E2C4B72">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医院年门急诊量76万余人次、出院4万余人次，临床医师在门诊接诊、病房查房、手术、会诊等高强度诊疗工作之外，还要承担大量病历文书书写工作，门诊病历、入院记录、首次病程记录、日常病程记录、手术记录、会诊记录、护理记录等文书种类多、规范要求细、时限要求严。病历书写占用大量本可用于患者沟通与临床思考的时间，是临床反映最为集中的负担来源之一。另一方面，病历质量管控目前仍以科室自查、质控科抽查、终末质控为主，以人工翻阅方式开展，覆盖面有限、发现问题滞后，对于主诉与现病史不符、病程记录与医嘱不一致、重要检查结果异常无分析处理、内容复制粘贴、时限超期等内涵质量问题，难以做到全量、实时、前置发现。病历质量直接关系到医疗质量安全、等级医院评审、公立医院绩效考核与医保支付，是医院必须持续投入的管理重点。</w:t>
      </w:r>
    </w:p>
    <w:p w14:paraId="35DAF7BD">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国家层面已经为医疗人工智能的应用指明了方向。2025年8月，国务院印发《关于深入实施“人工智能+”行动的意见》（国发〔2025〕11号）；2025年10月，国家卫生健康委等五部门联合印发《关于促进和规范“人工智能+医疗卫生”应用发展的实施意见》（国卫办规划发〔2025〕30号），明确提出到2027年形成一批临床专病专科垂直大模型和智能体应用，到2030年推动二级以上医院普遍开展临床诊疗智能辅助决策等人工智能技术应用，并将“推广医疗卫生机构智能管理”“加强医疗质量智能管理”“孵化专业化、专科化的医疗智能体”列为重点应用方向。本项目正是落实上述政策要求、以人工智能手段为临床医护减负、提升病历质量与医疗质量安全管理水平的具体举措。</w:t>
      </w:r>
    </w:p>
    <w:p w14:paraId="55819E4C">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基于上述背景，本方案将建设目标归纳为四个“减负”与四个“提升”：为医师减负，减少病历文书书写时间；为护士减负，减少护理记录重复录入；为质控人员减负，把抽检变为全量智能筛查；为管理者减负，把事后统计变为实时洞察。提升病历书写规范性与完整性，提升病历内涵质量，提升医疗质量安全管理精细化水平，提升患者就医体验与医院数智化形象。</w:t>
      </w:r>
    </w:p>
    <w:p w14:paraId="21E42123">
      <w:pPr>
        <w:pStyle w:val="5"/>
        <w:bidi w:val="0"/>
        <w:rPr>
          <w:rFonts w:hint="eastAsia" w:ascii="宋体" w:hAnsi="宋体" w:eastAsia="宋体" w:cs="宋体"/>
        </w:rPr>
      </w:pPr>
      <w:r>
        <w:rPr>
          <w:rFonts w:hint="eastAsia" w:ascii="宋体" w:hAnsi="宋体" w:eastAsia="宋体" w:cs="宋体"/>
        </w:rPr>
        <w:t>1.1.2 编制依据</w:t>
      </w:r>
    </w:p>
    <w:p w14:paraId="167973BF">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本方案依据以下法律法规、政策文件与技术标准编制：</w:t>
      </w:r>
    </w:p>
    <w:p w14:paraId="62629EB4">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lang w:eastAsia="zh-CN"/>
        </w:rPr>
        <w:t>一、</w:t>
      </w:r>
      <w:r>
        <w:rPr>
          <w:rFonts w:hint="eastAsia" w:ascii="宋体" w:hAnsi="宋体" w:eastAsia="宋体" w:cs="宋体"/>
          <w:b w:val="0"/>
          <w:sz w:val="24"/>
        </w:rPr>
        <w:t>法律法规与部门规章</w:t>
      </w:r>
    </w:p>
    <w:p w14:paraId="76B44673">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《中华人民共和国网络安全法》</w:t>
      </w:r>
    </w:p>
    <w:p w14:paraId="1EC83EE0">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《中华人民共和国数据安全法》</w:t>
      </w:r>
    </w:p>
    <w:p w14:paraId="62BE45F0">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《中华人民共和国个人信息保护法》</w:t>
      </w:r>
    </w:p>
    <w:p w14:paraId="18DAA882">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《中华人民共和国密码法》</w:t>
      </w:r>
    </w:p>
    <w:p w14:paraId="469CE5C1">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《关键信息基础设施安全保护条例》</w:t>
      </w:r>
    </w:p>
    <w:p w14:paraId="24F95829">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rPr>
      </w:pPr>
      <w:r>
        <w:rPr>
          <w:rFonts w:hint="eastAsia" w:ascii="宋体" w:hAnsi="宋体" w:eastAsia="宋体" w:cs="宋体"/>
          <w:b w:val="0"/>
          <w:sz w:val="24"/>
        </w:rPr>
        <w:t>《网络数据安全管理条例》</w:t>
      </w:r>
    </w:p>
    <w:p w14:paraId="003E0E3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lang w:eastAsia="zh-CN"/>
        </w:rPr>
        <w:t>二、</w:t>
      </w:r>
      <w:r>
        <w:rPr>
          <w:rFonts w:hint="eastAsia" w:ascii="宋体" w:hAnsi="宋体" w:eastAsia="宋体" w:cs="宋体"/>
          <w:b w:val="0"/>
          <w:sz w:val="24"/>
        </w:rPr>
        <w:t>卫生健康行业政策文件</w:t>
      </w:r>
    </w:p>
    <w:p w14:paraId="176C3905">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《关于深入实施“人工智能+”行动的意见》（国发〔2025〕11号）</w:t>
      </w:r>
    </w:p>
    <w:p w14:paraId="42720A7A">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《关于促进和规范“人工智能+医疗卫生”应用发展的实施意见》（国卫办规划发〔2025〕30号）</w:t>
      </w:r>
    </w:p>
    <w:p w14:paraId="179CFCBF">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《医疗卫生机构网络安全管理办法》（国卫规划发〔2022〕29号）</w:t>
      </w:r>
    </w:p>
    <w:p w14:paraId="5A763937">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《医疗卫生机构数据安全和个人信息保护管理办法（试行）》</w:t>
      </w:r>
    </w:p>
    <w:p w14:paraId="29BBE30C">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《关于开展全面提升医疗质量行动（2023—2025年）的通知》</w:t>
      </w:r>
    </w:p>
    <w:p w14:paraId="29A351C9">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医疗质量安全核心制度要点</w:t>
      </w:r>
    </w:p>
    <w:p w14:paraId="23EB6F0C">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rPr>
      </w:pPr>
      <w:r>
        <w:rPr>
          <w:rFonts w:hint="eastAsia" w:ascii="宋体" w:hAnsi="宋体" w:eastAsia="宋体" w:cs="宋体"/>
          <w:b w:val="0"/>
          <w:sz w:val="24"/>
        </w:rPr>
        <w:t>《电子病历系统应用水平分级评价管理办法（试行）》及分级评价标准</w:t>
      </w:r>
    </w:p>
    <w:p w14:paraId="3644354E">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lang w:eastAsia="zh-CN"/>
        </w:rPr>
        <w:t>三、</w:t>
      </w:r>
      <w:r>
        <w:rPr>
          <w:rFonts w:hint="eastAsia" w:ascii="宋体" w:hAnsi="宋体" w:eastAsia="宋体" w:cs="宋体"/>
          <w:b w:val="0"/>
          <w:sz w:val="24"/>
        </w:rPr>
        <w:t>技术标准与规范</w:t>
      </w:r>
    </w:p>
    <w:p w14:paraId="7A9B22EC">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GB/T 22239《信息安全技术 网络安全等级保护基本要求》（等保2.0）</w:t>
      </w:r>
    </w:p>
    <w:p w14:paraId="0726C939">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GB/T 39725《信息安全技术 健康医疗数据安全指南》</w:t>
      </w:r>
    </w:p>
    <w:p w14:paraId="5473A39A">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WS 445《电子病历基本数据集》</w:t>
      </w:r>
    </w:p>
    <w:p w14:paraId="31E811D9">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WS/T 500《电子病历共享文档规范》</w:t>
      </w:r>
    </w:p>
    <w:p w14:paraId="65B21493">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医院信息互联互通标准化成熟度测评相关标准</w:t>
      </w:r>
    </w:p>
    <w:p w14:paraId="10134520">
      <w:pPr>
        <w:keepNext w:val="0"/>
        <w:keepLines w:val="0"/>
        <w:pageBreakBefore w:val="0"/>
        <w:widowControl w:val="0"/>
        <w:numPr>
          <w:ilvl w:val="0"/>
          <w:numId w:val="7"/>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rPr>
      </w:pPr>
      <w:r>
        <w:rPr>
          <w:rFonts w:hint="eastAsia" w:ascii="宋体" w:hAnsi="宋体" w:eastAsia="宋体" w:cs="宋体"/>
          <w:b w:val="0"/>
          <w:sz w:val="24"/>
        </w:rPr>
        <w:t>国家医保局医保疾病诊断相关分组（CHS-DRG）与医保结算清单相关规范</w:t>
      </w:r>
    </w:p>
    <w:p w14:paraId="639169B0">
      <w:pPr>
        <w:pStyle w:val="5"/>
        <w:bidi w:val="0"/>
        <w:rPr>
          <w:rFonts w:hint="eastAsia" w:ascii="宋体" w:hAnsi="宋体" w:eastAsia="宋体" w:cs="宋体"/>
        </w:rPr>
      </w:pPr>
      <w:r>
        <w:rPr>
          <w:rFonts w:hint="eastAsia" w:ascii="宋体" w:hAnsi="宋体" w:eastAsia="宋体" w:cs="宋体"/>
        </w:rPr>
        <w:t>1.1.4 设计原则</w:t>
      </w:r>
    </w:p>
    <w:p w14:paraId="70FE889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本方案的设计坚持以下八项原则，各项原则均在后续章节中有对应的架构设计与技术措施落地。</w:t>
      </w:r>
    </w:p>
    <w:p w14:paraId="2B0100C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一，安全合规优先。医疗数据属于高度敏感的个人信息，患者病历数据不得出院、不得出境、不得用于本项目之外的任何用途。方案采用全栈私有化部署，模型推理、知识检索、数据处理全部在院内完成，从架构上根本性规避数据外流风险，并落实网络安全等级保护、数据分类分级、密码应用等合规要求。</w:t>
      </w:r>
    </w:p>
    <w:p w14:paraId="5A48642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第二，业务场景驱动。不做“为 AI 而 AI”的功能堆砌，每一个智能体都对应一线明确、高频、耗时的具体业务动作，交付的是可直接嵌入现有工作流的业务能力，而不是需要医护额外学习使用的独立工具。</w:t>
      </w:r>
    </w:p>
    <w:p w14:paraId="72B6D509">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第三，</w:t>
      </w:r>
      <w:r>
        <w:rPr>
          <w:rFonts w:hint="eastAsia" w:ascii="宋体" w:hAnsi="宋体" w:eastAsia="宋体" w:cs="宋体"/>
          <w:b w:val="0"/>
          <w:sz w:val="24"/>
          <w:lang w:val="en-US" w:eastAsia="zh-CN"/>
        </w:rPr>
        <w:t>AI</w:t>
      </w:r>
      <w:r>
        <w:rPr>
          <w:rFonts w:hint="eastAsia" w:ascii="宋体" w:hAnsi="宋体" w:eastAsia="宋体" w:cs="宋体"/>
          <w:b w:val="0"/>
          <w:sz w:val="24"/>
        </w:rPr>
        <w:t>辅助定位。大模型输出一律定位为“辅助建议”，不替代医务人员的专业判断与法定责任。所有生成内容必须经医师确认并签署后方可生效，所有质控结论必须可追溯到原文依据，系统全程留痕、可审计、可回溯。</w:t>
      </w:r>
    </w:p>
    <w:p w14:paraId="1C13622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第四，开放解耦。采用“旁路增强、松耦合接入”的建设思路，通过标准化接口与医院现有 HIS、EMR、LIS、PACS、手麻、护理、病案等系统对接，不改造、不替代既有核心业务系统，最大限度降低对现网稳定性的影响。</w:t>
      </w:r>
    </w:p>
    <w:p w14:paraId="77FC98A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第五，多模型适配。平台不绑定单一模型厂商，支持多模型统一纳管、按场景路由与热切换，支持国产算力芯片与国产操作系统、国产数据库，保障供应链安全与长期演进能力。</w:t>
      </w:r>
    </w:p>
    <w:p w14:paraId="53CBFCDC">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第六，能力复用、持续演进。将模型能力、知识能力、编排能力沉淀为可复用的平台能力，新增场景通过配置智能体与工作流即可实现，避免每上一个场景就重新开发一套系统，保障系统具备持续生长能力。</w:t>
      </w:r>
    </w:p>
    <w:p w14:paraId="453363A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第七，可解释、可溯源。医疗场景对“为什么这么判断”的要求极高。系统对每一条生成内容与质控意见均提供引用来源、规则依据与推理链路，让医师“敢用、愿用、会核对”。</w:t>
      </w:r>
    </w:p>
    <w:p w14:paraId="4403CCD2">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第八，经济实用、利旧增效。充分利用医院已有算力平台与网络、存储资源，避免重复投资；按场景优先级分阶段建设，先落地见效快的病历生成与病历质控场景，再逐步扩展，控制一次性投入风险。</w:t>
      </w:r>
    </w:p>
    <w:p w14:paraId="38B12DCA">
      <w:pPr>
        <w:pStyle w:val="4"/>
        <w:bidi w:val="0"/>
        <w:rPr>
          <w:rFonts w:hint="eastAsia" w:ascii="宋体" w:hAnsi="宋体" w:eastAsia="宋体" w:cs="宋体"/>
        </w:rPr>
      </w:pPr>
      <w:r>
        <w:rPr>
          <w:rFonts w:hint="eastAsia" w:ascii="宋体" w:hAnsi="宋体" w:eastAsia="宋体" w:cs="宋体"/>
        </w:rPr>
        <w:t>1.2 项目总体目标与建设内容</w:t>
      </w:r>
    </w:p>
    <w:p w14:paraId="74DDAABF">
      <w:pPr>
        <w:pStyle w:val="5"/>
        <w:bidi w:val="0"/>
        <w:rPr>
          <w:rFonts w:hint="eastAsia" w:ascii="宋体" w:hAnsi="宋体" w:eastAsia="宋体" w:cs="宋体"/>
        </w:rPr>
      </w:pPr>
      <w:r>
        <w:rPr>
          <w:rFonts w:hint="eastAsia" w:ascii="宋体" w:hAnsi="宋体" w:eastAsia="宋体" w:cs="宋体"/>
        </w:rPr>
        <w:t>1.2.1 总体目标</w:t>
      </w:r>
    </w:p>
    <w:p w14:paraId="366CD1AA">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围绕九〇三医院“提升医疗AI服务能力、提高医疗服务效率和质量、为临床医护减负、提升患者就医体验、满足政策与评级要求”的项目定位，建设一套立足院内、安全可控、可持续演进的 AI 智能医疗服务与研发平台，并在平台上构建覆盖门诊、住院、手术、会诊、护理、病历质控六大业务环节的智能体应用集群，形成“一个平台、一套知识、一组智能体、一体化质控”的医疗大模型应用体系。</w:t>
      </w:r>
    </w:p>
    <w:p w14:paraId="3D24DD0E">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具体而言，本项目建设达成以下四方面目标：</w:t>
      </w:r>
    </w:p>
    <w:p w14:paraId="68C9ECBE">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b w:val="0"/>
          <w:sz w:val="24"/>
          <w:lang w:eastAsia="zh-CN"/>
        </w:rPr>
        <w:t>一、</w:t>
      </w:r>
      <w:r>
        <w:rPr>
          <w:rFonts w:hint="eastAsia" w:ascii="宋体" w:hAnsi="宋体" w:eastAsia="宋体" w:cs="宋体"/>
          <w:b w:val="0"/>
          <w:sz w:val="24"/>
        </w:rPr>
        <w:t>建成院内统一的 AI 能力底座。在医院现有算力平台基础上，建成包含多模型服务、知识检索、提示词管理、智能体编排、安全审计在内的 AI 智能医疗服务与研发平台，形成全院 AI 能力的统一出入口，避免各科室分散建设、重复建设造成的算力碎片化与数据孤岛</w:t>
      </w:r>
      <w:r>
        <w:rPr>
          <w:rFonts w:hint="eastAsia" w:ascii="宋体" w:hAnsi="宋体" w:eastAsia="宋体" w:cs="宋体"/>
          <w:b w:val="0"/>
          <w:sz w:val="24"/>
          <w:lang w:eastAsia="zh-CN"/>
        </w:rPr>
        <w:t>。</w:t>
      </w:r>
    </w:p>
    <w:p w14:paraId="53DD8EAE">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二、</w:t>
      </w:r>
      <w:r>
        <w:rPr>
          <w:rFonts w:hint="eastAsia" w:ascii="宋体" w:hAnsi="宋体" w:eastAsia="宋体" w:cs="宋体"/>
          <w:b w:val="0"/>
          <w:sz w:val="24"/>
        </w:rPr>
        <w:t>建成覆盖核心病历文书的智能生成能力。围绕门诊病历、住院病历、手术记录、会诊记录、护理记录五类高频、耗时、规范要求严格的文书，构建对应的生成智能体，实现从“数据自动汇聚</w:t>
      </w:r>
      <w:r>
        <w:rPr>
          <w:rFonts w:hint="eastAsia" w:ascii="宋体" w:hAnsi="宋体" w:eastAsia="宋体" w:cs="宋体"/>
          <w:b w:val="0"/>
          <w:sz w:val="24"/>
          <w:lang w:eastAsia="zh-CN"/>
        </w:rPr>
        <w:t>、</w:t>
      </w:r>
      <w:r>
        <w:rPr>
          <w:rFonts w:hint="eastAsia" w:ascii="宋体" w:hAnsi="宋体" w:eastAsia="宋体" w:cs="宋体"/>
          <w:b w:val="0"/>
          <w:sz w:val="24"/>
        </w:rPr>
        <w:t>内容智能生成</w:t>
      </w:r>
      <w:r>
        <w:rPr>
          <w:rFonts w:hint="eastAsia" w:ascii="宋体" w:hAnsi="宋体" w:eastAsia="宋体" w:cs="宋体"/>
          <w:b w:val="0"/>
          <w:sz w:val="24"/>
          <w:lang w:eastAsia="zh-CN"/>
        </w:rPr>
        <w:t>、</w:t>
      </w:r>
      <w:r>
        <w:rPr>
          <w:rFonts w:hint="eastAsia" w:ascii="宋体" w:hAnsi="宋体" w:eastAsia="宋体" w:cs="宋体"/>
          <w:b w:val="0"/>
          <w:sz w:val="24"/>
        </w:rPr>
        <w:t>医师确认修改</w:t>
      </w:r>
      <w:r>
        <w:rPr>
          <w:rFonts w:hint="eastAsia" w:ascii="宋体" w:hAnsi="宋体" w:eastAsia="宋体" w:cs="宋体"/>
          <w:b w:val="0"/>
          <w:sz w:val="24"/>
          <w:lang w:eastAsia="zh-CN"/>
        </w:rPr>
        <w:t>、</w:t>
      </w:r>
      <w:r>
        <w:rPr>
          <w:rFonts w:hint="eastAsia" w:ascii="宋体" w:hAnsi="宋体" w:eastAsia="宋体" w:cs="宋体"/>
          <w:b w:val="0"/>
          <w:sz w:val="24"/>
        </w:rPr>
        <w:t>回写业务系统”的完整</w:t>
      </w:r>
      <w:r>
        <w:rPr>
          <w:rFonts w:hint="eastAsia" w:ascii="宋体" w:hAnsi="宋体" w:eastAsia="宋体" w:cs="宋体"/>
          <w:b w:val="0"/>
          <w:sz w:val="24"/>
          <w:lang w:val="en-US" w:eastAsia="zh-CN"/>
        </w:rPr>
        <w:t>链路</w:t>
      </w:r>
      <w:r>
        <w:rPr>
          <w:rFonts w:hint="eastAsia" w:ascii="宋体" w:hAnsi="宋体" w:eastAsia="宋体" w:cs="宋体"/>
          <w:b w:val="0"/>
          <w:sz w:val="24"/>
        </w:rPr>
        <w:t>，把医护从</w:t>
      </w:r>
      <w:r>
        <w:rPr>
          <w:rFonts w:hint="eastAsia" w:ascii="宋体" w:hAnsi="宋体" w:eastAsia="宋体" w:cs="宋体"/>
          <w:b w:val="0"/>
          <w:sz w:val="24"/>
          <w:lang w:val="en-US" w:eastAsia="zh-CN"/>
        </w:rPr>
        <w:t>繁重的</w:t>
      </w:r>
      <w:r>
        <w:rPr>
          <w:rFonts w:hint="eastAsia" w:ascii="宋体" w:hAnsi="宋体" w:eastAsia="宋体" w:cs="宋体"/>
          <w:b w:val="0"/>
          <w:sz w:val="24"/>
        </w:rPr>
        <w:t>文书劳动中释放出</w:t>
      </w:r>
      <w:r>
        <w:rPr>
          <w:rFonts w:hint="eastAsia" w:ascii="宋体" w:hAnsi="宋体" w:eastAsia="宋体" w:cs="宋体"/>
          <w:b w:val="0"/>
          <w:sz w:val="24"/>
          <w:lang w:val="en-US" w:eastAsia="zh-CN"/>
        </w:rPr>
        <w:t>精力</w:t>
      </w:r>
      <w:r>
        <w:rPr>
          <w:rFonts w:hint="eastAsia" w:ascii="宋体" w:hAnsi="宋体" w:eastAsia="宋体" w:cs="宋体"/>
          <w:b w:val="0"/>
          <w:sz w:val="24"/>
        </w:rPr>
        <w:t>。</w:t>
      </w:r>
    </w:p>
    <w:p w14:paraId="66AC76AD">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三、</w:t>
      </w:r>
      <w:r>
        <w:rPr>
          <w:rFonts w:hint="eastAsia" w:ascii="宋体" w:hAnsi="宋体" w:eastAsia="宋体" w:cs="宋体"/>
          <w:b w:val="0"/>
          <w:sz w:val="24"/>
        </w:rPr>
        <w:t>建成病历内涵质控的智能筛查能力。构建病历内涵质控智能体，将质控关口从终末前移到事前与事中，实现形式质控与内涵质控相结合的全量智能筛查，形成“自动发现</w:t>
      </w:r>
      <w:r>
        <w:rPr>
          <w:rFonts w:hint="eastAsia" w:ascii="宋体" w:hAnsi="宋体" w:eastAsia="宋体" w:cs="宋体"/>
          <w:b w:val="0"/>
          <w:sz w:val="24"/>
          <w:lang w:eastAsia="zh-CN"/>
        </w:rPr>
        <w:t>、</w:t>
      </w:r>
      <w:r>
        <w:rPr>
          <w:rFonts w:hint="eastAsia" w:ascii="宋体" w:hAnsi="宋体" w:eastAsia="宋体" w:cs="宋体"/>
          <w:b w:val="0"/>
          <w:sz w:val="24"/>
        </w:rPr>
        <w:t>分级提示</w:t>
      </w:r>
      <w:r>
        <w:rPr>
          <w:rFonts w:hint="eastAsia" w:ascii="宋体" w:hAnsi="宋体" w:eastAsia="宋体" w:cs="宋体"/>
          <w:b w:val="0"/>
          <w:sz w:val="24"/>
          <w:lang w:eastAsia="zh-CN"/>
        </w:rPr>
        <w:t>、</w:t>
      </w:r>
      <w:r>
        <w:rPr>
          <w:rFonts w:hint="eastAsia" w:ascii="宋体" w:hAnsi="宋体" w:eastAsia="宋体" w:cs="宋体"/>
          <w:b w:val="0"/>
          <w:sz w:val="24"/>
        </w:rPr>
        <w:t>医师整改</w:t>
      </w:r>
      <w:r>
        <w:rPr>
          <w:rFonts w:hint="eastAsia" w:ascii="宋体" w:hAnsi="宋体" w:eastAsia="宋体" w:cs="宋体"/>
          <w:b w:val="0"/>
          <w:sz w:val="24"/>
          <w:lang w:eastAsia="zh-CN"/>
        </w:rPr>
        <w:t>、</w:t>
      </w:r>
      <w:r>
        <w:rPr>
          <w:rFonts w:hint="eastAsia" w:ascii="宋体" w:hAnsi="宋体" w:eastAsia="宋体" w:cs="宋体"/>
          <w:b w:val="0"/>
          <w:sz w:val="24"/>
        </w:rPr>
        <w:t>质控复核</w:t>
      </w:r>
      <w:r>
        <w:rPr>
          <w:rFonts w:hint="eastAsia" w:ascii="宋体" w:hAnsi="宋体" w:eastAsia="宋体" w:cs="宋体"/>
          <w:b w:val="0"/>
          <w:sz w:val="24"/>
          <w:lang w:eastAsia="zh-CN"/>
        </w:rPr>
        <w:t>、</w:t>
      </w:r>
      <w:r>
        <w:rPr>
          <w:rFonts w:hint="eastAsia" w:ascii="宋体" w:hAnsi="宋体" w:eastAsia="宋体" w:cs="宋体"/>
          <w:b w:val="0"/>
          <w:sz w:val="24"/>
        </w:rPr>
        <w:t>数据统计”的</w:t>
      </w:r>
      <w:r>
        <w:rPr>
          <w:rFonts w:hint="eastAsia" w:ascii="宋体" w:hAnsi="宋体" w:eastAsia="宋体" w:cs="宋体"/>
          <w:b w:val="0"/>
          <w:sz w:val="24"/>
          <w:lang w:val="en-US" w:eastAsia="zh-CN"/>
        </w:rPr>
        <w:t>全过程管理</w:t>
      </w:r>
      <w:r>
        <w:rPr>
          <w:rFonts w:hint="eastAsia" w:ascii="宋体" w:hAnsi="宋体" w:eastAsia="宋体" w:cs="宋体"/>
          <w:b w:val="0"/>
          <w:sz w:val="24"/>
        </w:rPr>
        <w:t>，支撑病历内涵质量提升行动与病案管理质控指标的常态化监测。</w:t>
      </w:r>
    </w:p>
    <w:p w14:paraId="5F49C96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四、</w:t>
      </w:r>
      <w:r>
        <w:rPr>
          <w:rFonts w:hint="eastAsia" w:ascii="宋体" w:hAnsi="宋体" w:eastAsia="宋体" w:cs="宋体"/>
          <w:b w:val="0"/>
          <w:sz w:val="24"/>
        </w:rPr>
        <w:t>形成可持续的 AI 研发与运营能力。平台向医院开放模型、知识库、提示词与编排能力，支持医院后续自主扩展新的智能体场景。</w:t>
      </w:r>
    </w:p>
    <w:p w14:paraId="7058BE4D">
      <w:pPr>
        <w:pStyle w:val="5"/>
        <w:bidi w:val="0"/>
        <w:rPr>
          <w:rFonts w:hint="eastAsia" w:ascii="宋体" w:hAnsi="宋体" w:eastAsia="宋体" w:cs="宋体"/>
        </w:rPr>
      </w:pPr>
      <w:r>
        <w:rPr>
          <w:rFonts w:hint="eastAsia" w:ascii="宋体" w:hAnsi="宋体" w:eastAsia="宋体" w:cs="宋体"/>
        </w:rPr>
        <w:t>1.2.2 建设内容与范围</w:t>
      </w:r>
    </w:p>
    <w:p w14:paraId="52A6040F">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本项目建设内容分为“一个平台、六个智能体”</w:t>
      </w:r>
      <w:r>
        <w:rPr>
          <w:rFonts w:hint="eastAsia" w:ascii="宋体" w:hAnsi="宋体" w:eastAsia="宋体" w:cs="宋体"/>
          <w:b w:val="0"/>
          <w:sz w:val="24"/>
          <w:lang w:val="en-US" w:eastAsia="zh-CN"/>
        </w:rPr>
        <w:t>两个</w:t>
      </w:r>
      <w:r>
        <w:rPr>
          <w:rFonts w:hint="eastAsia" w:ascii="宋体" w:hAnsi="宋体" w:eastAsia="宋体" w:cs="宋体"/>
          <w:b w:val="0"/>
          <w:sz w:val="24"/>
        </w:rPr>
        <w:t>部分。</w:t>
      </w:r>
    </w:p>
    <w:p w14:paraId="5894460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一个平台：</w:t>
      </w:r>
      <w:r>
        <w:rPr>
          <w:rFonts w:hint="eastAsia" w:ascii="宋体" w:hAnsi="宋体" w:eastAsia="宋体" w:cs="宋体"/>
          <w:b w:val="0"/>
          <w:sz w:val="24"/>
          <w:lang w:val="en-US" w:eastAsia="zh-CN"/>
        </w:rPr>
        <w:t>即</w:t>
      </w:r>
      <w:r>
        <w:rPr>
          <w:rFonts w:hint="eastAsia" w:ascii="宋体" w:hAnsi="宋体" w:eastAsia="宋体" w:cs="宋体"/>
          <w:b w:val="0"/>
          <w:sz w:val="24"/>
        </w:rPr>
        <w:t>AI 智能医疗服务与研发平台。包括网关</w:t>
      </w:r>
      <w:r>
        <w:rPr>
          <w:rFonts w:hint="eastAsia" w:ascii="宋体" w:hAnsi="宋体" w:eastAsia="宋体" w:cs="宋体"/>
          <w:b w:val="0"/>
          <w:sz w:val="24"/>
          <w:lang w:val="en-US" w:eastAsia="zh-CN"/>
        </w:rPr>
        <w:t>管理</w:t>
      </w:r>
      <w:r>
        <w:rPr>
          <w:rFonts w:hint="eastAsia" w:ascii="宋体" w:hAnsi="宋体" w:eastAsia="宋体" w:cs="宋体"/>
          <w:b w:val="0"/>
          <w:sz w:val="24"/>
        </w:rPr>
        <w:t>、模型</w:t>
      </w:r>
      <w:r>
        <w:rPr>
          <w:rFonts w:hint="eastAsia" w:ascii="宋体" w:hAnsi="宋体" w:eastAsia="宋体" w:cs="宋体"/>
          <w:b w:val="0"/>
          <w:sz w:val="24"/>
          <w:lang w:val="en-US" w:eastAsia="zh-CN"/>
        </w:rPr>
        <w:t>管理、</w:t>
      </w:r>
      <w:r>
        <w:rPr>
          <w:rFonts w:hint="eastAsia" w:ascii="宋体" w:hAnsi="宋体" w:eastAsia="宋体" w:cs="宋体"/>
          <w:b w:val="0"/>
          <w:sz w:val="24"/>
        </w:rPr>
        <w:t>RAG 私域知识库、提示词工程管理、智能体</w:t>
      </w:r>
      <w:r>
        <w:rPr>
          <w:rFonts w:hint="eastAsia" w:ascii="宋体" w:hAnsi="宋体" w:eastAsia="宋体" w:cs="宋体"/>
          <w:b w:val="0"/>
          <w:sz w:val="24"/>
          <w:lang w:val="en-US" w:eastAsia="zh-CN"/>
        </w:rPr>
        <w:t>管理</w:t>
      </w:r>
      <w:r>
        <w:rPr>
          <w:rFonts w:hint="eastAsia" w:ascii="宋体" w:hAnsi="宋体" w:eastAsia="宋体" w:cs="宋体"/>
          <w:b w:val="0"/>
          <w:sz w:val="24"/>
        </w:rPr>
        <w:t>、安全审计等</w:t>
      </w:r>
      <w:r>
        <w:rPr>
          <w:rFonts w:hint="eastAsia" w:ascii="宋体" w:hAnsi="宋体" w:eastAsia="宋体" w:cs="宋体"/>
          <w:b w:val="0"/>
          <w:sz w:val="24"/>
          <w:lang w:val="en-US" w:eastAsia="zh-CN"/>
        </w:rPr>
        <w:t>六</w:t>
      </w:r>
      <w:r>
        <w:rPr>
          <w:rFonts w:hint="eastAsia" w:ascii="宋体" w:hAnsi="宋体" w:eastAsia="宋体" w:cs="宋体"/>
          <w:b w:val="0"/>
          <w:sz w:val="24"/>
        </w:rPr>
        <w:t>大子系统。</w:t>
      </w:r>
    </w:p>
    <w:p w14:paraId="3A251EF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六个智能体：门诊病历智能体、住院病历智能体、手术记录智能体、会诊记录智能体、护理记录智能体、病历内涵质控智能体，并预留智能体扩展位。</w:t>
      </w:r>
    </w:p>
    <w:p w14:paraId="5307AC2A">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建设范围边界说明：本项目不含医院现有 HIS、EMR 等核心业务系统的功能改造与替换，不含算力硬件的新增采购（以医院现有算力平台为基础，如需扩容在实施阶段与医院共同确认），不含需要向患者直接提供服务的互联网端应用。上述边界在实施阶段经双方确认后固化，作为需求基线与验收依据。</w:t>
      </w:r>
    </w:p>
    <w:p w14:paraId="4FB1CC52">
      <w:pPr>
        <w:pStyle w:val="5"/>
        <w:bidi w:val="0"/>
        <w:rPr>
          <w:rFonts w:hint="eastAsia" w:ascii="宋体" w:hAnsi="宋体" w:eastAsia="宋体" w:cs="宋体"/>
        </w:rPr>
      </w:pPr>
      <w:r>
        <w:rPr>
          <w:rFonts w:hint="eastAsia" w:ascii="宋体" w:hAnsi="宋体" w:eastAsia="宋体" w:cs="宋体"/>
        </w:rPr>
        <w:t>1.2.3 建设阶段与演进路径</w:t>
      </w:r>
    </w:p>
    <w:p w14:paraId="5C3E2D74">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按照“先底座、后场景，先生成、后质控，先试点、后推广”的思路，建议分三个阶段推进，总体建设周期与阶段划分在实施计划中细化确认。</w:t>
      </w:r>
    </w:p>
    <w:p w14:paraId="43632E3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第一阶段为平台搭建与首批场景落地。完成 AI 平台部署、模型服务上线、私域知识库初始化，完成与 HIS、EMR 等核心系统的接口对接，上线门诊病历智能体与住院病历智能体，选择2</w:t>
      </w:r>
      <w:r>
        <w:rPr>
          <w:rFonts w:hint="eastAsia" w:ascii="宋体" w:hAnsi="宋体" w:eastAsia="宋体" w:cs="宋体"/>
          <w:b w:val="0"/>
          <w:sz w:val="24"/>
          <w:lang w:val="en-US" w:eastAsia="zh-CN"/>
        </w:rPr>
        <w:t>到</w:t>
      </w:r>
      <w:r>
        <w:rPr>
          <w:rFonts w:hint="eastAsia" w:ascii="宋体" w:hAnsi="宋体" w:eastAsia="宋体" w:cs="宋体"/>
          <w:b w:val="0"/>
          <w:sz w:val="24"/>
        </w:rPr>
        <w:t>3个代表性科室开展试点，跑通“</w:t>
      </w:r>
      <w:r>
        <w:rPr>
          <w:rFonts w:hint="eastAsia" w:ascii="宋体" w:hAnsi="宋体" w:eastAsia="宋体" w:cs="宋体"/>
          <w:b w:val="0"/>
          <w:sz w:val="24"/>
          <w:lang w:val="en-US" w:eastAsia="zh-CN"/>
        </w:rPr>
        <w:t>AI</w:t>
      </w:r>
      <w:r>
        <w:rPr>
          <w:rFonts w:hint="eastAsia" w:ascii="宋体" w:hAnsi="宋体" w:eastAsia="宋体" w:cs="宋体"/>
          <w:b w:val="0"/>
          <w:sz w:val="24"/>
        </w:rPr>
        <w:t>生成</w:t>
      </w:r>
      <w:r>
        <w:rPr>
          <w:rFonts w:hint="eastAsia" w:ascii="宋体" w:hAnsi="宋体" w:eastAsia="宋体" w:cs="宋体"/>
          <w:b w:val="0"/>
          <w:sz w:val="24"/>
          <w:lang w:eastAsia="zh-CN"/>
        </w:rPr>
        <w:t>、</w:t>
      </w:r>
      <w:r>
        <w:rPr>
          <w:rFonts w:hint="eastAsia" w:ascii="宋体" w:hAnsi="宋体" w:eastAsia="宋体" w:cs="宋体"/>
          <w:b w:val="0"/>
          <w:sz w:val="24"/>
          <w:lang w:val="en-US" w:eastAsia="zh-CN"/>
        </w:rPr>
        <w:t>医生</w:t>
      </w:r>
      <w:r>
        <w:rPr>
          <w:rFonts w:hint="eastAsia" w:ascii="宋体" w:hAnsi="宋体" w:eastAsia="宋体" w:cs="宋体"/>
          <w:b w:val="0"/>
          <w:sz w:val="24"/>
        </w:rPr>
        <w:t>确认</w:t>
      </w:r>
      <w:r>
        <w:rPr>
          <w:rFonts w:hint="eastAsia" w:ascii="宋体" w:hAnsi="宋体" w:eastAsia="宋体" w:cs="宋体"/>
          <w:b w:val="0"/>
          <w:sz w:val="24"/>
          <w:lang w:eastAsia="zh-CN"/>
        </w:rPr>
        <w:t>、</w:t>
      </w:r>
      <w:r>
        <w:rPr>
          <w:rFonts w:hint="eastAsia" w:ascii="宋体" w:hAnsi="宋体" w:eastAsia="宋体" w:cs="宋体"/>
          <w:b w:val="0"/>
          <w:sz w:val="24"/>
        </w:rPr>
        <w:t>回写</w:t>
      </w:r>
      <w:r>
        <w:rPr>
          <w:rFonts w:hint="eastAsia" w:ascii="宋体" w:hAnsi="宋体" w:eastAsia="宋体" w:cs="宋体"/>
          <w:b w:val="0"/>
          <w:sz w:val="24"/>
          <w:lang w:val="en-US" w:eastAsia="zh-CN"/>
        </w:rPr>
        <w:t>病历</w:t>
      </w:r>
      <w:r>
        <w:rPr>
          <w:rFonts w:hint="eastAsia" w:ascii="宋体" w:hAnsi="宋体" w:eastAsia="宋体" w:cs="宋体"/>
          <w:b w:val="0"/>
          <w:sz w:val="24"/>
        </w:rPr>
        <w:t>”的</w:t>
      </w:r>
      <w:r>
        <w:rPr>
          <w:rFonts w:hint="eastAsia" w:ascii="宋体" w:hAnsi="宋体" w:eastAsia="宋体" w:cs="宋体"/>
          <w:b w:val="0"/>
          <w:sz w:val="24"/>
          <w:lang w:val="en-US" w:eastAsia="zh-CN"/>
        </w:rPr>
        <w:t>业务流程</w:t>
      </w:r>
      <w:r>
        <w:rPr>
          <w:rFonts w:hint="eastAsia" w:ascii="宋体" w:hAnsi="宋体" w:eastAsia="宋体" w:cs="宋体"/>
          <w:b w:val="0"/>
          <w:sz w:val="24"/>
        </w:rPr>
        <w:t>。</w:t>
      </w:r>
    </w:p>
    <w:p w14:paraId="4711E78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二阶段为场景扩展与质控上线。上线手术记录、会诊记录、护理记录三个智能体，完成与手麻系统、会诊系统、护理系统的对接；同步上线病历内涵质控智能体，先以运行病历实时提醒为主，再扩展至终末质控，形成院科两级质控的智能化支撑。</w:t>
      </w:r>
    </w:p>
    <w:p w14:paraId="30C8F1B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第三阶段为深化运营与能力开放。开展全院推广与</w:t>
      </w:r>
      <w:r>
        <w:rPr>
          <w:rFonts w:hint="eastAsia" w:ascii="宋体" w:hAnsi="宋体" w:eastAsia="宋体" w:cs="宋体"/>
          <w:b w:val="0"/>
          <w:sz w:val="24"/>
          <w:lang w:val="en-US" w:eastAsia="zh-CN"/>
        </w:rPr>
        <w:t>使用</w:t>
      </w:r>
      <w:r>
        <w:rPr>
          <w:rFonts w:hint="eastAsia" w:ascii="宋体" w:hAnsi="宋体" w:eastAsia="宋体" w:cs="宋体"/>
          <w:b w:val="0"/>
          <w:sz w:val="24"/>
        </w:rPr>
        <w:t>培训，</w:t>
      </w:r>
      <w:r>
        <w:rPr>
          <w:rFonts w:hint="eastAsia" w:ascii="宋体" w:hAnsi="宋体" w:eastAsia="宋体" w:cs="宋体"/>
          <w:b w:val="0"/>
          <w:sz w:val="24"/>
          <w:lang w:val="en-US" w:eastAsia="zh-CN"/>
        </w:rPr>
        <w:t>通过</w:t>
      </w:r>
      <w:r>
        <w:rPr>
          <w:rFonts w:hint="eastAsia" w:ascii="宋体" w:hAnsi="宋体" w:eastAsia="宋体" w:cs="宋体"/>
          <w:b w:val="0"/>
          <w:sz w:val="24"/>
        </w:rPr>
        <w:t>开放平台研发能力支持医院自主扩展新场景，沉淀医院自有提示词库、知识库与最佳实践，形成可持续的医疗 AI 应用生态。</w:t>
      </w:r>
    </w:p>
    <w:p w14:paraId="0A65293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三个阶段之间并非严格串行，平台能力建设贯穿始终，场景落地按优先级滚动推进，前一阶段的运行数据与使用反馈持续反哺模型优化与知识完善。</w:t>
      </w:r>
    </w:p>
    <w:p w14:paraId="59C9BD8A">
      <w:pPr>
        <w:pStyle w:val="4"/>
        <w:bidi w:val="0"/>
        <w:rPr>
          <w:rFonts w:hint="eastAsia" w:ascii="宋体" w:hAnsi="宋体" w:eastAsia="宋体" w:cs="宋体"/>
        </w:rPr>
      </w:pPr>
      <w:r>
        <w:rPr>
          <w:rFonts w:hint="eastAsia" w:ascii="宋体" w:hAnsi="宋体" w:eastAsia="宋体" w:cs="宋体"/>
        </w:rPr>
        <w:t>1.3 总体架构设计</w:t>
      </w:r>
    </w:p>
    <w:p w14:paraId="51064B3A">
      <w:pPr>
        <w:pStyle w:val="5"/>
        <w:bidi w:val="0"/>
        <w:rPr>
          <w:rFonts w:hint="eastAsia" w:ascii="宋体" w:hAnsi="宋体" w:eastAsia="宋体" w:cs="宋体"/>
          <w:lang w:val="en-US" w:eastAsia="zh-CN"/>
        </w:rPr>
      </w:pPr>
      <w:r>
        <w:rPr>
          <w:rFonts w:hint="eastAsia" w:ascii="宋体" w:hAnsi="宋体" w:eastAsia="宋体" w:cs="宋体"/>
        </w:rPr>
        <w:t>1.3.1 架构设计</w:t>
      </w:r>
      <w:r>
        <w:rPr>
          <w:rFonts w:hint="eastAsia" w:ascii="宋体" w:hAnsi="宋体" w:eastAsia="宋体" w:cs="宋体"/>
          <w:lang w:val="en-US" w:eastAsia="zh-CN"/>
        </w:rPr>
        <w:t>原则</w:t>
      </w:r>
    </w:p>
    <w:p w14:paraId="3B2352E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本方案总体架构遵循“分层解耦、能力沉淀、场景驱动、安全内嵌”的设计思路，采用六层架构（基础设施层、数据与接入层、模型</w:t>
      </w:r>
      <w:r>
        <w:rPr>
          <w:rFonts w:hint="eastAsia" w:ascii="宋体" w:hAnsi="宋体" w:eastAsia="宋体" w:cs="宋体"/>
          <w:b w:val="0"/>
          <w:sz w:val="24"/>
          <w:lang w:val="en-US" w:eastAsia="zh-CN"/>
        </w:rPr>
        <w:t>管理</w:t>
      </w:r>
      <w:r>
        <w:rPr>
          <w:rFonts w:hint="eastAsia" w:ascii="宋体" w:hAnsi="宋体" w:eastAsia="宋体" w:cs="宋体"/>
          <w:b w:val="0"/>
          <w:sz w:val="24"/>
        </w:rPr>
        <w:t>层、智能体应用层、用户与场景层），并配套两大支撑体系（安全保障体系、标准规范与运营体系），构成“</w:t>
      </w:r>
      <w:r>
        <w:rPr>
          <w:rFonts w:hint="eastAsia" w:ascii="宋体" w:hAnsi="宋体" w:eastAsia="宋体" w:cs="宋体"/>
          <w:b w:val="0"/>
          <w:sz w:val="24"/>
          <w:lang w:val="en-US" w:eastAsia="zh-CN"/>
        </w:rPr>
        <w:t>五</w:t>
      </w:r>
      <w:r>
        <w:rPr>
          <w:rFonts w:hint="eastAsia" w:ascii="宋体" w:hAnsi="宋体" w:eastAsia="宋体" w:cs="宋体"/>
          <w:b w:val="0"/>
          <w:sz w:val="24"/>
        </w:rPr>
        <w:t>横两纵”的总体架构。</w:t>
      </w:r>
    </w:p>
    <w:p w14:paraId="47EFE2DF">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分层的核心考虑是：把易变的业务场景与相对稳定的平台能力分离，把模型能力与知识能力分离，把技术复杂度封装在平台层，让临床科室看到的是简单的、贴合工作流的智能助手，让信息科看到的是可管、可控、可审计的统一平台。这样既保证当前场景快速落地，又保证后续扩展不必推倒重来。</w:t>
      </w:r>
    </w:p>
    <w:p w14:paraId="00A543C0">
      <w:pPr>
        <w:pStyle w:val="5"/>
        <w:bidi w:val="0"/>
        <w:rPr>
          <w:rFonts w:hint="eastAsia" w:ascii="宋体" w:hAnsi="宋体" w:eastAsia="宋体" w:cs="宋体"/>
        </w:rPr>
      </w:pPr>
      <w:r>
        <w:rPr>
          <w:rFonts w:hint="eastAsia" w:ascii="宋体" w:hAnsi="宋体" w:eastAsia="宋体" w:cs="宋体"/>
        </w:rPr>
        <w:t>1.3.2 总体架构分层说明</w:t>
      </w:r>
    </w:p>
    <w:p w14:paraId="4AD0E0EA">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（1）基础设施层</w:t>
      </w:r>
    </w:p>
    <w:p w14:paraId="4D865CDD">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以医院现有算力平台与机房基础设施为基础，包含 AI 算力服务器（GPU/NPU 推理与训练资源）、通用计算服务器、集中存储、备份存储、网络安全设备与院内网络。本层由医院统一规划与管理，本项目在其上部署 AI 平台软件与模型服务，并按照平台调度需要对算力资源进行统一纳管和池化使用。</w:t>
      </w:r>
    </w:p>
    <w:p w14:paraId="32509326">
      <w:pPr>
        <w:keepNext w:val="0"/>
        <w:keepLines w:val="0"/>
        <w:pageBreakBefore w:val="0"/>
        <w:widowControl w:val="0"/>
        <w:numPr>
          <w:ilvl w:val="0"/>
          <w:numId w:val="8"/>
        </w:numPr>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数据与接入层</w:t>
      </w:r>
    </w:p>
    <w:p w14:paraId="4A119ACC">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负责院内数据的采集、汇聚、治理与接口对接，是智能体的</w:t>
      </w:r>
      <w:r>
        <w:rPr>
          <w:rFonts w:hint="eastAsia" w:ascii="宋体" w:hAnsi="宋体" w:eastAsia="宋体" w:cs="宋体"/>
          <w:b w:val="0"/>
          <w:sz w:val="24"/>
          <w:lang w:val="en-US" w:eastAsia="zh-CN"/>
        </w:rPr>
        <w:t>业务</w:t>
      </w:r>
      <w:r>
        <w:rPr>
          <w:rFonts w:hint="eastAsia" w:ascii="宋体" w:hAnsi="宋体" w:eastAsia="宋体" w:cs="宋体"/>
          <w:b w:val="0"/>
          <w:sz w:val="24"/>
        </w:rPr>
        <w:t>基础。包括四类接入通道：</w:t>
      </w:r>
    </w:p>
    <w:p w14:paraId="00192A2F">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lang w:eastAsia="zh-CN"/>
        </w:rPr>
        <w:t>一、</w:t>
      </w:r>
      <w:r>
        <w:rPr>
          <w:rFonts w:hint="eastAsia" w:ascii="宋体" w:hAnsi="宋体" w:eastAsia="宋体" w:cs="宋体"/>
          <w:b w:val="0"/>
          <w:sz w:val="24"/>
        </w:rPr>
        <w:t>业务系统接口通道，通过标准 API/视图/消息方式对接 HIS、EMR、LIS、PACS、手麻、护理、病案、会诊等系统的诊疗数据；</w:t>
      </w:r>
    </w:p>
    <w:p w14:paraId="770D5A49">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lang w:eastAsia="zh-CN"/>
        </w:rPr>
        <w:t>二、</w:t>
      </w:r>
      <w:r>
        <w:rPr>
          <w:rFonts w:hint="eastAsia" w:ascii="宋体" w:hAnsi="宋体" w:eastAsia="宋体" w:cs="宋体"/>
          <w:b w:val="0"/>
          <w:sz w:val="24"/>
        </w:rPr>
        <w:t>语音采集通道，在门诊诊室、查房场景支持医患对话的实时采集与转写；</w:t>
      </w:r>
    </w:p>
    <w:p w14:paraId="7698E7E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lang w:eastAsia="zh-CN"/>
        </w:rPr>
        <w:t>三、</w:t>
      </w:r>
      <w:r>
        <w:rPr>
          <w:rFonts w:hint="eastAsia" w:ascii="宋体" w:hAnsi="宋体" w:eastAsia="宋体" w:cs="宋体"/>
          <w:b w:val="0"/>
          <w:sz w:val="24"/>
        </w:rPr>
        <w:t>文档接入通道，支持 PDF、Word、OFD、Markdown、扫描件等多种格式的医学资料导入知识库；</w:t>
      </w:r>
    </w:p>
    <w:p w14:paraId="53E6825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lang w:eastAsia="zh-CN"/>
        </w:rPr>
        <w:t>四、</w:t>
      </w:r>
      <w:r>
        <w:rPr>
          <w:rFonts w:hint="eastAsia" w:ascii="宋体" w:hAnsi="宋体" w:eastAsia="宋体" w:cs="宋体"/>
          <w:b w:val="0"/>
          <w:sz w:val="24"/>
        </w:rPr>
        <w:t>数据治理组件，包括主数据与字典映射、患者主索引匹配、数据脱敏、质量校验与数据血缘管理。</w:t>
      </w:r>
    </w:p>
    <w:p w14:paraId="0494BE62">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（3）模型</w:t>
      </w:r>
      <w:r>
        <w:rPr>
          <w:rFonts w:hint="eastAsia" w:ascii="宋体" w:hAnsi="宋体" w:eastAsia="宋体" w:cs="宋体"/>
          <w:b w:val="0"/>
          <w:sz w:val="24"/>
          <w:lang w:val="en-US" w:eastAsia="zh-CN"/>
        </w:rPr>
        <w:t>管理</w:t>
      </w:r>
      <w:r>
        <w:rPr>
          <w:rFonts w:hint="eastAsia" w:ascii="宋体" w:hAnsi="宋体" w:eastAsia="宋体" w:cs="宋体"/>
          <w:b w:val="0"/>
          <w:sz w:val="24"/>
        </w:rPr>
        <w:t>层</w:t>
      </w:r>
    </w:p>
    <w:p w14:paraId="6580510C">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模型管理是核心能力层之一，负责多源模型能力的统一接入、标准化封装和全生命周期管理。该模块通过统一协议汇聚院内自建模型与外部AI模型能力，对业务系统提供统一入口，兼容OpenAI接口标准，同时支持企业自建模型接入。</w:t>
      </w:r>
    </w:p>
    <w:p w14:paraId="4BF9787A">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模型注册</w:t>
      </w:r>
      <w:r>
        <w:rPr>
          <w:rFonts w:hint="eastAsia" w:ascii="宋体" w:hAnsi="宋体" w:eastAsia="宋体" w:cs="宋体"/>
          <w:b w:val="0"/>
          <w:sz w:val="24"/>
          <w:lang w:eastAsia="zh-CN"/>
        </w:rPr>
        <w:t>：</w:t>
      </w:r>
      <w:r>
        <w:rPr>
          <w:rFonts w:hint="eastAsia" w:ascii="宋体" w:hAnsi="宋体" w:eastAsia="宋体" w:cs="宋体"/>
          <w:b w:val="0"/>
          <w:sz w:val="24"/>
        </w:rPr>
        <w:t>平台建立模型注册中心，对每个模型的接入信息进行统一登记，包括模型名称、版本号、能力标签、输入输出格式、计费规则等。模型注册支持从本地、第三方平台或外部直接导入的模型进行注册，确保多来源模型的顺利接入。每个模型被打上结构化标签，覆盖语言支持、模态类型（文本/视觉/语音）、上下文窗口大小、单次推理成本、典型延迟分位数、适用任务类型等维度，形成完整的能力画像。对于医疗场景，还额外标注专科领域、数据敏感级别和合规要求等医疗特有属性。</w:t>
      </w:r>
    </w:p>
    <w:p w14:paraId="36F18FE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健康检查</w:t>
      </w:r>
      <w:r>
        <w:rPr>
          <w:rFonts w:hint="eastAsia" w:ascii="宋体" w:hAnsi="宋体" w:eastAsia="宋体" w:cs="宋体"/>
          <w:b w:val="0"/>
          <w:sz w:val="24"/>
          <w:lang w:eastAsia="zh-CN"/>
        </w:rPr>
        <w:t>：</w:t>
      </w:r>
      <w:r>
        <w:rPr>
          <w:rFonts w:hint="eastAsia" w:ascii="宋体" w:hAnsi="宋体" w:eastAsia="宋体" w:cs="宋体"/>
          <w:b w:val="0"/>
          <w:sz w:val="24"/>
        </w:rPr>
        <w:t>平台定期对已部署的模型实例进行探活检测，检测指标包括推理响应时间、错误率、吞吐量等。当模型实例出现异常时，系统自动将其从可用模型列表中摘除，避免影响业务连续性。健康检查支持自定义检测频率和告警阈值，确保问题及时发现、及时处理。</w:t>
      </w:r>
    </w:p>
    <w:p w14:paraId="3CA5AA6A">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版本管理</w:t>
      </w:r>
      <w:r>
        <w:rPr>
          <w:rFonts w:hint="eastAsia" w:ascii="宋体" w:hAnsi="宋体" w:eastAsia="宋体" w:cs="宋体"/>
          <w:b w:val="0"/>
          <w:sz w:val="24"/>
          <w:lang w:eastAsia="zh-CN"/>
        </w:rPr>
        <w:t>：</w:t>
      </w:r>
      <w:r>
        <w:rPr>
          <w:rFonts w:hint="eastAsia" w:ascii="宋体" w:hAnsi="宋体" w:eastAsia="宋体" w:cs="宋体"/>
          <w:b w:val="0"/>
          <w:sz w:val="24"/>
        </w:rPr>
        <w:t>平台支持版本回滚和A/B测试。每一次模型更新都会生成新的版本记录，运维人员可根据业务效果随时回滚到历史版本。A/B测试功能支持将不同版本的模型同时部署，按比例分配流量，通过真实业务数据对比模型效果，让业务团队在模型全面上线前验证适用性。模型版本与评测门禁、发布审批、血缘与合规留痕相结合，形成可治理的模型全生命周期管理闭环。</w:t>
      </w:r>
    </w:p>
    <w:p w14:paraId="46B04AB8">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w:t>
      </w:r>
      <w:r>
        <w:rPr>
          <w:rFonts w:hint="eastAsia" w:ascii="宋体" w:hAnsi="宋体" w:eastAsia="宋体" w:cs="宋体"/>
          <w:b w:val="0"/>
          <w:sz w:val="24"/>
          <w:lang w:val="en-US" w:eastAsia="zh-CN"/>
        </w:rPr>
        <w:t>4</w:t>
      </w:r>
      <w:r>
        <w:rPr>
          <w:rFonts w:hint="eastAsia" w:ascii="宋体" w:hAnsi="宋体" w:eastAsia="宋体" w:cs="宋体"/>
          <w:b w:val="0"/>
          <w:sz w:val="24"/>
        </w:rPr>
        <w:t>）智能体应用层。是本项目直接面向业务的实现层，由六个业务智能体与智能体运行框架组成。智能体运行框架提供意图识别、任务规划、工具调用、上下文管理、多智能体协同、人工确认节点、结果回写等基础机制，使智能体能够真正嵌入业务流程办事，而不仅是“回答问题”。</w:t>
      </w:r>
    </w:p>
    <w:p w14:paraId="30061AE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（6）用户与场景层。</w:t>
      </w:r>
    </w:p>
    <w:p w14:paraId="3E855C8E">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场景管理模块是中台连接模型能力与业务需求的桥梁，负责将AI能力与具体医疗业务场景进行匹配和管理。该模块以场景为基本管理单元，对每个场景的模型配置、预算控制和运行监控进行统一管理。</w:t>
      </w:r>
    </w:p>
    <w:p w14:paraId="22D5EC19">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场景注册</w:t>
      </w:r>
      <w:r>
        <w:rPr>
          <w:rFonts w:hint="eastAsia" w:ascii="宋体" w:hAnsi="宋体" w:eastAsia="宋体" w:cs="宋体"/>
          <w:b w:val="0"/>
          <w:sz w:val="24"/>
          <w:lang w:eastAsia="zh-CN"/>
        </w:rPr>
        <w:t>：</w:t>
      </w:r>
      <w:r>
        <w:rPr>
          <w:rFonts w:hint="eastAsia" w:ascii="宋体" w:hAnsi="宋体" w:eastAsia="宋体" w:cs="宋体"/>
          <w:b w:val="0"/>
          <w:sz w:val="24"/>
        </w:rPr>
        <w:t>平台支持登记</w:t>
      </w:r>
      <w:r>
        <w:rPr>
          <w:rFonts w:hint="eastAsia" w:ascii="宋体" w:hAnsi="宋体" w:eastAsia="宋体" w:cs="宋体"/>
          <w:b w:val="0"/>
          <w:sz w:val="24"/>
          <w:lang w:val="en-US" w:eastAsia="zh-CN"/>
        </w:rPr>
        <w:t>注册</w:t>
      </w:r>
      <w:r>
        <w:rPr>
          <w:rFonts w:hint="eastAsia" w:ascii="宋体" w:hAnsi="宋体" w:eastAsia="宋体" w:cs="宋体"/>
          <w:b w:val="0"/>
          <w:sz w:val="24"/>
        </w:rPr>
        <w:t>覆盖门诊、住院、查房、护理、医技、随访、管理等多个业务领域</w:t>
      </w:r>
      <w:r>
        <w:rPr>
          <w:rFonts w:hint="eastAsia" w:ascii="宋体" w:hAnsi="宋体" w:eastAsia="宋体" w:cs="宋体"/>
          <w:b w:val="0"/>
          <w:sz w:val="24"/>
          <w:lang w:val="en-US" w:eastAsia="zh-CN"/>
        </w:rPr>
        <w:t>的应用场景</w:t>
      </w:r>
      <w:r>
        <w:rPr>
          <w:rFonts w:hint="eastAsia" w:ascii="宋体" w:hAnsi="宋体" w:eastAsia="宋体" w:cs="宋体"/>
          <w:b w:val="0"/>
          <w:sz w:val="24"/>
        </w:rPr>
        <w:t>。每个场景需登记默认模型、备选模型、优先级和预算等关键配置信息。默认模型是该场景的首选推理模型，备选模型用于默认模型不可用或效果不佳时的降级切换。优先级决定该场景在算力资源紧张时的调度顺序，预算则限定该场景的月度或年度Token消耗上限。场景注册支持与业务系统联动，当新增业务场景需要AI能力支撑时，可通过标准化接口快速完成场景注册和模型绑定，实现AI能力的快速上线。</w:t>
      </w:r>
    </w:p>
    <w:p w14:paraId="41A3462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场景配置</w:t>
      </w:r>
      <w:r>
        <w:rPr>
          <w:rFonts w:hint="eastAsia" w:ascii="宋体" w:hAnsi="宋体" w:eastAsia="宋体" w:cs="宋体"/>
          <w:b w:val="0"/>
          <w:sz w:val="24"/>
          <w:lang w:eastAsia="zh-CN"/>
        </w:rPr>
        <w:t>：</w:t>
      </w:r>
      <w:r>
        <w:rPr>
          <w:rFonts w:hint="eastAsia" w:ascii="宋体" w:hAnsi="宋体" w:eastAsia="宋体" w:cs="宋体"/>
          <w:b w:val="0"/>
          <w:sz w:val="24"/>
        </w:rPr>
        <w:t>平台支持科室级和人员级的自定义模型切换。不同科室可根据专业需求选择最适合的模型，例如影像科可优先使用影像专用AI模型，病理科可配置病理分析模型。医生个人也可在授权范围内手动切换模型，满足个性化使用需求。场景配置支持热更新，配置变更后无需重启服务即可生效，确保业务连续性。</w:t>
      </w:r>
    </w:p>
    <w:p w14:paraId="2DFCECB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场景监控</w:t>
      </w:r>
      <w:r>
        <w:rPr>
          <w:rFonts w:hint="eastAsia" w:ascii="宋体" w:hAnsi="宋体" w:eastAsia="宋体" w:cs="宋体"/>
          <w:b w:val="0"/>
          <w:sz w:val="24"/>
          <w:lang w:eastAsia="zh-CN"/>
        </w:rPr>
        <w:t>：</w:t>
      </w:r>
      <w:r>
        <w:rPr>
          <w:rFonts w:hint="eastAsia" w:ascii="宋体" w:hAnsi="宋体" w:eastAsia="宋体" w:cs="宋体"/>
          <w:b w:val="0"/>
          <w:sz w:val="24"/>
        </w:rPr>
        <w:t>平台统计各场景的调用量、Token消耗、成本支出和用户满意度等关键指标。调用量统计支持按小时、日、周、月等时间维度查看，帮助运营团队了解各场景的使用趋势。Token消耗和成本支出按场景维度归集，为预算管理和成本优化提供数据支撑。</w:t>
      </w:r>
    </w:p>
    <w:p w14:paraId="373CC6F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（7）安全保障体系（纵向）</w:t>
      </w:r>
    </w:p>
    <w:p w14:paraId="664B038B">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贯穿</w:t>
      </w:r>
      <w:r>
        <w:rPr>
          <w:rFonts w:hint="eastAsia" w:ascii="宋体" w:hAnsi="宋体" w:eastAsia="宋体" w:cs="宋体"/>
          <w:b w:val="0"/>
          <w:sz w:val="24"/>
          <w:lang w:val="en-US" w:eastAsia="zh-CN"/>
        </w:rPr>
        <w:t>五</w:t>
      </w:r>
      <w:r>
        <w:rPr>
          <w:rFonts w:hint="eastAsia" w:ascii="宋体" w:hAnsi="宋体" w:eastAsia="宋体" w:cs="宋体"/>
          <w:b w:val="0"/>
          <w:sz w:val="24"/>
        </w:rPr>
        <w:t>层，覆盖身份认证与权限控制、数据分类分级与加密、网络分区与边界防护、模型与提示词安全、内容合规审核、日志审计与行为追溯、数据不出院的技术管控、应急响应与演练，确保系统在全生命周期内安全合规。</w:t>
      </w:r>
    </w:p>
    <w:p w14:paraId="14807192">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（8）标准规范与运营体系（纵向）</w:t>
      </w:r>
    </w:p>
    <w:p w14:paraId="37F021E2">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包括数据标准、接口标准、提示词规范、知识库编审规范、智能体上线评测规范、效果评价指标体系、培训推广机制与运营考核机制，保障系统建设有标准、运行有规范、效果可衡量。</w:t>
      </w:r>
    </w:p>
    <w:p w14:paraId="3EC91A3E">
      <w:pPr>
        <w:pStyle w:val="5"/>
        <w:bidi w:val="0"/>
        <w:rPr>
          <w:rFonts w:hint="eastAsia" w:ascii="宋体" w:hAnsi="宋体" w:eastAsia="宋体" w:cs="宋体"/>
        </w:rPr>
      </w:pPr>
      <w:r>
        <w:rPr>
          <w:rFonts w:hint="eastAsia" w:ascii="宋体" w:hAnsi="宋体" w:eastAsia="宋体" w:cs="宋体"/>
        </w:rPr>
        <w:t>1.3.3 关键技术路线</w:t>
      </w:r>
    </w:p>
    <w:p w14:paraId="52AFB27B">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第一，“</w:t>
      </w:r>
      <w:r>
        <w:rPr>
          <w:rFonts w:hint="eastAsia" w:ascii="宋体" w:hAnsi="宋体" w:eastAsia="宋体" w:cs="宋体"/>
          <w:b w:val="0"/>
          <w:sz w:val="24"/>
          <w:lang w:val="en-US" w:eastAsia="zh-CN"/>
        </w:rPr>
        <w:t>通用</w:t>
      </w:r>
      <w:r>
        <w:rPr>
          <w:rFonts w:hint="eastAsia" w:ascii="宋体" w:hAnsi="宋体" w:eastAsia="宋体" w:cs="宋体"/>
          <w:b w:val="0"/>
          <w:sz w:val="24"/>
        </w:rPr>
        <w:t>大模型 + 规则引擎 + 专用小模型”的混合技术路线</w:t>
      </w:r>
      <w:r>
        <w:rPr>
          <w:rFonts w:hint="eastAsia" w:ascii="宋体" w:hAnsi="宋体" w:eastAsia="宋体" w:cs="宋体"/>
          <w:b w:val="0"/>
          <w:sz w:val="24"/>
          <w:lang w:eastAsia="zh-CN"/>
        </w:rPr>
        <w:t>。</w:t>
      </w:r>
      <w:r>
        <w:rPr>
          <w:rFonts w:hint="eastAsia" w:ascii="宋体" w:hAnsi="宋体" w:eastAsia="宋体" w:cs="宋体"/>
          <w:b w:val="0"/>
          <w:sz w:val="24"/>
        </w:rPr>
        <w:t>医疗场景中不同任务对技术的要求差异很大：病历正文生成需要强语言生成与医学语义理解能力，适合由大模型承担；而时间实体识别（如“三天前”“两年余”）、数值单位换算、ICD 编码映射、药物名称标准化等任务，用规则引擎或小参数专用模型完成，准确率更高、速度更快、结果完全可控、零幻觉。因此本方案不追求“一个大模型包打天下”，而是按任务类型分配最合适的技术手段，规则负责确定性、大模型负责理解与表达、小模型负责结构化抽取，三者协同，兼顾效果与可控性。</w:t>
      </w:r>
    </w:p>
    <w:p w14:paraId="402962C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第二，以 RAG 为核心的知识增强路线。医疗场景对内容的准确性与可溯源性要求极高，单纯依赖模型参数中的记忆容易产生幻觉。本方案以检索增强生成作为核心技术路线，让模型“先查资料、再写内容”，每一段生成内容都能对应到具体的病历原文、指南条款或医院制度条目，从根本上提升准确性与可信度，并支持医师一键查看依据。</w:t>
      </w:r>
    </w:p>
    <w:p w14:paraId="25A72AA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第三，私有化部署</w:t>
      </w:r>
      <w:r>
        <w:rPr>
          <w:rFonts w:hint="eastAsia" w:ascii="宋体" w:hAnsi="宋体" w:eastAsia="宋体" w:cs="宋体"/>
          <w:b w:val="0"/>
          <w:sz w:val="24"/>
          <w:lang w:val="en-US" w:eastAsia="zh-CN"/>
        </w:rPr>
        <w:t>结合</w:t>
      </w:r>
      <w:r>
        <w:rPr>
          <w:rFonts w:hint="eastAsia" w:ascii="宋体" w:hAnsi="宋体" w:eastAsia="宋体" w:cs="宋体"/>
          <w:b w:val="0"/>
          <w:sz w:val="24"/>
        </w:rPr>
        <w:t>统一模型网关的技术形态。所有模型、知识库、数据均在院内运行，模型服务通过统一网关对外提供，应用侧只依赖网关标准接口。这一形态既满足数据不出院的合规底线，又为后续更换或升级模型留出了空间。</w:t>
      </w:r>
    </w:p>
    <w:p w14:paraId="7A82AD11">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四，事件驱动的智能体协同机制。智能体之间通过事件总线协同，例如手术记录智能体完成记录生成后触发质控智能体的专项检查，质控智能体发现问题后触发提醒；这种机制使得后续新增智能体无需改造已有系统，只需订阅相应事件，保障系统的可扩展性。</w:t>
      </w:r>
    </w:p>
    <w:p w14:paraId="3F4B4AE8">
      <w:pPr>
        <w:pStyle w:val="4"/>
        <w:bidi w:val="0"/>
        <w:rPr>
          <w:rFonts w:hint="eastAsia" w:ascii="宋体" w:hAnsi="宋体" w:eastAsia="宋体" w:cs="宋体"/>
        </w:rPr>
      </w:pPr>
      <w:r>
        <w:rPr>
          <w:rFonts w:hint="eastAsia" w:ascii="宋体" w:hAnsi="宋体" w:eastAsia="宋体" w:cs="宋体"/>
        </w:rPr>
        <w:t>1.4 大模型选型与部署方式</w:t>
      </w:r>
    </w:p>
    <w:p w14:paraId="6011FBC2">
      <w:pPr>
        <w:pStyle w:val="5"/>
        <w:bidi w:val="0"/>
        <w:rPr>
          <w:rFonts w:hint="eastAsia" w:ascii="宋体" w:hAnsi="宋体" w:eastAsia="宋体" w:cs="宋体"/>
        </w:rPr>
      </w:pPr>
      <w:r>
        <w:rPr>
          <w:rFonts w:hint="eastAsia" w:ascii="宋体" w:hAnsi="宋体" w:eastAsia="宋体" w:cs="宋体"/>
        </w:rPr>
        <w:t>1.4.1 模型选型总体策略</w:t>
      </w:r>
    </w:p>
    <w:p w14:paraId="0AAF75A8">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医疗大模型选型不能简单等同于“选择榜单分数最高的模型”，而应综合考虑医疗专业能力、中文病历书写规范的理解深度、长文本处理能力、推理性能与算力成本、私有化部署可行性、国产化适配程度、可审计性与可控性、厂商持续服务能力八个维度。</w:t>
      </w:r>
    </w:p>
    <w:p w14:paraId="6BA62E8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本方案的选型策略为：以医疗增强的通用基座模型为主力，以多模型协同为架构，以场景化评测为决策依据，以国产化适配为长期方向。具体而言，架构上采用“主力模型 + 辅助模型 + 专用模型”的三层模型组合。</w:t>
      </w:r>
    </w:p>
    <w:p w14:paraId="6459FDCF">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主力模型层：承担病历生成、记录撰写、内涵质控分析等核心任务，选择经过大规模医学语料继续预训练或医疗领域微调、中文医学知识覆盖完整、支持长上下文（不少于32K，建议支持128K以容纳完整住院病历与多份历史病历）、具备较强指令遵循与结构化输出能力的大语言模型。为满足不同算力条件与不同任务复杂度，建议同时纳管一个较大参数规模的模型（用于复杂推理与长文本生成）和一个中等参数规模的模型（用于高频、短文本、低时延任务），由平台按场景路由。</w:t>
      </w:r>
    </w:p>
    <w:p w14:paraId="4E85B8B1">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辅助模型层：承担语音转写、文本向量化、重排序、敏感信息识别等辅助任务，包括医疗场景优化的语音识别模型（支持医学术语、方言口音、多人对话分离）、中文语义向量化模型、重排序模型。</w:t>
      </w:r>
    </w:p>
    <w:p w14:paraId="4E10C44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专用模型与规则层：包括医学命名实体识别模型、文本分类模型、结构化抽取模型，以及 ICD 编码映射、药物字典匹配、时限计算、模板校验等规则组件。</w:t>
      </w:r>
    </w:p>
    <w:p w14:paraId="6E5C573A">
      <w:pPr>
        <w:pStyle w:val="5"/>
        <w:bidi w:val="0"/>
        <w:rPr>
          <w:rFonts w:hint="eastAsia" w:ascii="宋体" w:hAnsi="宋体" w:eastAsia="宋体" w:cs="宋体"/>
        </w:rPr>
      </w:pPr>
      <w:r>
        <w:rPr>
          <w:rFonts w:hint="eastAsia" w:ascii="宋体" w:hAnsi="宋体" w:eastAsia="宋体" w:cs="宋体"/>
        </w:rPr>
        <w:t>1.4.2 多模型统一纳管与热切换</w:t>
      </w:r>
    </w:p>
    <w:p w14:paraId="301CDB24">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本方案通过统一的模型网关实现</w:t>
      </w:r>
      <w:r>
        <w:rPr>
          <w:rFonts w:hint="eastAsia" w:ascii="宋体" w:hAnsi="宋体" w:eastAsia="宋体" w:cs="宋体"/>
          <w:b w:val="0"/>
          <w:sz w:val="24"/>
          <w:lang w:val="en-US" w:eastAsia="zh-CN"/>
        </w:rPr>
        <w:t>多模型统一纳管与热切换</w:t>
      </w:r>
      <w:r>
        <w:rPr>
          <w:rFonts w:hint="eastAsia" w:ascii="宋体" w:hAnsi="宋体" w:eastAsia="宋体" w:cs="宋体"/>
          <w:b w:val="0"/>
          <w:sz w:val="24"/>
        </w:rPr>
        <w:t>，具体机制如下。</w:t>
      </w:r>
    </w:p>
    <w:p w14:paraId="34B96D4F">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一，统一模型抽象层。平台对上层应用屏蔽具体模型的差异，将不同厂商、不同架构、不同参数规模的模型统一抽象为“文本生成”“向量化”“重排序”“语音识别”“多模态理解”等标准能力接口，应用侧只调用标准接口</w:t>
      </w:r>
      <w:r>
        <w:rPr>
          <w:rFonts w:hint="eastAsia" w:ascii="宋体" w:hAnsi="宋体" w:eastAsia="宋体" w:cs="宋体"/>
          <w:b w:val="0"/>
          <w:sz w:val="24"/>
          <w:lang w:eastAsia="zh-CN"/>
        </w:rPr>
        <w:t>（</w:t>
      </w:r>
      <w:r>
        <w:rPr>
          <w:rFonts w:hint="eastAsia" w:ascii="宋体" w:hAnsi="宋体" w:eastAsia="宋体" w:cs="宋体"/>
          <w:b w:val="0"/>
          <w:sz w:val="24"/>
          <w:lang w:val="en-US" w:eastAsia="zh-CN"/>
        </w:rPr>
        <w:t>OpenAI标准</w:t>
      </w:r>
      <w:r>
        <w:rPr>
          <w:rFonts w:hint="eastAsia" w:ascii="宋体" w:hAnsi="宋体" w:eastAsia="宋体" w:cs="宋体"/>
          <w:b w:val="0"/>
          <w:sz w:val="24"/>
          <w:lang w:eastAsia="zh-CN"/>
        </w:rPr>
        <w:t>）</w:t>
      </w:r>
      <w:r>
        <w:rPr>
          <w:rFonts w:hint="eastAsia" w:ascii="宋体" w:hAnsi="宋体" w:eastAsia="宋体" w:cs="宋体"/>
          <w:b w:val="0"/>
          <w:sz w:val="24"/>
        </w:rPr>
        <w:t>，不感知底层模型。</w:t>
      </w:r>
    </w:p>
    <w:p w14:paraId="7490DD1A">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二，模型注册与版本管理。任一模型以“模型卡片”形式注册到模型仓库，记录模型名称、厂商、参数规模、上下文长度、能力标签、算力需求、部署位置、版本号、评测成绩、适用场景与限制说明。模型版本支持多版本并存，支持按版本号精确调用，支持灰度发布与快速回滚。</w:t>
      </w:r>
    </w:p>
    <w:p w14:paraId="5886B392">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三，按场景策略路由。平台提供可视化的路由策略配置，可按业务场景、科室、任务类型、文本长度、时延要求、算力负载、成本预算等维度配置路由规则。例如：门诊病历生成对时延敏感，路由至中等参数模型；疑难病例讨论记录与复杂内涵质控，路由至大参数模型；夜间算力空闲时，批量质控任务路由至大模型以换取更高质量。路由策略变更无需停机、无需改代码，配置即刻生效。</w:t>
      </w:r>
    </w:p>
    <w:p w14:paraId="72EFD928">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四，热切换与无缝降级。当某一模型服务出现异常、性能下降或需要版本升级时，平台支持在业务不中断的前提下将流量切换至备用模型，切换过程对用户无感知。平台设置模型健康探针，实时监测各模型服务的响应时延、成功率与资源占用，异常时自动触发降级路由。这一机制</w:t>
      </w:r>
      <w:r>
        <w:rPr>
          <w:rFonts w:hint="eastAsia" w:ascii="宋体" w:hAnsi="宋体" w:eastAsia="宋体" w:cs="宋体"/>
          <w:b w:val="0"/>
          <w:sz w:val="24"/>
          <w:lang w:val="en-US" w:eastAsia="zh-CN"/>
        </w:rPr>
        <w:t>让</w:t>
      </w:r>
      <w:r>
        <w:rPr>
          <w:rFonts w:hint="eastAsia" w:ascii="宋体" w:hAnsi="宋体" w:eastAsia="宋体" w:cs="宋体"/>
          <w:b w:val="0"/>
          <w:sz w:val="24"/>
        </w:rPr>
        <w:t>任何单一模型的不可用都不应导致临床业务停摆。</w:t>
      </w:r>
    </w:p>
    <w:p w14:paraId="18B97D61">
      <w:pPr>
        <w:pStyle w:val="5"/>
        <w:bidi w:val="0"/>
        <w:rPr>
          <w:rFonts w:hint="eastAsia" w:ascii="宋体" w:hAnsi="宋体" w:eastAsia="宋体" w:cs="宋体"/>
        </w:rPr>
      </w:pPr>
      <w:r>
        <w:rPr>
          <w:rFonts w:hint="eastAsia" w:ascii="宋体" w:hAnsi="宋体" w:eastAsia="宋体" w:cs="宋体"/>
        </w:rPr>
        <w:t>1.4.3 私有化部署方式</w:t>
      </w:r>
    </w:p>
    <w:p w14:paraId="55A6CAA8">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本方案采用全栈私有化部署，模型、知识库、向量库、应用服务、数据全部部署在院内网络环境中，不依赖任何外部云服务，不在任何环节将患者数据传输至院外。</w:t>
      </w:r>
    </w:p>
    <w:p w14:paraId="1E9D23D1">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在部署形态上，具体包括三层：</w:t>
      </w:r>
    </w:p>
    <w:p w14:paraId="72F39AB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第一层是模型推理服务部署。在医院现有算力平台的 AI 算力节点上部署模型推理服务，采用容器化方式部署，支持多实例横向扩展与显存精细化调度。推理服务与业务应用网络隔离，仅通过内部服务端口对模型网关开放，不直接对外暴露。</w:t>
      </w:r>
    </w:p>
    <w:p w14:paraId="1905F6F2">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第二层是平台与应用服务部署。AI 平台各子系统与应用服务部署在院内服务器区，采用应用服务与数据库服务分离部署的方式，核心服务做冗余设计，避免单点故障；前后端分离，静态资源与接口服务分别部署，便于独立扩展。</w:t>
      </w:r>
    </w:p>
    <w:p w14:paraId="080F0E19">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三层是数据与知识存储部署。业务数据库、向量数据库、对象存储（用于存放文档、影像报告、语音文件等非结构化数据）均部署在院内，敏感数据加密存储，密钥由医院掌控；知识库文档按权限分级存储，访问留痕。</w:t>
      </w:r>
    </w:p>
    <w:p w14:paraId="2D747EF1">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在算力适配方法上，模型部署所需显存可以精确测算而无需依赖经验估计，其构成包括模型权重显存（与参数量及量化精度相关）、推理上下文缓存显存（与模型结构、上下文长度及并发数相关）与推理框架固定开销三部分。项目实施阶段将依据算力基线实测结果完成同口径测算，并按显存总量提供分档适配方案，确保医院现有算力在任一档位下均可形成完整可用的能力：算力充裕时以较大参数模型为主力，支撑全院级并发并保留灰度验证空间；算力有限时以中等参数量化模型为主力，优先保障门诊病历书写与病历内涵质控等核心场景，不因硬件条件调整功能承诺。</w:t>
      </w:r>
    </w:p>
    <w:p w14:paraId="57CD908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在推理引擎与量化策略上，推理服务采用业界成熟的高吞吐推理引擎，通过连续批处理与分页显存管理提升同等硬件条件下的吞吐水平，对外提供标准化兼容接口，使上层应用与底层引擎完全解耦，便于医院信息科后续自主运维。量化策略按任务场景区分：病历生成与内涵质控等长文本任务采用较高精度量化，保障长文本生成中的术语准确性；字段抽取与文本分类等结构化任务采用较高压缩比量化，在保证任务精度的前提下提升并发能力。任何量化版本上线前均须通过回归评测，未达标准的版本不得进入生产环境。</w:t>
      </w:r>
    </w:p>
    <w:p w14:paraId="042E922D">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在部署环境适配方面，本方案支持国产化部署：模型推理支持主流国产 AI 芯片（如昇腾系列 NPU 及主流国产 GPU），操作系统支持国产 Linux 发行版，数据库支持国产关系型数据库与开源数据库，中间件与容器平台支持国产化替代方案。同时，方案也兼容通用 NVIDIA GPU 环境，医院可根据现有算力平台的实际情况灵活选择，避免因过度绑定某一技术栈而影响后续扩容与采购。</w:t>
      </w:r>
    </w:p>
    <w:p w14:paraId="4736EB9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在算力使用策略上，考虑到医院 AI 算力需要同时支撑本项目与后续可能的影像 AI、科研计算等应用，平台提供算力池化与错峰调度能力：日间优先保障门诊、病房的实时推理请求，夜间将闲置算力调度给批量质控任务、知识库向量化重建、模型评测与必要的模型微调任务，实现“一套算力、多场景共用、忙闲互补”，提升算力投资回报。</w:t>
      </w:r>
    </w:p>
    <w:p w14:paraId="0AC850E9">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在算力不足时的应对预案上，平台提供三级保障：</w:t>
      </w:r>
    </w:p>
    <w:p w14:paraId="5610FC38">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lang w:eastAsia="zh-CN"/>
        </w:rPr>
        <w:t>一、</w:t>
      </w:r>
      <w:r>
        <w:rPr>
          <w:rFonts w:hint="eastAsia" w:ascii="宋体" w:hAnsi="宋体" w:eastAsia="宋体" w:cs="宋体"/>
          <w:b w:val="0"/>
          <w:sz w:val="24"/>
        </w:rPr>
        <w:t>通过模型量化、推理加速、KV Cache 优化、批处理合并等技术手段提升单位算力吞吐；</w:t>
      </w:r>
    </w:p>
    <w:p w14:paraId="56ECC781">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lang w:eastAsia="zh-CN"/>
        </w:rPr>
        <w:t>二、</w:t>
      </w:r>
      <w:r>
        <w:rPr>
          <w:rFonts w:hint="eastAsia" w:ascii="宋体" w:hAnsi="宋体" w:eastAsia="宋体" w:cs="宋体"/>
          <w:b w:val="0"/>
          <w:sz w:val="24"/>
        </w:rPr>
        <w:t>通过模型路由将非实时任务调度至低峰时段或较小参数模型；</w:t>
      </w:r>
    </w:p>
    <w:p w14:paraId="22461579">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三、</w:t>
      </w:r>
      <w:r>
        <w:rPr>
          <w:rFonts w:hint="eastAsia" w:ascii="宋体" w:hAnsi="宋体" w:eastAsia="宋体" w:cs="宋体"/>
          <w:b w:val="0"/>
          <w:sz w:val="24"/>
        </w:rPr>
        <w:t>当算力确实无法满足全院并发需求时，与医院共同评估算力扩容方案（新增推理节点或扩展显存），扩容不影响现有应用与数据，属于纯增量部署。</w:t>
      </w:r>
    </w:p>
    <w:p w14:paraId="06A7D57E">
      <w:pPr>
        <w:pStyle w:val="5"/>
        <w:bidi w:val="0"/>
        <w:rPr>
          <w:rFonts w:hint="eastAsia" w:ascii="宋体" w:hAnsi="宋体" w:eastAsia="宋体" w:cs="宋体"/>
        </w:rPr>
      </w:pPr>
      <w:r>
        <w:rPr>
          <w:rFonts w:hint="eastAsia" w:ascii="宋体" w:hAnsi="宋体" w:eastAsia="宋体" w:cs="宋体"/>
        </w:rPr>
        <w:t>1.4.4 模型安全与可控机制</w:t>
      </w:r>
    </w:p>
    <w:p w14:paraId="1DA2947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模型本身的输出安全需</w:t>
      </w:r>
      <w:r>
        <w:rPr>
          <w:rFonts w:hint="eastAsia" w:ascii="宋体" w:hAnsi="宋体" w:eastAsia="宋体" w:cs="宋体"/>
          <w:b w:val="0"/>
          <w:sz w:val="24"/>
          <w:lang w:val="en-US" w:eastAsia="zh-CN"/>
        </w:rPr>
        <w:t>要有</w:t>
      </w:r>
      <w:r>
        <w:rPr>
          <w:rFonts w:hint="eastAsia" w:ascii="宋体" w:hAnsi="宋体" w:eastAsia="宋体" w:cs="宋体"/>
          <w:b w:val="0"/>
          <w:sz w:val="24"/>
        </w:rPr>
        <w:t>专门机制保障</w:t>
      </w:r>
      <w:r>
        <w:rPr>
          <w:rFonts w:hint="eastAsia" w:ascii="宋体" w:hAnsi="宋体" w:eastAsia="宋体" w:cs="宋体"/>
          <w:b w:val="0"/>
          <w:sz w:val="24"/>
          <w:lang w:eastAsia="zh-CN"/>
        </w:rPr>
        <w:t>，</w:t>
      </w:r>
      <w:r>
        <w:rPr>
          <w:rFonts w:hint="eastAsia" w:ascii="宋体" w:hAnsi="宋体" w:eastAsia="宋体" w:cs="宋体"/>
          <w:b w:val="0"/>
          <w:sz w:val="24"/>
          <w:lang w:val="en-US" w:eastAsia="zh-CN"/>
        </w:rPr>
        <w:t>平台设置了</w:t>
      </w:r>
      <w:r>
        <w:rPr>
          <w:rFonts w:hint="eastAsia" w:ascii="宋体" w:hAnsi="宋体" w:eastAsia="宋体" w:cs="宋体"/>
          <w:b w:val="0"/>
          <w:sz w:val="24"/>
        </w:rPr>
        <w:t>以下五道防线。</w:t>
      </w:r>
    </w:p>
    <w:p w14:paraId="32F45EB1">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第一道，输入侧防护。对进入模型的提示词与业务数据进行敏感信息识别与必要脱敏，防止超出授权范围的数据进入模型上下文；对用户输入进行注入攻击检测，防止恶意提示词绕过系统约束。</w:t>
      </w:r>
    </w:p>
    <w:p w14:paraId="62276DA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二道，提示词约束。所有业务场景的提示词均经过医学专家与技术人员共同评审，内置角色设定、任务边界、输出格式、禁止行为（如不得给出确定性诊断结论、不得编造检查结果、不得虚构用药剂量）、不确定性表达要求（信息不足时应明确说明而非猜测）。</w:t>
      </w:r>
    </w:p>
    <w:p w14:paraId="39B9C5F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第三道，知识约束。通过 RAG 强制模型基于检索到的院内知识与权威资料作答，检索不到依据时明确提示“未检索到相关依据”，而不是自由发挥。</w:t>
      </w:r>
    </w:p>
    <w:p w14:paraId="1F7C614B">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四道，输出侧校验。生成内容返回前，经过合规校验组件检查：是否包含虚构的患者信息、是否存在与原始数据矛盾的表述、格式是否符合病历书写规范、是否包含不当的确定性诊断表述、是否触发敏感词与红线规则。校验不通过的内容不直接呈现，而是降级为提示信息。</w:t>
      </w:r>
    </w:p>
    <w:p w14:paraId="34E2CFA4">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五道，全过程审计。记录每一次模型调用的输入摘要、输出内容、调用模型与版本、调用者、时间、耗时、是否被采纳，形成完整的审计日志，支持按患者、按医师、按场景、按时间多维检索，满足医院内部审计与监管检查需要。</w:t>
      </w:r>
    </w:p>
    <w:p w14:paraId="4C235F7B">
      <w:pPr>
        <w:pStyle w:val="4"/>
        <w:bidi w:val="0"/>
        <w:rPr>
          <w:rFonts w:hint="eastAsia" w:ascii="宋体" w:hAnsi="宋体" w:eastAsia="宋体" w:cs="宋体"/>
        </w:rPr>
      </w:pPr>
      <w:r>
        <w:rPr>
          <w:rFonts w:hint="eastAsia" w:ascii="宋体" w:hAnsi="宋体" w:eastAsia="宋体" w:cs="宋体"/>
        </w:rPr>
        <w:t>1.5 RAG 私域知识库</w:t>
      </w:r>
    </w:p>
    <w:p w14:paraId="4D9DC973">
      <w:pPr>
        <w:pStyle w:val="5"/>
        <w:bidi w:val="0"/>
        <w:rPr>
          <w:rFonts w:hint="eastAsia" w:ascii="宋体" w:hAnsi="宋体" w:eastAsia="宋体" w:cs="宋体"/>
        </w:rPr>
      </w:pPr>
      <w:r>
        <w:rPr>
          <w:rFonts w:hint="eastAsia" w:ascii="宋体" w:hAnsi="宋体" w:eastAsia="宋体" w:cs="宋体"/>
        </w:rPr>
        <w:t>1.5.1 知识库定位与建设思路</w:t>
      </w:r>
    </w:p>
    <w:p w14:paraId="49F7BFC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大模型具备通用的医学知识，但不</w:t>
      </w:r>
      <w:r>
        <w:rPr>
          <w:rFonts w:hint="eastAsia" w:ascii="宋体" w:hAnsi="宋体" w:eastAsia="宋体" w:cs="宋体"/>
          <w:b w:val="0"/>
          <w:sz w:val="24"/>
          <w:lang w:val="en-US" w:eastAsia="zh-CN"/>
        </w:rPr>
        <w:t>了解</w:t>
      </w:r>
      <w:r>
        <w:rPr>
          <w:rFonts w:hint="eastAsia" w:ascii="宋体" w:hAnsi="宋体" w:eastAsia="宋体" w:cs="宋体"/>
          <w:b w:val="0"/>
          <w:sz w:val="24"/>
        </w:rPr>
        <w:t>医院的病历书写习惯、科室专科特色、内部管理制度与历史优质病历。RAG 私域知识库的作用，是把医院的“组织记忆”转化为模型可调用的知识，让生成内容“像本院医师写的、符合本院规矩”。</w:t>
      </w:r>
    </w:p>
    <w:p w14:paraId="21B384FC">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知识库建设遵循“权威优先、分层组织、边建边用、持续运营”的思路。权威优先是指知识来源必须可追溯、可引用、版本明确，优先采用国家规范、行业指南、教材与医院正式发布的制度文件；分层组织是指按知识用途而非按文件来源组织，便于检索时精准命中；边建边用是指不追求一次性建成大而全的知识库，而是围绕首批上线场景优先建设高价值知识，在使用中不断完善；持续运营是指明确知识库的责任部门、更新机制与质量校验机制，避免知识库“建完即僵化”。</w:t>
      </w:r>
    </w:p>
    <w:p w14:paraId="78B48592">
      <w:pPr>
        <w:pStyle w:val="5"/>
        <w:bidi w:val="0"/>
        <w:rPr>
          <w:rFonts w:hint="eastAsia" w:ascii="宋体" w:hAnsi="宋体" w:eastAsia="宋体" w:cs="宋体"/>
        </w:rPr>
      </w:pPr>
      <w:r>
        <w:rPr>
          <w:rFonts w:hint="eastAsia" w:ascii="宋体" w:hAnsi="宋体" w:eastAsia="宋体" w:cs="宋体"/>
        </w:rPr>
        <w:t>1.5.2 知识库内容体系</w:t>
      </w:r>
    </w:p>
    <w:p w14:paraId="223EDF5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本方案将私域知识库划分为六大知识域，各知识域的内容、责任部门与主要服务场景如下。</w:t>
      </w:r>
    </w:p>
    <w:p w14:paraId="1FB79DBC">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一，病历书写规范知识域。内容包括病历书写基本规范、各文书类型的格式与要素要求、各专科病历书写要点、优秀病历范例、常见书写缺陷案例。重点沉淀医院历史优质病历（按专科、病种、文书类型筛选脱敏后的范文），形成“本院风格”的写作参照。责任部门为医务部、病案科与各临床科室。主要服务于五个病历生成智能体与质控智能体。</w:t>
      </w:r>
    </w:p>
    <w:p w14:paraId="25735101">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二，临床诊疗知识域。内容包括临床诊疗指南、专家共识、临床路径、药物治疗规范、检验检查项目适用说明、危急值管理要求。主要服务于病历生成中的诊疗逻辑合理性，以及内涵质控中的“诊疗措施是否与诊断相符”“异常结果是否有分析处理”等判断。责任部门为医务部与药学部。</w:t>
      </w:r>
    </w:p>
    <w:p w14:paraId="5F4CA8C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三，医院管理制度知识域。内容包括医疗质量安全核心制度、会诊制度、手术分级管理制度、抗菌药物分级管理制度、病历管理制度、知情同意管理要求、院感防控要求。主要服务于质控智能体的合规性检查与病历生成中的制度性表述。责任部门为医务部、院感科、药学部。</w:t>
      </w:r>
    </w:p>
    <w:p w14:paraId="12859069">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四，专科特色知识域。结合医院的专科优势，重点建设心脑血管疾病、危重症、呼吸系统疾病、消化系统疾病、神经系统疾病、肿瘤相关疾病、疼痛治疗等方向的知识子库，内容包括专科诊疗常规、本院专家经验总结、专科文书模板与术语习惯。责任部门为各重点专科。这一知识域是体现本院特色的关键，也是通用大模型无法替代的部分。</w:t>
      </w:r>
    </w:p>
    <w:p w14:paraId="4B96F02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五，数据标准与字典知识域。内容包括ICD-10诊断编码库、ICD-9-CM-3手术操作编码库、医学术语标准、院内药品字典、检验检查项目字典、科室与人员字典、手术分级目录。主要服务于编码映射、术语归一与结构化输出。责任部门为病案科、信息科。</w:t>
      </w:r>
    </w:p>
    <w:p w14:paraId="347E894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第六，运营知识与问答知识域。内容包括系统操作手册、常见问题解答、典型使用案例、培训材料。主要服务于使用支持与智能问答助手。</w:t>
      </w:r>
    </w:p>
    <w:p w14:paraId="101F2B6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在知识库边界上，患者诊疗数据不纳入向量知识库</w:t>
      </w:r>
      <w:r>
        <w:rPr>
          <w:rFonts w:hint="eastAsia" w:ascii="宋体" w:hAnsi="宋体" w:eastAsia="宋体" w:cs="宋体"/>
          <w:b w:val="0"/>
          <w:sz w:val="24"/>
          <w:lang w:eastAsia="zh-CN"/>
        </w:rPr>
        <w:t>，</w:t>
      </w:r>
      <w:r>
        <w:rPr>
          <w:rFonts w:hint="eastAsia" w:ascii="宋体" w:hAnsi="宋体" w:eastAsia="宋体" w:cs="宋体"/>
          <w:b w:val="0"/>
          <w:sz w:val="24"/>
        </w:rPr>
        <w:t>一律通过实时接口按就诊标识精确获取，不参与语义检索；如后续确需检索历史相似病例，将单独建设患者级隔离索引，检索时强制携带患者标识过滤，且不参与跨患者召回。</w:t>
      </w:r>
    </w:p>
    <w:p w14:paraId="10F83178">
      <w:pPr>
        <w:pStyle w:val="5"/>
        <w:bidi w:val="0"/>
        <w:rPr>
          <w:rFonts w:hint="eastAsia" w:ascii="宋体" w:hAnsi="宋体" w:eastAsia="宋体" w:cs="宋体"/>
        </w:rPr>
      </w:pPr>
      <w:r>
        <w:rPr>
          <w:rFonts w:hint="eastAsia" w:ascii="宋体" w:hAnsi="宋体" w:eastAsia="宋体" w:cs="宋体"/>
        </w:rPr>
        <w:t>1.5.3 知识加工与检索流程</w:t>
      </w:r>
    </w:p>
    <w:p w14:paraId="7FF3DEFB">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知识从原始文档到可被模型调用，需要经过一条完整的加工流水线，本方案设计七个环节。</w:t>
      </w:r>
    </w:p>
    <w:p w14:paraId="497A1191">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第一，采集与接入。支持批量导入与增量同步两种方式。批量导入用于历史资料的一次性入库；增量同步用于制度文件修订、指南更新后的持续更新，支持文件夹监听与接口推送。</w:t>
      </w:r>
    </w:p>
    <w:p w14:paraId="4D59C378">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第二，格式解析与结构化。对 PDF、Word、OFD、扫描件、网页等不同格式文档进行解析，还原标题层级、段落、表格与图片说明，对扫描件进行 OCR 识别。解析质量直接决定后续检索效果，本环节对解析结果提供人工校对界面。</w:t>
      </w:r>
    </w:p>
    <w:p w14:paraId="619A076C">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第三，清洗与规范化。去除页眉页脚、水印、无意义字符，统一术语表述与计量单位，修正明显的识别错误，保留原文页码与章节信息以便溯源。</w:t>
      </w:r>
    </w:p>
    <w:p w14:paraId="2A0CCC54">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四，切分与语义单元构建。医疗文档不宜简单按固定字数切分，否则会把一条完整的诊疗要求切断。本方案采用“结构优先、语义补充”的切分策略：优先按文档的章节、条款、表格行切分；对长段落再按语义边界切分；对表格类内容（如药品剂量表、评分量表）保持整表完整并单独建索引；对流程类内容保留步骤序列。每个语义单元附带元数据：来源文件、章节路径、发布机构、生效日期、适用专科、密级。</w:t>
      </w:r>
    </w:p>
    <w:p w14:paraId="36978462">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第五，向量化与索引构建。使用中文医学语义向量模型将语义单元转为向量，写入向量数据库；同时对关键词建立倒排索引，对结构化字段（专科、文书类型、疾病名称、文书要素）建立标量索引，形成“向量 + 关键词 + 结构化标签”的三路索引。</w:t>
      </w:r>
    </w:p>
    <w:p w14:paraId="397BC75D">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六，混合检索与重排。检索时采用三阶段策略：先用结构化标签做条件过滤（如限定“心血管内科”“入院记录”“现行有效版本”），缩小候选范围；再在候选集内做向量语义召回与关键词召回，合并去重；最后用重排序模型对候选结果精排，输出最相关的若干个语义单元。这一策略解决了单纯依赖向量相似度容易“语义相近但临床不相关”的问题，例如“咳嗽”与“咳痰”向量距离很近，但对具体患者的病历生成意义完全不同，通过专科与文书类型的结构化过滤可以有效规避。</w:t>
      </w:r>
    </w:p>
    <w:p w14:paraId="412AD25C">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七，引用与溯源。每个返回给模型的语义单元均带有唯一标识与来源信息，模型生成内容时按约定格式标注引用编号，前端呈现时支持点击查看原文出处（文件名、章节、原文段落），实现“每句话都有出处”。</w:t>
      </w:r>
    </w:p>
    <w:p w14:paraId="51BBE1F4">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在切分规则上，除按章节结构与语义边界切分外，还应遵循三条刚性规则：表格不跨块，避免切开后失去表头导致误读；条款不跨块，避免一条制度被切分后语义失真；每个知识块必须携带所属章节标题，确保检索命中后能够定位出处。在检索判定上，当召回结果与当前任务的相似度低于设定阈值时，系统直接判定为无依据并如实提示信息不足，不强行生成。</w:t>
      </w:r>
    </w:p>
    <w:p w14:paraId="03688967">
      <w:pPr>
        <w:pStyle w:val="5"/>
        <w:bidi w:val="0"/>
        <w:rPr>
          <w:rFonts w:hint="eastAsia" w:ascii="宋体" w:hAnsi="宋体" w:eastAsia="宋体" w:cs="宋体"/>
        </w:rPr>
      </w:pPr>
      <w:r>
        <w:rPr>
          <w:rFonts w:hint="eastAsia" w:ascii="宋体" w:hAnsi="宋体" w:eastAsia="宋体" w:cs="宋体"/>
        </w:rPr>
        <w:t>1.5.4 知识库质量保障</w:t>
      </w:r>
    </w:p>
    <w:p w14:paraId="22164804">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一、</w:t>
      </w:r>
      <w:r>
        <w:rPr>
          <w:rFonts w:hint="eastAsia" w:ascii="宋体" w:hAnsi="宋体" w:eastAsia="宋体" w:cs="宋体"/>
          <w:b w:val="0"/>
          <w:sz w:val="24"/>
        </w:rPr>
        <w:t>知识准入审核。所有进入知识库的文档须经责任部门审核确认，标注生效日期与有效期，过期文档自动转入“历史版本”不再参与检索，防止模型引用已废止的规定。</w:t>
      </w:r>
    </w:p>
    <w:p w14:paraId="31A8953C">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二、</w:t>
      </w:r>
      <w:r>
        <w:rPr>
          <w:rFonts w:hint="eastAsia" w:ascii="宋体" w:hAnsi="宋体" w:eastAsia="宋体" w:cs="宋体"/>
          <w:b w:val="0"/>
          <w:sz w:val="24"/>
        </w:rPr>
        <w:t>冲突检测与版本管理。当同一主题存在多个来源或新旧版本时，系统提示冲突并要求明确优先级；同一文档的多个版本保留完整版本链，支持按时间点回溯。</w:t>
      </w:r>
    </w:p>
    <w:p w14:paraId="4A3568E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val="en-US" w:eastAsia="zh-CN"/>
        </w:rPr>
        <w:t>三</w:t>
      </w:r>
      <w:r>
        <w:rPr>
          <w:rFonts w:hint="eastAsia" w:ascii="宋体" w:hAnsi="宋体" w:eastAsia="宋体" w:cs="宋体"/>
          <w:b w:val="0"/>
          <w:sz w:val="24"/>
          <w:lang w:eastAsia="zh-CN"/>
        </w:rPr>
        <w:t>、</w:t>
      </w:r>
      <w:r>
        <w:rPr>
          <w:rFonts w:hint="eastAsia" w:ascii="宋体" w:hAnsi="宋体" w:eastAsia="宋体" w:cs="宋体"/>
          <w:b w:val="0"/>
          <w:sz w:val="24"/>
        </w:rPr>
        <w:t>定期更新与清理。建立季度知识评审机制，由责任部门复核知识有效性，清理过期内容，补充新增指南与制度。</w:t>
      </w:r>
    </w:p>
    <w:p w14:paraId="14046536">
      <w:pPr>
        <w:pStyle w:val="4"/>
        <w:bidi w:val="0"/>
        <w:rPr>
          <w:rFonts w:hint="eastAsia" w:ascii="宋体" w:hAnsi="宋体" w:eastAsia="宋体" w:cs="宋体"/>
        </w:rPr>
      </w:pPr>
      <w:r>
        <w:rPr>
          <w:rFonts w:hint="eastAsia" w:ascii="宋体" w:hAnsi="宋体" w:eastAsia="宋体" w:cs="宋体"/>
        </w:rPr>
        <w:t>1.6 提示词工程</w:t>
      </w:r>
    </w:p>
    <w:p w14:paraId="6378BE66">
      <w:pPr>
        <w:pStyle w:val="5"/>
        <w:bidi w:val="0"/>
        <w:rPr>
          <w:rFonts w:hint="eastAsia" w:ascii="宋体" w:hAnsi="宋体" w:eastAsia="宋体" w:cs="宋体"/>
        </w:rPr>
      </w:pPr>
      <w:r>
        <w:rPr>
          <w:rFonts w:hint="eastAsia" w:ascii="宋体" w:hAnsi="宋体" w:eastAsia="宋体" w:cs="宋体"/>
        </w:rPr>
        <w:t>1.6.1 提示词结构</w:t>
      </w:r>
    </w:p>
    <w:p w14:paraId="2360981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val="en-US" w:eastAsia="zh-CN"/>
        </w:rPr>
        <w:t>平台</w:t>
      </w:r>
      <w:r>
        <w:rPr>
          <w:rFonts w:hint="eastAsia" w:ascii="宋体" w:hAnsi="宋体" w:eastAsia="宋体" w:cs="宋体"/>
          <w:b w:val="0"/>
          <w:sz w:val="24"/>
        </w:rPr>
        <w:t>采用四层提示词结构，实现“共性约束集中管理、个性差异灵活配置”。</w:t>
      </w:r>
    </w:p>
    <w:p w14:paraId="7C07C91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一层，系统级提示词（全局约束层）。定义所有场景共通的角色定位、安全红线与行为准则。例如：定位为“协助临床医师完成医疗文书撰写的辅助工具”；不得作出确定性诊断结论；不得编造未在原始数据中出现的信息；信息不足时须明确说明并提示医师补充；不得输出与患者无关的内容；严格遵守医疗文书书写规范。这一层由平台统一维护，任何场景不得绕过。</w:t>
      </w:r>
    </w:p>
    <w:p w14:paraId="21E0B70D">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二层，场景级提示词（任务定义层）。定义具体智能体的任务目标、输入数据说明、输出结构、质量标准与示例。以住院病历智能体为例，场景级提示词需明确：生成哪几类文书（入院记录、首次病程记录、日常病程记录、出院记录）、每类文书的必备要素与书写顺序、不同专科的特殊要求、语气与详略程度、如何处理信息缺失、如何标注不确定内容。</w:t>
      </w:r>
    </w:p>
    <w:p w14:paraId="333C4E4D">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三层，科室级提示词（个性化层）。在场景级基础上，叠加科室特定的书写习惯与关注重点。例如心血管内科关注心功能分级、用药调整依据；神经内科关注神经专科查体与定位定性分析；骨科关注术前影像与术后康复计划。科室级提示词由平台提供模板，科室在授权范围内调整，调整需经医务部备案。</w:t>
      </w:r>
    </w:p>
    <w:p w14:paraId="40DFF469">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四层，任务级动态提示（上下文层）。在运行时根据具体患者情况动态组装，包括患者基本信息、本次就诊数据、历史病历摘要、检索到的相关知识片段、当前文书的已有内容与光标位置、医师的个性化指令（如“重点写清楚抗感染方案调整的理由”）。这一层是动态生成的，由编排引擎自动完成。</w:t>
      </w:r>
    </w:p>
    <w:p w14:paraId="5E23D916">
      <w:pPr>
        <w:pStyle w:val="5"/>
        <w:bidi w:val="0"/>
        <w:rPr>
          <w:rFonts w:hint="eastAsia" w:ascii="宋体" w:hAnsi="宋体" w:eastAsia="宋体" w:cs="宋体"/>
        </w:rPr>
      </w:pPr>
      <w:r>
        <w:rPr>
          <w:rFonts w:hint="eastAsia" w:ascii="宋体" w:hAnsi="宋体" w:eastAsia="宋体" w:cs="宋体"/>
        </w:rPr>
        <w:t xml:space="preserve">1.6.3 </w:t>
      </w:r>
      <w:r>
        <w:rPr>
          <w:rFonts w:hint="eastAsia" w:ascii="宋体" w:hAnsi="宋体" w:eastAsia="宋体" w:cs="宋体"/>
          <w:lang w:val="en-US" w:eastAsia="zh-CN"/>
        </w:rPr>
        <w:t>关键</w:t>
      </w:r>
      <w:r>
        <w:rPr>
          <w:rFonts w:hint="eastAsia" w:ascii="宋体" w:hAnsi="宋体" w:eastAsia="宋体" w:cs="宋体"/>
        </w:rPr>
        <w:t>技术</w:t>
      </w:r>
      <w:r>
        <w:rPr>
          <w:rFonts w:hint="eastAsia" w:ascii="宋体" w:hAnsi="宋体" w:eastAsia="宋体" w:cs="宋体"/>
          <w:lang w:val="en-US" w:eastAsia="zh-CN"/>
        </w:rPr>
        <w:t>说明</w:t>
      </w:r>
    </w:p>
    <w:p w14:paraId="7C6079D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b w:val="0"/>
          <w:sz w:val="24"/>
        </w:rPr>
        <w:t>在具体技术手段上，</w:t>
      </w:r>
      <w:r>
        <w:rPr>
          <w:rFonts w:hint="eastAsia" w:ascii="宋体" w:hAnsi="宋体" w:eastAsia="宋体" w:cs="宋体"/>
          <w:b w:val="0"/>
          <w:sz w:val="24"/>
          <w:lang w:val="en-US" w:eastAsia="zh-CN"/>
        </w:rPr>
        <w:t>系统</w:t>
      </w:r>
      <w:r>
        <w:rPr>
          <w:rFonts w:hint="eastAsia" w:ascii="宋体" w:hAnsi="宋体" w:eastAsia="宋体" w:cs="宋体"/>
          <w:b w:val="0"/>
          <w:sz w:val="24"/>
        </w:rPr>
        <w:t>综合运用以下方法</w:t>
      </w:r>
      <w:r>
        <w:rPr>
          <w:rFonts w:hint="eastAsia" w:ascii="宋体" w:hAnsi="宋体" w:eastAsia="宋体" w:cs="宋体"/>
          <w:b w:val="0"/>
          <w:sz w:val="24"/>
          <w:lang w:val="en-US" w:eastAsia="zh-CN"/>
        </w:rPr>
        <w:t>来进行提示词工程的实现与优化。</w:t>
      </w:r>
    </w:p>
    <w:p w14:paraId="0B8E6DA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一、</w:t>
      </w:r>
      <w:r>
        <w:rPr>
          <w:rFonts w:hint="eastAsia" w:ascii="宋体" w:hAnsi="宋体" w:eastAsia="宋体" w:cs="宋体"/>
          <w:b w:val="0"/>
          <w:sz w:val="24"/>
        </w:rPr>
        <w:t>结构化提示与输出约束。要求模型按预定义的结构输出（如 JSON Schema 或分段标记），确保生成内容可直接映射到病历文书模板的各个字段，避免“一大段文字还需要人工再拆”的低效问题。对于结构化字段，采用 Schema 约束输出并做格式校验，不合格则自动重试或降级处理。</w:t>
      </w:r>
    </w:p>
    <w:p w14:paraId="7C7EAFFC">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二、</w:t>
      </w:r>
      <w:r>
        <w:rPr>
          <w:rFonts w:hint="eastAsia" w:ascii="宋体" w:hAnsi="宋体" w:eastAsia="宋体" w:cs="宋体"/>
          <w:b w:val="0"/>
          <w:sz w:val="24"/>
        </w:rPr>
        <w:t>少样本示例（Few-shot）。为每类文书提供2</w:t>
      </w:r>
      <w:r>
        <w:rPr>
          <w:rFonts w:hint="eastAsia" w:ascii="宋体" w:hAnsi="宋体" w:eastAsia="宋体" w:cs="宋体"/>
          <w:b w:val="0"/>
          <w:sz w:val="24"/>
          <w:lang w:val="en-US" w:eastAsia="zh-CN"/>
        </w:rPr>
        <w:t>至</w:t>
      </w:r>
      <w:r>
        <w:rPr>
          <w:rFonts w:hint="eastAsia" w:ascii="宋体" w:hAnsi="宋体" w:eastAsia="宋体" w:cs="宋体"/>
          <w:b w:val="0"/>
          <w:sz w:val="24"/>
        </w:rPr>
        <w:t>5个高质量范例（来自脱敏后的本院优秀病历），让模型通过示例学习本院的行文风格与详略尺度。示例的选择需注意代表性，覆盖不同病情复杂程度。</w:t>
      </w:r>
    </w:p>
    <w:p w14:paraId="63962F1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三、</w:t>
      </w:r>
      <w:r>
        <w:rPr>
          <w:rFonts w:hint="eastAsia" w:ascii="宋体" w:hAnsi="宋体" w:eastAsia="宋体" w:cs="宋体"/>
          <w:b w:val="0"/>
          <w:sz w:val="24"/>
        </w:rPr>
        <w:t>思维链与分步生成。对于复杂任务（如内涵质控的推理判断），引导模型按“提取事实</w:t>
      </w:r>
      <w:r>
        <w:rPr>
          <w:rFonts w:hint="eastAsia" w:ascii="宋体" w:hAnsi="宋体" w:eastAsia="宋体" w:cs="宋体"/>
          <w:b w:val="0"/>
          <w:sz w:val="24"/>
          <w:lang w:eastAsia="zh-CN"/>
        </w:rPr>
        <w:t>、</w:t>
      </w:r>
      <w:r>
        <w:rPr>
          <w:rFonts w:hint="eastAsia" w:ascii="宋体" w:hAnsi="宋体" w:eastAsia="宋体" w:cs="宋体"/>
          <w:b w:val="0"/>
          <w:sz w:val="24"/>
        </w:rPr>
        <w:t>比对规范</w:t>
      </w:r>
      <w:r>
        <w:rPr>
          <w:rFonts w:hint="eastAsia" w:ascii="宋体" w:hAnsi="宋体" w:eastAsia="宋体" w:cs="宋体"/>
          <w:b w:val="0"/>
          <w:sz w:val="24"/>
          <w:lang w:eastAsia="zh-CN"/>
        </w:rPr>
        <w:t>、</w:t>
      </w:r>
      <w:r>
        <w:rPr>
          <w:rFonts w:hint="eastAsia" w:ascii="宋体" w:hAnsi="宋体" w:eastAsia="宋体" w:cs="宋体"/>
          <w:b w:val="0"/>
          <w:sz w:val="24"/>
        </w:rPr>
        <w:t>识别差异</w:t>
      </w:r>
      <w:r>
        <w:rPr>
          <w:rFonts w:hint="eastAsia" w:ascii="宋体" w:hAnsi="宋体" w:eastAsia="宋体" w:cs="宋体"/>
          <w:b w:val="0"/>
          <w:sz w:val="24"/>
          <w:lang w:eastAsia="zh-CN"/>
        </w:rPr>
        <w:t>、</w:t>
      </w:r>
      <w:r>
        <w:rPr>
          <w:rFonts w:hint="eastAsia" w:ascii="宋体" w:hAnsi="宋体" w:eastAsia="宋体" w:cs="宋体"/>
          <w:b w:val="0"/>
          <w:sz w:val="24"/>
        </w:rPr>
        <w:t>判断性质</w:t>
      </w:r>
      <w:r>
        <w:rPr>
          <w:rFonts w:hint="eastAsia" w:ascii="宋体" w:hAnsi="宋体" w:eastAsia="宋体" w:cs="宋体"/>
          <w:b w:val="0"/>
          <w:sz w:val="24"/>
          <w:lang w:eastAsia="zh-CN"/>
        </w:rPr>
        <w:t>、</w:t>
      </w:r>
      <w:r>
        <w:rPr>
          <w:rFonts w:hint="eastAsia" w:ascii="宋体" w:hAnsi="宋体" w:eastAsia="宋体" w:cs="宋体"/>
          <w:b w:val="0"/>
          <w:sz w:val="24"/>
        </w:rPr>
        <w:t>给出建议”的步骤展开，既提升推理质量，也让判断过程可解释、可复核。对于长文书生成，采用“先提纲、后填充、再润色”的分步生成策略，避免一次性生成长文本时的结构松散与前后矛盾。</w:t>
      </w:r>
    </w:p>
    <w:p w14:paraId="3FFF31BA">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四、</w:t>
      </w:r>
      <w:r>
        <w:rPr>
          <w:rFonts w:hint="eastAsia" w:ascii="宋体" w:hAnsi="宋体" w:eastAsia="宋体" w:cs="宋体"/>
          <w:b w:val="0"/>
          <w:sz w:val="24"/>
        </w:rPr>
        <w:t>引用标注与不确定性表达。在提示词中明确要求：凡引用知识库内容须标注引用编号；凡基于推测而非明确记录的内容须标注“（待核实）”；凡原始数据缺失的要素须留空并提示补充，不得自行填充。</w:t>
      </w:r>
    </w:p>
    <w:p w14:paraId="4B2952F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五、</w:t>
      </w:r>
      <w:r>
        <w:rPr>
          <w:rFonts w:hint="eastAsia" w:ascii="宋体" w:hAnsi="宋体" w:eastAsia="宋体" w:cs="宋体"/>
          <w:b w:val="0"/>
          <w:sz w:val="24"/>
        </w:rPr>
        <w:t>提示词模板化与变量化。将提示词中的可变部分抽象为变量（患者信息、科室、文书类型、知识片段等），形成可配置的模板，业务人员通过界面即可调整，无需修改代码。</w:t>
      </w:r>
    </w:p>
    <w:p w14:paraId="7A1CB027">
      <w:pPr>
        <w:pStyle w:val="5"/>
        <w:bidi w:val="0"/>
        <w:rPr>
          <w:rFonts w:hint="eastAsia" w:ascii="宋体" w:hAnsi="宋体" w:eastAsia="宋体" w:cs="宋体"/>
        </w:rPr>
      </w:pPr>
      <w:r>
        <w:rPr>
          <w:rFonts w:hint="eastAsia" w:ascii="宋体" w:hAnsi="宋体" w:eastAsia="宋体" w:cs="宋体"/>
        </w:rPr>
        <w:t>1.6.4 生命周期管理</w:t>
      </w:r>
    </w:p>
    <w:p w14:paraId="0505977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一、</w:t>
      </w:r>
      <w:r>
        <w:rPr>
          <w:rFonts w:hint="eastAsia" w:ascii="宋体" w:hAnsi="宋体" w:eastAsia="宋体" w:cs="宋体"/>
          <w:b w:val="0"/>
          <w:sz w:val="24"/>
        </w:rPr>
        <w:t>集中存储与分类目录。所有提示词按业务场景、科室、用途分类存储，支持检索与复用。</w:t>
      </w:r>
    </w:p>
    <w:p w14:paraId="559B64EB">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二、</w:t>
      </w:r>
      <w:r>
        <w:rPr>
          <w:rFonts w:hint="eastAsia" w:ascii="宋体" w:hAnsi="宋体" w:eastAsia="宋体" w:cs="宋体"/>
          <w:b w:val="0"/>
          <w:sz w:val="24"/>
        </w:rPr>
        <w:t>版本管理与变更记录。每次修改生成新版本，记录修改人、修改时间、修改内容与修改原因，支持版本对比与一键回滚。</w:t>
      </w:r>
    </w:p>
    <w:p w14:paraId="0B0BF70E">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val="en-US" w:eastAsia="zh-CN"/>
        </w:rPr>
        <w:t>三</w:t>
      </w:r>
      <w:r>
        <w:rPr>
          <w:rFonts w:hint="eastAsia" w:ascii="宋体" w:hAnsi="宋体" w:eastAsia="宋体" w:cs="宋体"/>
          <w:b w:val="0"/>
          <w:sz w:val="24"/>
          <w:lang w:eastAsia="zh-CN"/>
        </w:rPr>
        <w:t>、</w:t>
      </w:r>
      <w:r>
        <w:rPr>
          <w:rFonts w:hint="eastAsia" w:ascii="宋体" w:hAnsi="宋体" w:eastAsia="宋体" w:cs="宋体"/>
          <w:b w:val="0"/>
          <w:sz w:val="24"/>
        </w:rPr>
        <w:t>效果监控与自动告警。监控各场景的生成成功率、医师采纳率、平均修改字数、异常反馈率等指标，指标异常波动时自动告警，提示可能存在提示词失效（如上游数据格式变化、模型版本变更导致）。</w:t>
      </w:r>
    </w:p>
    <w:p w14:paraId="007943F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val="en-US" w:eastAsia="zh-CN"/>
        </w:rPr>
        <w:t>四</w:t>
      </w:r>
      <w:r>
        <w:rPr>
          <w:rFonts w:hint="eastAsia" w:ascii="宋体" w:hAnsi="宋体" w:eastAsia="宋体" w:cs="宋体"/>
          <w:b w:val="0"/>
          <w:sz w:val="24"/>
          <w:lang w:eastAsia="zh-CN"/>
        </w:rPr>
        <w:t>、</w:t>
      </w:r>
      <w:r>
        <w:rPr>
          <w:rFonts w:hint="eastAsia" w:ascii="宋体" w:hAnsi="宋体" w:eastAsia="宋体" w:cs="宋体"/>
          <w:b w:val="0"/>
          <w:sz w:val="24"/>
        </w:rPr>
        <w:t>提示词资产归属与保密。所有为本项目定制的提示词资产归医院所有，以加密形式存储，导出需授权，防止核心工程资产外泄。</w:t>
      </w:r>
    </w:p>
    <w:p w14:paraId="2DFB0AF8">
      <w:pPr>
        <w:pStyle w:val="4"/>
        <w:bidi w:val="0"/>
        <w:rPr>
          <w:rFonts w:hint="eastAsia" w:ascii="宋体" w:hAnsi="宋体" w:eastAsia="宋体" w:cs="宋体"/>
        </w:rPr>
      </w:pPr>
      <w:r>
        <w:rPr>
          <w:rFonts w:hint="eastAsia" w:ascii="宋体" w:hAnsi="宋体" w:eastAsia="宋体" w:cs="宋体"/>
        </w:rPr>
        <w:t>1.7 工作流与智能体编排</w:t>
      </w:r>
    </w:p>
    <w:p w14:paraId="34202184">
      <w:pPr>
        <w:pStyle w:val="5"/>
        <w:bidi w:val="0"/>
        <w:rPr>
          <w:rFonts w:hint="eastAsia" w:ascii="宋体" w:hAnsi="宋体" w:eastAsia="宋体" w:cs="宋体"/>
        </w:rPr>
      </w:pPr>
      <w:r>
        <w:rPr>
          <w:rFonts w:hint="eastAsia" w:ascii="宋体" w:hAnsi="宋体" w:eastAsia="宋体" w:cs="宋体"/>
        </w:rPr>
        <w:t>1.7.1 编排设计理念</w:t>
      </w:r>
    </w:p>
    <w:p w14:paraId="33CFBAB8">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智能体要真正“办事”，必须具备三样东西：知道该做什么（任务规划）、知道用什么做（工具调用）、知道什么时候需要人（人工确认）。</w:t>
      </w:r>
      <w:r>
        <w:rPr>
          <w:rFonts w:hint="eastAsia" w:ascii="宋体" w:hAnsi="宋体" w:eastAsia="宋体" w:cs="宋体"/>
          <w:b w:val="0"/>
          <w:sz w:val="24"/>
          <w:lang w:val="en-US" w:eastAsia="zh-CN"/>
        </w:rPr>
        <w:t>系统进行编排的</w:t>
      </w:r>
      <w:r>
        <w:rPr>
          <w:rFonts w:hint="eastAsia" w:ascii="宋体" w:hAnsi="宋体" w:eastAsia="宋体" w:cs="宋体"/>
          <w:b w:val="0"/>
          <w:sz w:val="24"/>
        </w:rPr>
        <w:t>核心理念是“以业务流程为主线、以事件驱动为触发”</w:t>
      </w:r>
      <w:r>
        <w:rPr>
          <w:rFonts w:hint="eastAsia" w:ascii="宋体" w:hAnsi="宋体" w:eastAsia="宋体" w:cs="宋体"/>
          <w:b w:val="0"/>
          <w:sz w:val="24"/>
          <w:lang w:val="en-US" w:eastAsia="zh-CN"/>
        </w:rPr>
        <w:t>的设计理念</w:t>
      </w:r>
      <w:r>
        <w:rPr>
          <w:rFonts w:hint="eastAsia" w:ascii="宋体" w:hAnsi="宋体" w:eastAsia="宋体" w:cs="宋体"/>
          <w:b w:val="0"/>
          <w:sz w:val="24"/>
        </w:rPr>
        <w:t>。</w:t>
      </w:r>
    </w:p>
    <w:p w14:paraId="2CA96BA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以业务流程为主线，智能体不是孤立的功能点，而是嵌入到医师的实际工作流中：</w:t>
      </w:r>
      <w:r>
        <w:rPr>
          <w:rFonts w:hint="eastAsia" w:ascii="宋体" w:hAnsi="宋体" w:eastAsia="宋体" w:cs="宋体"/>
          <w:b w:val="0"/>
          <w:sz w:val="24"/>
          <w:lang w:val="en-US" w:eastAsia="zh-CN"/>
        </w:rPr>
        <w:t>智能病历生成的</w:t>
      </w:r>
      <w:r>
        <w:rPr>
          <w:rFonts w:hint="eastAsia" w:ascii="宋体" w:hAnsi="宋体" w:eastAsia="宋体" w:cs="宋体"/>
          <w:b w:val="0"/>
          <w:sz w:val="24"/>
        </w:rPr>
        <w:t>整个链条</w:t>
      </w:r>
      <w:r>
        <w:rPr>
          <w:rFonts w:hint="eastAsia" w:ascii="宋体" w:hAnsi="宋体" w:eastAsia="宋体" w:cs="宋体"/>
          <w:b w:val="0"/>
          <w:sz w:val="24"/>
          <w:lang w:val="en-US" w:eastAsia="zh-CN"/>
        </w:rPr>
        <w:t>应该</w:t>
      </w:r>
      <w:r>
        <w:rPr>
          <w:rFonts w:hint="eastAsia" w:ascii="宋体" w:hAnsi="宋体" w:eastAsia="宋体" w:cs="宋体"/>
          <w:b w:val="0"/>
          <w:sz w:val="24"/>
        </w:rPr>
        <w:t>自动衔接，</w:t>
      </w:r>
      <w:r>
        <w:rPr>
          <w:rFonts w:hint="eastAsia" w:ascii="宋体" w:hAnsi="宋体" w:eastAsia="宋体" w:cs="宋体"/>
          <w:b w:val="0"/>
          <w:sz w:val="24"/>
          <w:lang w:val="en-US" w:eastAsia="zh-CN"/>
        </w:rPr>
        <w:t>智能体应深度嵌入业务流程中，</w:t>
      </w:r>
      <w:r>
        <w:rPr>
          <w:rFonts w:hint="eastAsia" w:ascii="宋体" w:hAnsi="宋体" w:eastAsia="宋体" w:cs="宋体"/>
          <w:b w:val="0"/>
          <w:sz w:val="24"/>
        </w:rPr>
        <w:t>医师无需在多个系统间切换。</w:t>
      </w:r>
    </w:p>
    <w:p w14:paraId="5938EAEF">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以事件驱动为触发，智能体的启动由业务事件自动触发，例如“患者办理入院”事件触发住院病历智能体预生成入院记录框架；“手术结束”事件触发手术记录智能体；“会诊意见提交”事件触发会诊记录智能体</w:t>
      </w:r>
      <w:r>
        <w:rPr>
          <w:rFonts w:hint="eastAsia" w:ascii="宋体" w:hAnsi="宋体" w:eastAsia="宋体" w:cs="宋体"/>
          <w:b w:val="0"/>
          <w:sz w:val="24"/>
          <w:lang w:eastAsia="zh-CN"/>
        </w:rPr>
        <w:t>，</w:t>
      </w:r>
      <w:r>
        <w:rPr>
          <w:rFonts w:hint="eastAsia" w:ascii="宋体" w:hAnsi="宋体" w:eastAsia="宋体" w:cs="宋体"/>
          <w:b w:val="0"/>
          <w:sz w:val="24"/>
          <w:lang w:val="en-US" w:eastAsia="zh-CN"/>
        </w:rPr>
        <w:t>这样可以大幅减少医生的等待推理时间，反而更为高效的利用了底层的算力资源</w:t>
      </w:r>
      <w:r>
        <w:rPr>
          <w:rFonts w:hint="eastAsia" w:ascii="宋体" w:hAnsi="宋体" w:eastAsia="宋体" w:cs="宋体"/>
          <w:b w:val="0"/>
          <w:sz w:val="24"/>
        </w:rPr>
        <w:t>。</w:t>
      </w:r>
    </w:p>
    <w:p w14:paraId="34C7D1C5">
      <w:pPr>
        <w:pStyle w:val="5"/>
        <w:bidi w:val="0"/>
        <w:rPr>
          <w:rFonts w:hint="eastAsia" w:ascii="宋体" w:hAnsi="宋体" w:eastAsia="宋体" w:cs="宋体"/>
        </w:rPr>
      </w:pPr>
      <w:r>
        <w:rPr>
          <w:rFonts w:hint="eastAsia" w:ascii="宋体" w:hAnsi="宋体" w:eastAsia="宋体" w:cs="宋体"/>
        </w:rPr>
        <w:t>1.7.2 编排核心能力</w:t>
      </w:r>
    </w:p>
    <w:p w14:paraId="5376AAFD">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b w:val="0"/>
          <w:sz w:val="24"/>
        </w:rPr>
        <w:t>平台编排引擎提供以下核心能力</w:t>
      </w:r>
      <w:r>
        <w:rPr>
          <w:rFonts w:hint="eastAsia" w:ascii="宋体" w:hAnsi="宋体" w:eastAsia="宋体" w:cs="宋体"/>
          <w:b w:val="0"/>
          <w:sz w:val="24"/>
          <w:lang w:eastAsia="zh-CN"/>
        </w:rPr>
        <w:t>：</w:t>
      </w:r>
    </w:p>
    <w:p w14:paraId="0E59B4EA">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一，可视化流程编排。以拖拽方式搭建流程，节点类型包括：开始/结束节点、数据获取节点（调用接口取数）、知识检索节点、模型调用节点、条件分支节点、循环节点、并行节点、人工确认节点、格式校验节点、结果回写节点、通知节点、异常处理节点。流程画布支持嵌套子流程，便于复用。</w:t>
      </w:r>
    </w:p>
    <w:p w14:paraId="581FA9D2">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二，意图识别与任务规划。面对用户的自然语言指令（如“帮我把这个病人的出院小结整理一下，重点写清楚住院期间的抗感染治疗经过”），智能体通过意图识别判断用户要做什么，通过任务规划拆解为若干子任务，并选择合适的工具与知识去完成。</w:t>
      </w:r>
    </w:p>
    <w:p w14:paraId="0869951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第三，工具调用（Function Calling）。将院内各系统的能力封装为标准工具，供智能体调用。工具清单示例：查询患者基本信息、查询本次就诊记录、查询检验检查结果、查询医嘱与用药记录、查询手术麻醉记录、查询会诊记录、查询护理记录、查询历史病历、检索知识库、查询ICD编码、写回病历文书、发起质控任务、发送提醒消息。每个工具定义清晰的输入输出参数、权限要求与调用频次限制。</w:t>
      </w:r>
    </w:p>
    <w:p w14:paraId="0561B0F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四，上下文管理。管理智能体的“记忆”，包括本次会话上下文、当前患者上下文、历史交互上下文。对于长住院患者，采用“摘要+关键节点”的方式压缩历史信息，避免超出模型上下文窗口；对于跨会话的连续性任务（如持续跟踪某患者的质控问题整改），采用持久化状态存储。</w:t>
      </w:r>
    </w:p>
    <w:p w14:paraId="02B9AAB4">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第五，多智能体协同。支持多种协同模式：串行协同（A 完成后触发 B）、并行协同（多个智能体同时处理不同文书）、主从协同（由调度智能体分派任务给专业智能体）、评审协同（生成智能体产出内容，评审智能体独立复核）。智能体之间通过标准消息格式通信，不直接耦合。</w:t>
      </w:r>
    </w:p>
    <w:p w14:paraId="1C21888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第六，人工确认与干预。在流程中设置人工确认节点，支持“全量确认”（每条内容都要医师确认）、“差异确认”（仅对 AI 生成的、医师未修改的部分确认）、“抽样确认”（按比例抽检）三种模式，由业务部门按风险等级选择。人工可对 AI 输出进行采纳、修改、拒绝，并可直接给 AI 下达修改指令（如“把这段改短一点”“补充一下血糖监测情况”），形成多轮协作。</w:t>
      </w:r>
    </w:p>
    <w:p w14:paraId="197339EB">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第七，异常处理与降级。每个流程节点均可配置超时、重试与降级策略。例如模型调用超时时自动重试一次，仍失败则降级至备用模型，再失败则转人工处理并提示“AI 服务暂时不可用，请手工书写”，确保业务流程不因 AI 故障而中断。</w:t>
      </w:r>
    </w:p>
    <w:p w14:paraId="188B6B5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第八，运行监控与流程分析。可视化查看每个流程实例的执行轨迹（经过了哪些节点、每步耗时、模型调用情况、人工干预点），统计各流程的完成率、平均耗时、人工修改率，为流程优化提供依据。</w:t>
      </w:r>
    </w:p>
    <w:p w14:paraId="5E0217FA">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第九，全链路追踪与断点接续。每次调用生成唯一链路标识，串联请求来源、取数结果、检索命中、模型版本、各节点耗时、输出结果与医师最终处置，用于故障定位、效果归因与成本核算；对于跨会话的连续性任务，系统保留任务上下文、工具使用范围与执行状态，支持中断后在恢复点接续处理，也便于专业人员接手他人未完成的任务。</w:t>
      </w:r>
    </w:p>
    <w:p w14:paraId="3BFE1A04">
      <w:pPr>
        <w:pStyle w:val="5"/>
        <w:bidi w:val="0"/>
        <w:rPr>
          <w:rFonts w:hint="eastAsia" w:ascii="宋体" w:hAnsi="宋体" w:eastAsia="宋体" w:cs="宋体"/>
        </w:rPr>
      </w:pPr>
      <w:r>
        <w:rPr>
          <w:rFonts w:hint="eastAsia" w:ascii="宋体" w:hAnsi="宋体" w:eastAsia="宋体" w:cs="宋体"/>
        </w:rPr>
        <w:t>1.7.</w:t>
      </w:r>
      <w:r>
        <w:rPr>
          <w:rFonts w:hint="eastAsia" w:ascii="宋体" w:hAnsi="宋体" w:eastAsia="宋体" w:cs="宋体"/>
          <w:lang w:val="en-US" w:eastAsia="zh-CN"/>
        </w:rPr>
        <w:t>3</w:t>
      </w:r>
      <w:r>
        <w:rPr>
          <w:rFonts w:hint="eastAsia" w:ascii="宋体" w:hAnsi="宋体" w:eastAsia="宋体" w:cs="宋体"/>
        </w:rPr>
        <w:t xml:space="preserve"> 生命周期管理</w:t>
      </w:r>
    </w:p>
    <w:p w14:paraId="626A02DB">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一、</w:t>
      </w:r>
      <w:r>
        <w:rPr>
          <w:rFonts w:hint="eastAsia" w:ascii="宋体" w:hAnsi="宋体" w:eastAsia="宋体" w:cs="宋体"/>
          <w:b w:val="0"/>
          <w:sz w:val="24"/>
        </w:rPr>
        <w:t>注册与准入。智能体上线须完成注册，登记名称、业务归属部门、责任人、适用场景、输入数据范围、输出内容类型、风险等级、依赖的模型与知识库、接口清单。</w:t>
      </w:r>
    </w:p>
    <w:p w14:paraId="03D61CA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二、</w:t>
      </w:r>
      <w:r>
        <w:rPr>
          <w:rFonts w:hint="eastAsia" w:ascii="宋体" w:hAnsi="宋体" w:eastAsia="宋体" w:cs="宋体"/>
          <w:b w:val="0"/>
          <w:sz w:val="24"/>
        </w:rPr>
        <w:t>分级分类管理。按医疗风险等级将智能体分为三级：低风险（如操作问答、文档摘要，不涉及临床判断）、中风险（如病历文书生成，需医师确认）、高风险（如质控结论、诊疗相关建议，需专家复核与更严格的评测）。不同风险等级对应不同的评测门槛、确认要求与监控强度。</w:t>
      </w:r>
    </w:p>
    <w:p w14:paraId="3097488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三、</w:t>
      </w:r>
      <w:r>
        <w:rPr>
          <w:rFonts w:hint="eastAsia" w:ascii="宋体" w:hAnsi="宋体" w:eastAsia="宋体" w:cs="宋体"/>
          <w:b w:val="0"/>
          <w:sz w:val="24"/>
        </w:rPr>
        <w:t>上线前评测。智能体上线前须通过三类评测：功能评测（能否正确完成特定任务）、质量评测（在标准测试集上的准确性、规范性）、安全评测（对抗性测试、边界测试、合规检查）。评测报告作为上线审批依据。</w:t>
      </w:r>
    </w:p>
    <w:p w14:paraId="0E0D8B2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四、</w:t>
      </w:r>
      <w:r>
        <w:rPr>
          <w:rFonts w:hint="eastAsia" w:ascii="宋体" w:hAnsi="宋体" w:eastAsia="宋体" w:cs="宋体"/>
          <w:b w:val="0"/>
          <w:sz w:val="24"/>
        </w:rPr>
        <w:t>运行监控与效果评估。持续监控使用量、采纳率、修改率、用户反馈、异常率，定期形成效果评估报告，对效果不达预期的智能体进行优化或下线。</w:t>
      </w:r>
    </w:p>
    <w:p w14:paraId="70C49FBE">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五、</w:t>
      </w:r>
      <w:r>
        <w:rPr>
          <w:rFonts w:hint="eastAsia" w:ascii="宋体" w:hAnsi="宋体" w:eastAsia="宋体" w:cs="宋体"/>
          <w:b w:val="0"/>
          <w:sz w:val="24"/>
        </w:rPr>
        <w:t>版本迭代与灰度发布。智能体升级采用灰度策略，先在小范围科室试用，验证稳定与效果后全量推广，保留快速回滚能力。</w:t>
      </w:r>
    </w:p>
    <w:p w14:paraId="6F3FCA0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六、</w:t>
      </w:r>
      <w:r>
        <w:rPr>
          <w:rFonts w:hint="eastAsia" w:ascii="宋体" w:hAnsi="宋体" w:eastAsia="宋体" w:cs="宋体"/>
          <w:b w:val="0"/>
          <w:sz w:val="24"/>
        </w:rPr>
        <w:t>退役机制。业务需求变化或技术方案迭代导致智能体不再适用时，按流程下线，保留历史数据与审计记录。</w:t>
      </w:r>
    </w:p>
    <w:p w14:paraId="019E93F8">
      <w:pPr>
        <w:pStyle w:val="4"/>
        <w:bidi w:val="0"/>
        <w:rPr>
          <w:rFonts w:hint="eastAsia" w:ascii="宋体" w:hAnsi="宋体" w:eastAsia="宋体" w:cs="宋体"/>
        </w:rPr>
      </w:pPr>
      <w:r>
        <w:rPr>
          <w:rFonts w:hint="eastAsia" w:ascii="宋体" w:hAnsi="宋体" w:eastAsia="宋体" w:cs="宋体"/>
        </w:rPr>
        <w:t>1.8 智能体总体清单</w:t>
      </w:r>
    </w:p>
    <w:p w14:paraId="1B7ECE6E">
      <w:pPr>
        <w:pStyle w:val="5"/>
        <w:bidi w:val="0"/>
        <w:rPr>
          <w:rFonts w:hint="eastAsia" w:ascii="宋体" w:hAnsi="宋体" w:eastAsia="宋体" w:cs="宋体"/>
        </w:rPr>
      </w:pPr>
      <w:r>
        <w:rPr>
          <w:rFonts w:hint="eastAsia" w:ascii="宋体" w:hAnsi="宋体" w:eastAsia="宋体" w:cs="宋体"/>
        </w:rPr>
        <w:t>1.8.1 智能体</w:t>
      </w:r>
      <w:r>
        <w:rPr>
          <w:rFonts w:hint="eastAsia" w:ascii="宋体" w:hAnsi="宋体" w:eastAsia="宋体" w:cs="宋体"/>
          <w:lang w:val="en-US" w:eastAsia="zh-CN"/>
        </w:rPr>
        <w:t>建设清单</w:t>
      </w:r>
    </w:p>
    <w:p w14:paraId="5922F742">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b w:val="0"/>
          <w:sz w:val="24"/>
        </w:rPr>
        <w:t>各智能体的定位如下表所示</w:t>
      </w:r>
      <w:r>
        <w:rPr>
          <w:rFonts w:hint="eastAsia" w:ascii="宋体" w:hAnsi="宋体" w:eastAsia="宋体" w:cs="宋体"/>
          <w:b w:val="0"/>
          <w:sz w:val="24"/>
          <w:lang w:eastAsia="zh-CN"/>
        </w:rPr>
        <w:t>：</w:t>
      </w:r>
    </w:p>
    <w:tbl>
      <w:tblPr>
        <w:tblStyle w:val="33"/>
        <w:tblW w:w="90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7"/>
        <w:gridCol w:w="1751"/>
        <w:gridCol w:w="1631"/>
        <w:gridCol w:w="1716"/>
        <w:gridCol w:w="3186"/>
      </w:tblGrid>
      <w:tr w14:paraId="38C5B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57" w:type="dxa"/>
            <w:shd w:val="clear" w:color="auto" w:fill="E8EDF3"/>
            <w:vAlign w:val="center"/>
          </w:tcPr>
          <w:p w14:paraId="424487CB">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b/>
                <w:sz w:val="21"/>
              </w:rPr>
            </w:pPr>
            <w:r>
              <w:rPr>
                <w:rFonts w:hint="eastAsia" w:ascii="宋体" w:hAnsi="宋体" w:eastAsia="宋体" w:cs="宋体"/>
                <w:b/>
                <w:sz w:val="21"/>
              </w:rPr>
              <w:t>序号</w:t>
            </w:r>
          </w:p>
        </w:tc>
        <w:tc>
          <w:tcPr>
            <w:tcW w:w="0" w:type="auto"/>
            <w:shd w:val="clear" w:color="auto" w:fill="E8EDF3"/>
            <w:vAlign w:val="center"/>
          </w:tcPr>
          <w:p w14:paraId="6EC3FF5F">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b/>
                <w:sz w:val="21"/>
              </w:rPr>
            </w:pPr>
            <w:r>
              <w:rPr>
                <w:rFonts w:hint="eastAsia" w:ascii="宋体" w:hAnsi="宋体" w:eastAsia="宋体" w:cs="宋体"/>
                <w:b/>
                <w:sz w:val="21"/>
              </w:rPr>
              <w:t>智能体名称</w:t>
            </w:r>
          </w:p>
        </w:tc>
        <w:tc>
          <w:tcPr>
            <w:tcW w:w="0" w:type="auto"/>
            <w:shd w:val="clear" w:color="auto" w:fill="E8EDF3"/>
            <w:vAlign w:val="center"/>
          </w:tcPr>
          <w:p w14:paraId="5B9A60B8">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b/>
                <w:sz w:val="21"/>
              </w:rPr>
            </w:pPr>
            <w:r>
              <w:rPr>
                <w:rFonts w:hint="eastAsia" w:ascii="宋体" w:hAnsi="宋体" w:eastAsia="宋体" w:cs="宋体"/>
                <w:b/>
                <w:sz w:val="21"/>
              </w:rPr>
              <w:t>业务定位</w:t>
            </w:r>
          </w:p>
        </w:tc>
        <w:tc>
          <w:tcPr>
            <w:tcW w:w="1716" w:type="dxa"/>
            <w:shd w:val="clear" w:color="auto" w:fill="E8EDF3"/>
            <w:vAlign w:val="center"/>
          </w:tcPr>
          <w:p w14:paraId="45C48CA5">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b/>
                <w:sz w:val="21"/>
              </w:rPr>
            </w:pPr>
            <w:r>
              <w:rPr>
                <w:rFonts w:hint="eastAsia" w:ascii="宋体" w:hAnsi="宋体" w:eastAsia="宋体" w:cs="宋体"/>
                <w:b/>
                <w:sz w:val="21"/>
              </w:rPr>
              <w:t>主要服务对象</w:t>
            </w:r>
          </w:p>
        </w:tc>
        <w:tc>
          <w:tcPr>
            <w:tcW w:w="3186" w:type="dxa"/>
            <w:shd w:val="clear" w:color="auto" w:fill="E8EDF3"/>
            <w:vAlign w:val="center"/>
          </w:tcPr>
          <w:p w14:paraId="25E8FD80">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b/>
                <w:sz w:val="21"/>
              </w:rPr>
            </w:pPr>
            <w:r>
              <w:rPr>
                <w:rFonts w:hint="eastAsia" w:ascii="宋体" w:hAnsi="宋体" w:eastAsia="宋体" w:cs="宋体"/>
                <w:b/>
                <w:sz w:val="21"/>
              </w:rPr>
              <w:t>覆盖的主要功能点</w:t>
            </w:r>
          </w:p>
        </w:tc>
      </w:tr>
      <w:tr w14:paraId="688FB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vAlign w:val="center"/>
          </w:tcPr>
          <w:p w14:paraId="2CF75A8E">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sz w:val="21"/>
              </w:rPr>
            </w:pPr>
            <w:r>
              <w:rPr>
                <w:rFonts w:hint="eastAsia" w:ascii="宋体" w:hAnsi="宋体" w:eastAsia="宋体" w:cs="宋体"/>
                <w:b w:val="0"/>
                <w:sz w:val="21"/>
              </w:rPr>
              <w:t>1</w:t>
            </w:r>
          </w:p>
        </w:tc>
        <w:tc>
          <w:tcPr>
            <w:tcW w:w="0" w:type="auto"/>
            <w:vAlign w:val="center"/>
          </w:tcPr>
          <w:p w14:paraId="3CEF3314">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sz w:val="21"/>
              </w:rPr>
            </w:pPr>
            <w:r>
              <w:rPr>
                <w:rFonts w:hint="eastAsia" w:ascii="宋体" w:hAnsi="宋体" w:eastAsia="宋体" w:cs="宋体"/>
                <w:b w:val="0"/>
                <w:sz w:val="21"/>
              </w:rPr>
              <w:t>门诊病历智能体</w:t>
            </w:r>
          </w:p>
        </w:tc>
        <w:tc>
          <w:tcPr>
            <w:tcW w:w="0" w:type="auto"/>
            <w:vAlign w:val="center"/>
          </w:tcPr>
          <w:p w14:paraId="1CDD8031">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门诊接诊过程的病历生成与规范校验</w:t>
            </w:r>
          </w:p>
        </w:tc>
        <w:tc>
          <w:tcPr>
            <w:tcW w:w="1716" w:type="dxa"/>
            <w:vAlign w:val="center"/>
          </w:tcPr>
          <w:p w14:paraId="4A0A6B48">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门诊医师</w:t>
            </w:r>
          </w:p>
        </w:tc>
        <w:tc>
          <w:tcPr>
            <w:tcW w:w="3186" w:type="dxa"/>
            <w:vAlign w:val="center"/>
          </w:tcPr>
          <w:p w14:paraId="60C49F87">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对话式智能助理、语音生成门诊病历、门诊病历质控、检查检验报告解读</w:t>
            </w:r>
          </w:p>
        </w:tc>
      </w:tr>
      <w:tr w14:paraId="2B6F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757" w:type="dxa"/>
            <w:vAlign w:val="center"/>
          </w:tcPr>
          <w:p w14:paraId="6BF87F95">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sz w:val="21"/>
              </w:rPr>
            </w:pPr>
            <w:r>
              <w:rPr>
                <w:rFonts w:hint="eastAsia" w:ascii="宋体" w:hAnsi="宋体" w:eastAsia="宋体" w:cs="宋体"/>
                <w:b w:val="0"/>
                <w:sz w:val="21"/>
              </w:rPr>
              <w:t>2</w:t>
            </w:r>
          </w:p>
        </w:tc>
        <w:tc>
          <w:tcPr>
            <w:tcW w:w="0" w:type="auto"/>
            <w:vAlign w:val="center"/>
          </w:tcPr>
          <w:p w14:paraId="7BFE5618">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sz w:val="21"/>
              </w:rPr>
            </w:pPr>
            <w:r>
              <w:rPr>
                <w:rFonts w:hint="eastAsia" w:ascii="宋体" w:hAnsi="宋体" w:eastAsia="宋体" w:cs="宋体"/>
                <w:b w:val="0"/>
                <w:sz w:val="21"/>
              </w:rPr>
              <w:t>住院病历智能体</w:t>
            </w:r>
          </w:p>
        </w:tc>
        <w:tc>
          <w:tcPr>
            <w:tcW w:w="0" w:type="auto"/>
            <w:vAlign w:val="center"/>
          </w:tcPr>
          <w:p w14:paraId="72D170D4">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住院全周期病历文书生成</w:t>
            </w:r>
          </w:p>
        </w:tc>
        <w:tc>
          <w:tcPr>
            <w:tcW w:w="1716" w:type="dxa"/>
            <w:vAlign w:val="center"/>
          </w:tcPr>
          <w:p w14:paraId="06BA41C5">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住院医师、主治医师</w:t>
            </w:r>
          </w:p>
        </w:tc>
        <w:tc>
          <w:tcPr>
            <w:tcW w:w="3186" w:type="dxa"/>
            <w:vAlign w:val="center"/>
          </w:tcPr>
          <w:p w14:paraId="6D87B179">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入院记录生成、首次病程生成、病程记录自动生成、住院病情分析、报告解读、移动查房语音与体征录入</w:t>
            </w:r>
          </w:p>
        </w:tc>
      </w:tr>
      <w:tr w14:paraId="0448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vAlign w:val="center"/>
          </w:tcPr>
          <w:p w14:paraId="14A761A7">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sz w:val="21"/>
              </w:rPr>
            </w:pPr>
            <w:r>
              <w:rPr>
                <w:rFonts w:hint="eastAsia" w:ascii="宋体" w:hAnsi="宋体" w:eastAsia="宋体" w:cs="宋体"/>
                <w:b w:val="0"/>
                <w:sz w:val="21"/>
              </w:rPr>
              <w:t>3</w:t>
            </w:r>
          </w:p>
        </w:tc>
        <w:tc>
          <w:tcPr>
            <w:tcW w:w="0" w:type="auto"/>
            <w:vAlign w:val="center"/>
          </w:tcPr>
          <w:p w14:paraId="64B1563C">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sz w:val="21"/>
              </w:rPr>
            </w:pPr>
            <w:r>
              <w:rPr>
                <w:rFonts w:hint="eastAsia" w:ascii="宋体" w:hAnsi="宋体" w:eastAsia="宋体" w:cs="宋体"/>
                <w:b w:val="0"/>
                <w:sz w:val="21"/>
              </w:rPr>
              <w:t>手术记录智能体</w:t>
            </w:r>
          </w:p>
        </w:tc>
        <w:tc>
          <w:tcPr>
            <w:tcW w:w="0" w:type="auto"/>
            <w:vAlign w:val="center"/>
          </w:tcPr>
          <w:p w14:paraId="228ACEC3">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手术相关记录生成与要素核查</w:t>
            </w:r>
          </w:p>
        </w:tc>
        <w:tc>
          <w:tcPr>
            <w:tcW w:w="1716" w:type="dxa"/>
            <w:vAlign w:val="center"/>
          </w:tcPr>
          <w:p w14:paraId="76E327D4">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手术医师、麻醉医师</w:t>
            </w:r>
          </w:p>
        </w:tc>
        <w:tc>
          <w:tcPr>
            <w:tcW w:w="3186" w:type="dxa"/>
            <w:vAlign w:val="center"/>
          </w:tcPr>
          <w:p w14:paraId="39B795B3">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手术记录生成、术后首次病程、手术相关记录一致性核查</w:t>
            </w:r>
          </w:p>
        </w:tc>
      </w:tr>
      <w:tr w14:paraId="550F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vAlign w:val="center"/>
          </w:tcPr>
          <w:p w14:paraId="2157E479">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sz w:val="21"/>
              </w:rPr>
            </w:pPr>
            <w:r>
              <w:rPr>
                <w:rFonts w:hint="eastAsia" w:ascii="宋体" w:hAnsi="宋体" w:eastAsia="宋体" w:cs="宋体"/>
                <w:b w:val="0"/>
                <w:sz w:val="21"/>
              </w:rPr>
              <w:t>4</w:t>
            </w:r>
          </w:p>
        </w:tc>
        <w:tc>
          <w:tcPr>
            <w:tcW w:w="0" w:type="auto"/>
            <w:vAlign w:val="center"/>
          </w:tcPr>
          <w:p w14:paraId="314CACED">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sz w:val="21"/>
              </w:rPr>
            </w:pPr>
            <w:r>
              <w:rPr>
                <w:rFonts w:hint="eastAsia" w:ascii="宋体" w:hAnsi="宋体" w:eastAsia="宋体" w:cs="宋体"/>
                <w:b w:val="0"/>
                <w:sz w:val="21"/>
              </w:rPr>
              <w:t>会诊记录智能体</w:t>
            </w:r>
          </w:p>
        </w:tc>
        <w:tc>
          <w:tcPr>
            <w:tcW w:w="0" w:type="auto"/>
            <w:vAlign w:val="center"/>
          </w:tcPr>
          <w:p w14:paraId="2DEA4BC5">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会诊意见的记录生成与执行追踪</w:t>
            </w:r>
          </w:p>
        </w:tc>
        <w:tc>
          <w:tcPr>
            <w:tcW w:w="1716" w:type="dxa"/>
            <w:vAlign w:val="center"/>
          </w:tcPr>
          <w:p w14:paraId="617A4A4E">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会诊医师、申请科室</w:t>
            </w:r>
          </w:p>
        </w:tc>
        <w:tc>
          <w:tcPr>
            <w:tcW w:w="3186" w:type="dxa"/>
            <w:vAlign w:val="center"/>
          </w:tcPr>
          <w:p w14:paraId="6C0EBF32">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会诊摘要、会诊记录生成、MDT 记录、会诊意见执行追踪</w:t>
            </w:r>
          </w:p>
        </w:tc>
      </w:tr>
      <w:tr w14:paraId="21AAD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vAlign w:val="center"/>
          </w:tcPr>
          <w:p w14:paraId="176F5F74">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sz w:val="21"/>
              </w:rPr>
            </w:pPr>
            <w:r>
              <w:rPr>
                <w:rFonts w:hint="eastAsia" w:ascii="宋体" w:hAnsi="宋体" w:eastAsia="宋体" w:cs="宋体"/>
                <w:b w:val="0"/>
                <w:sz w:val="21"/>
              </w:rPr>
              <w:t>5</w:t>
            </w:r>
          </w:p>
        </w:tc>
        <w:tc>
          <w:tcPr>
            <w:tcW w:w="0" w:type="auto"/>
            <w:vAlign w:val="center"/>
          </w:tcPr>
          <w:p w14:paraId="677767E6">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sz w:val="21"/>
              </w:rPr>
            </w:pPr>
            <w:r>
              <w:rPr>
                <w:rFonts w:hint="eastAsia" w:ascii="宋体" w:hAnsi="宋体" w:eastAsia="宋体" w:cs="宋体"/>
                <w:b w:val="0"/>
                <w:sz w:val="21"/>
              </w:rPr>
              <w:t>护理记录智能体</w:t>
            </w:r>
          </w:p>
        </w:tc>
        <w:tc>
          <w:tcPr>
            <w:tcW w:w="0" w:type="auto"/>
            <w:vAlign w:val="center"/>
          </w:tcPr>
          <w:p w14:paraId="220DC0CF">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护理文书生成与护理措施记录</w:t>
            </w:r>
          </w:p>
        </w:tc>
        <w:tc>
          <w:tcPr>
            <w:tcW w:w="1716" w:type="dxa"/>
            <w:vAlign w:val="center"/>
          </w:tcPr>
          <w:p w14:paraId="71A2D659">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责任护士、护理组长</w:t>
            </w:r>
          </w:p>
        </w:tc>
        <w:tc>
          <w:tcPr>
            <w:tcW w:w="3186" w:type="dxa"/>
            <w:vAlign w:val="center"/>
          </w:tcPr>
          <w:p w14:paraId="419813B5">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护理记录生成、交接班报告、护理评估辅助、护理文书质控</w:t>
            </w:r>
          </w:p>
        </w:tc>
      </w:tr>
      <w:tr w14:paraId="2189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57" w:type="dxa"/>
            <w:vAlign w:val="center"/>
          </w:tcPr>
          <w:p w14:paraId="46748B73">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sz w:val="21"/>
              </w:rPr>
            </w:pPr>
            <w:r>
              <w:rPr>
                <w:rFonts w:hint="eastAsia" w:ascii="宋体" w:hAnsi="宋体" w:eastAsia="宋体" w:cs="宋体"/>
                <w:b w:val="0"/>
                <w:sz w:val="21"/>
              </w:rPr>
              <w:t>6</w:t>
            </w:r>
          </w:p>
        </w:tc>
        <w:tc>
          <w:tcPr>
            <w:tcW w:w="1751" w:type="dxa"/>
            <w:vAlign w:val="center"/>
          </w:tcPr>
          <w:p w14:paraId="1ACF2ADE">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center"/>
              <w:textAlignment w:val="auto"/>
              <w:rPr>
                <w:rFonts w:hint="eastAsia" w:ascii="宋体" w:hAnsi="宋体" w:eastAsia="宋体" w:cs="宋体"/>
                <w:sz w:val="21"/>
              </w:rPr>
            </w:pPr>
            <w:r>
              <w:rPr>
                <w:rFonts w:hint="eastAsia" w:ascii="宋体" w:hAnsi="宋体" w:eastAsia="宋体" w:cs="宋体"/>
                <w:b w:val="0"/>
                <w:sz w:val="21"/>
              </w:rPr>
              <w:t>病历内涵质控智能体</w:t>
            </w:r>
          </w:p>
        </w:tc>
        <w:tc>
          <w:tcPr>
            <w:tcW w:w="1631" w:type="dxa"/>
            <w:vAlign w:val="center"/>
          </w:tcPr>
          <w:p w14:paraId="364DA1C6">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病历形式与内涵质量的智能筛查</w:t>
            </w:r>
          </w:p>
        </w:tc>
        <w:tc>
          <w:tcPr>
            <w:tcW w:w="1716" w:type="dxa"/>
            <w:vAlign w:val="center"/>
          </w:tcPr>
          <w:p w14:paraId="117CDEF0">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质控科、科室质控员、医师</w:t>
            </w:r>
          </w:p>
        </w:tc>
        <w:tc>
          <w:tcPr>
            <w:tcW w:w="3186" w:type="dxa"/>
            <w:vAlign w:val="center"/>
          </w:tcPr>
          <w:p w14:paraId="087781E4">
            <w:pPr>
              <w:keepNext/>
              <w:keepLines w:val="0"/>
              <w:pageBreakBefore w:val="0"/>
              <w:widowControl w:val="0"/>
              <w:kinsoku w:val="0"/>
              <w:wordWrap/>
              <w:overflowPunct/>
              <w:topLinePunct w:val="0"/>
              <w:autoSpaceDE/>
              <w:autoSpaceDN/>
              <w:bidi w:val="0"/>
              <w:adjustRightInd w:val="0"/>
              <w:snapToGrid w:val="0"/>
              <w:spacing w:before="40" w:after="40" w:line="240" w:lineRule="auto"/>
              <w:ind w:left="0" w:leftChars="0" w:right="0" w:rightChars="0" w:firstLine="0" w:firstLineChars="0"/>
              <w:jc w:val="left"/>
              <w:textAlignment w:val="auto"/>
              <w:rPr>
                <w:rFonts w:hint="eastAsia" w:ascii="宋体" w:hAnsi="宋体" w:eastAsia="宋体" w:cs="宋体"/>
                <w:sz w:val="21"/>
              </w:rPr>
            </w:pPr>
            <w:r>
              <w:rPr>
                <w:rFonts w:hint="eastAsia" w:ascii="宋体" w:hAnsi="宋体" w:eastAsia="宋体" w:cs="宋体"/>
                <w:b w:val="0"/>
                <w:sz w:val="21"/>
              </w:rPr>
              <w:t>环节质控、终末质控、病历查重、首页一致性核查、质量指标分析</w:t>
            </w:r>
          </w:p>
        </w:tc>
      </w:tr>
    </w:tbl>
    <w:p w14:paraId="315711A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40" w:firstLineChars="200"/>
        <w:textAlignment w:val="auto"/>
        <w:rPr>
          <w:rFonts w:hint="eastAsia" w:ascii="宋体" w:hAnsi="宋体" w:eastAsia="宋体" w:cs="宋体"/>
        </w:rPr>
      </w:pPr>
    </w:p>
    <w:p w14:paraId="10B5A34D">
      <w:pPr>
        <w:pStyle w:val="5"/>
        <w:bidi w:val="0"/>
        <w:rPr>
          <w:rFonts w:hint="eastAsia" w:ascii="宋体" w:hAnsi="宋体" w:eastAsia="宋体" w:cs="宋体"/>
        </w:rPr>
      </w:pPr>
      <w:r>
        <w:rPr>
          <w:rFonts w:hint="eastAsia" w:ascii="宋体" w:hAnsi="宋体" w:eastAsia="宋体" w:cs="宋体"/>
        </w:rPr>
        <w:t>1.8.2 智能体</w:t>
      </w:r>
      <w:r>
        <w:rPr>
          <w:rFonts w:hint="eastAsia" w:ascii="宋体" w:hAnsi="宋体" w:eastAsia="宋体" w:cs="宋体"/>
          <w:lang w:val="en-US" w:eastAsia="zh-CN"/>
        </w:rPr>
        <w:t>关联</w:t>
      </w:r>
      <w:r>
        <w:rPr>
          <w:rFonts w:hint="eastAsia" w:ascii="宋体" w:hAnsi="宋体" w:eastAsia="宋体" w:cs="宋体"/>
        </w:rPr>
        <w:t>业务系统</w:t>
      </w:r>
    </w:p>
    <w:p w14:paraId="79E3C42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各智能体与医院现有业务系统的对接关系如下。</w:t>
      </w:r>
    </w:p>
    <w:p w14:paraId="3C983FD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门诊病历智能体对接 HIS 门诊工作站、EMR 门诊病历模块、LIS、PACS、门诊药房系统，输出回写 EMR。</w:t>
      </w:r>
    </w:p>
    <w:p w14:paraId="0F1490F1">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住院病历智能体对接 HIS 住院登记、EMR 住院病历模块、LIS、PACS、医嘱系统、手术麻醉系统、移动护理系统（体征数据），输出回写 EMR 与体征信息表。</w:t>
      </w:r>
    </w:p>
    <w:p w14:paraId="06BE2E19">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手术记录智能体对接手术麻醉信息系统、HIS 手术申请、EMR 术前讨论与术后病程、病理系统（标本送检），输出回写 EMR 与手麻系统。</w:t>
      </w:r>
    </w:p>
    <w:p w14:paraId="4FF8EA6E">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会诊记录智能体对接会诊管理系统、EMR、HIS，输出回写会诊记录单与 EMR。</w:t>
      </w:r>
    </w:p>
    <w:p w14:paraId="71EFECDA">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护理记录智能体对接移动护理系统、护理文书系统、HIS 医嘱、监护设备数据（如有接口），输出回写护理文书系统。</w:t>
      </w:r>
    </w:p>
    <w:p w14:paraId="6D474BB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病历内涵质控智能体对接 EMR 全量病历数据、病案首页、HIS 医嘱与计费数据、LIS、PACS、手术麻醉系统、会诊系统、护理文书系统，输出质控结果至质控管理端与医师工作站。</w:t>
      </w:r>
    </w:p>
    <w:p w14:paraId="2CE83E81">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所有对接均通过标准化接口方式实现，智能体不直接访问业务系统数据库，避免对业务系统造成性能影响与安全风险。</w:t>
      </w:r>
    </w:p>
    <w:p w14:paraId="0C14EF64">
      <w:pPr>
        <w:pStyle w:val="4"/>
        <w:bidi w:val="0"/>
        <w:rPr>
          <w:rFonts w:hint="eastAsia" w:ascii="宋体" w:hAnsi="宋体" w:eastAsia="宋体" w:cs="宋体"/>
        </w:rPr>
      </w:pPr>
      <w:r>
        <w:rPr>
          <w:rFonts w:hint="eastAsia" w:ascii="宋体" w:hAnsi="宋体" w:eastAsia="宋体" w:cs="宋体"/>
        </w:rPr>
        <w:t>1.9 各智能体应用场景与功能描述</w:t>
      </w:r>
    </w:p>
    <w:p w14:paraId="5939DE6A">
      <w:pPr>
        <w:pStyle w:val="5"/>
        <w:bidi w:val="0"/>
        <w:rPr>
          <w:rFonts w:hint="eastAsia" w:ascii="宋体" w:hAnsi="宋体" w:eastAsia="宋体" w:cs="宋体"/>
        </w:rPr>
      </w:pPr>
      <w:r>
        <w:rPr>
          <w:rFonts w:hint="eastAsia" w:ascii="宋体" w:hAnsi="宋体" w:eastAsia="宋体" w:cs="宋体"/>
        </w:rPr>
        <w:t>1.9.1 门诊病历智能体</w:t>
      </w:r>
    </w:p>
    <w:p w14:paraId="490607DC">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（1）应用场景</w:t>
      </w:r>
    </w:p>
    <w:p w14:paraId="06A28D9E">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门诊是医院业务量最大、节奏最快的环节。九〇三医院年门急诊量76万余人次，门诊医师日均接诊量大，单次接诊时间有限，而门诊病历又要求记录主诉、现病史、既往史、体格检查、辅助检查、诊断、处理意见等要素，且需符合门（急）诊结构化病历的规范要求。现实中，门诊病历“写得简、写得慢、写得乱”是普遍问题：医师在有限时间内难以完整记录，往往简化为几句话；复诊患者的历史信息需要手工翻阅；初步诊断与处理意见的一致性缺乏校验；门诊病历的规范性直接影响医保审核、门诊质量评价与医疗纠纷举证。</w:t>
      </w:r>
    </w:p>
    <w:p w14:paraId="3351446F">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门诊病历智能体的应用场景包括：门诊初诊病历生成、门诊复诊病历生成、急诊病历生成、专科门诊病历生成（如心血管、呼吸、消化、神经、骨科、儿科、妇产科等）、门诊病历实时质量提示、门诊病历历史信息智能调取。</w:t>
      </w:r>
    </w:p>
    <w:p w14:paraId="23471CF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（2）功能描述</w:t>
      </w:r>
    </w:p>
    <w:p w14:paraId="68E1A3F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一、</w:t>
      </w:r>
      <w:r>
        <w:rPr>
          <w:rFonts w:hint="eastAsia" w:ascii="宋体" w:hAnsi="宋体" w:eastAsia="宋体" w:cs="宋体"/>
          <w:b w:val="0"/>
          <w:sz w:val="24"/>
        </w:rPr>
        <w:t>医患对话实时转写。</w:t>
      </w:r>
      <w:r>
        <w:rPr>
          <w:rFonts w:hint="eastAsia" w:ascii="宋体" w:hAnsi="宋体" w:eastAsia="宋体" w:cs="宋体"/>
          <w:b w:val="0"/>
          <w:sz w:val="24"/>
          <w:lang w:val="en-US" w:eastAsia="zh-CN"/>
        </w:rPr>
        <w:t>该场景对应的功能</w:t>
      </w:r>
      <w:r>
        <w:rPr>
          <w:rFonts w:hint="eastAsia" w:ascii="宋体" w:hAnsi="宋体" w:eastAsia="宋体" w:cs="宋体"/>
          <w:b w:val="0"/>
          <w:sz w:val="24"/>
        </w:rPr>
        <w:t>以“对话式智能助理”的形态嵌入诊室工作台</w:t>
      </w:r>
      <w:r>
        <w:rPr>
          <w:rFonts w:hint="eastAsia" w:ascii="宋体" w:hAnsi="宋体" w:eastAsia="宋体" w:cs="宋体"/>
          <w:b w:val="0"/>
          <w:sz w:val="24"/>
          <w:lang w:eastAsia="zh-CN"/>
        </w:rPr>
        <w:t>，</w:t>
      </w:r>
      <w:r>
        <w:rPr>
          <w:rFonts w:hint="eastAsia" w:ascii="宋体" w:hAnsi="宋体" w:eastAsia="宋体" w:cs="宋体"/>
          <w:b w:val="0"/>
          <w:sz w:val="24"/>
          <w:lang w:val="en-US" w:eastAsia="zh-CN"/>
        </w:rPr>
        <w:t>通过</w:t>
      </w:r>
      <w:r>
        <w:rPr>
          <w:rFonts w:hint="eastAsia" w:ascii="宋体" w:hAnsi="宋体" w:eastAsia="宋体" w:cs="宋体"/>
          <w:b w:val="0"/>
          <w:sz w:val="24"/>
        </w:rPr>
        <w:t>在诊室部署拾音设备或使用医师工作站麦克风，实时采集医患对话，通过医疗场景优化的语音识别模型转写为文本，支持医学术语识别、方言口音适配、医患双方说话人分离。转写结果实时呈现，医师可随时修正明显识别错误。医师无需改变问诊节奏，正常与患者交流即可，</w:t>
      </w:r>
      <w:r>
        <w:rPr>
          <w:rFonts w:hint="eastAsia" w:ascii="宋体" w:hAnsi="宋体" w:eastAsia="宋体" w:cs="宋体"/>
          <w:b w:val="0"/>
          <w:sz w:val="24"/>
          <w:lang w:val="en-US" w:eastAsia="zh-CN"/>
        </w:rPr>
        <w:t>让</w:t>
      </w:r>
      <w:r>
        <w:rPr>
          <w:rFonts w:hint="eastAsia" w:ascii="宋体" w:hAnsi="宋体" w:eastAsia="宋体" w:cs="宋体"/>
          <w:b w:val="0"/>
          <w:sz w:val="24"/>
        </w:rPr>
        <w:t>在医师本来就该说话的场景里，把说过的话变成规范的书面记录。</w:t>
      </w:r>
    </w:p>
    <w:p w14:paraId="190C34DD">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二、</w:t>
      </w:r>
      <w:r>
        <w:rPr>
          <w:rFonts w:hint="eastAsia" w:ascii="宋体" w:hAnsi="宋体" w:eastAsia="宋体" w:cs="宋体"/>
          <w:b w:val="0"/>
          <w:sz w:val="24"/>
        </w:rPr>
        <w:t>历史信息智能调取与摘要。</w:t>
      </w:r>
      <w:r>
        <w:rPr>
          <w:rFonts w:hint="eastAsia" w:ascii="宋体" w:hAnsi="宋体" w:eastAsia="宋体" w:cs="宋体"/>
          <w:b w:val="0"/>
          <w:sz w:val="24"/>
          <w:lang w:val="en-US" w:eastAsia="zh-CN"/>
        </w:rPr>
        <w:t>AI能力会</w:t>
      </w:r>
      <w:r>
        <w:rPr>
          <w:rFonts w:hint="eastAsia" w:ascii="宋体" w:hAnsi="宋体" w:eastAsia="宋体" w:cs="宋体"/>
          <w:b w:val="0"/>
          <w:sz w:val="24"/>
        </w:rPr>
        <w:t>自动</w:t>
      </w:r>
      <w:r>
        <w:rPr>
          <w:rFonts w:hint="eastAsia" w:ascii="宋体" w:hAnsi="宋体" w:eastAsia="宋体" w:cs="宋体"/>
          <w:b w:val="0"/>
          <w:sz w:val="24"/>
          <w:lang w:val="en-US" w:eastAsia="zh-CN"/>
        </w:rPr>
        <w:t>宏泰</w:t>
      </w:r>
      <w:r>
        <w:rPr>
          <w:rFonts w:hint="eastAsia" w:ascii="宋体" w:hAnsi="宋体" w:eastAsia="宋体" w:cs="宋体"/>
          <w:b w:val="0"/>
          <w:sz w:val="24"/>
        </w:rPr>
        <w:t>调取患者基本信息、既往门诊与住院记录、既往诊断、长期用药、过敏史、近期检验检查结果，生成结构化摘要</w:t>
      </w:r>
      <w:r>
        <w:rPr>
          <w:rFonts w:hint="eastAsia" w:ascii="宋体" w:hAnsi="宋体" w:eastAsia="宋体" w:cs="宋体"/>
          <w:b w:val="0"/>
          <w:sz w:val="24"/>
          <w:lang w:val="en-US" w:eastAsia="zh-CN"/>
        </w:rPr>
        <w:t>汇总在病历中</w:t>
      </w:r>
      <w:r>
        <w:rPr>
          <w:rFonts w:hint="eastAsia" w:ascii="宋体" w:hAnsi="宋体" w:eastAsia="宋体" w:cs="宋体"/>
          <w:b w:val="0"/>
          <w:sz w:val="24"/>
        </w:rPr>
        <w:t>，避免重复询问与手工翻阅。对于多次就诊的慢病患者，</w:t>
      </w:r>
      <w:r>
        <w:rPr>
          <w:rFonts w:hint="eastAsia" w:ascii="宋体" w:hAnsi="宋体" w:eastAsia="宋体" w:cs="宋体"/>
          <w:b w:val="0"/>
          <w:sz w:val="24"/>
          <w:lang w:val="en-US" w:eastAsia="zh-CN"/>
        </w:rPr>
        <w:t>支持</w:t>
      </w:r>
      <w:r>
        <w:rPr>
          <w:rFonts w:hint="eastAsia" w:ascii="宋体" w:hAnsi="宋体" w:eastAsia="宋体" w:cs="宋体"/>
          <w:b w:val="0"/>
          <w:sz w:val="24"/>
        </w:rPr>
        <w:t>自动梳理“上次就诊以来的变化”，突出重点。</w:t>
      </w:r>
    </w:p>
    <w:p w14:paraId="4D2B29F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三、</w:t>
      </w:r>
      <w:r>
        <w:rPr>
          <w:rFonts w:hint="eastAsia" w:ascii="宋体" w:hAnsi="宋体" w:eastAsia="宋体" w:cs="宋体"/>
          <w:b w:val="0"/>
          <w:sz w:val="24"/>
        </w:rPr>
        <w:t>门诊病历结构化生成。基于对话转写内容、历史信息、本次检验检查结果，按门诊病历规范结构生成病历草稿，各要素分别成段，诊断与处理意见自动关联。对于初诊与复诊采用不同的生成策略：初诊侧重完整采集，复诊侧重变化描述与延续性治疗。</w:t>
      </w:r>
    </w:p>
    <w:p w14:paraId="05DD203C">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四、</w:t>
      </w:r>
      <w:r>
        <w:rPr>
          <w:rFonts w:hint="eastAsia" w:ascii="宋体" w:hAnsi="宋体" w:eastAsia="宋体" w:cs="宋体"/>
          <w:b w:val="0"/>
          <w:sz w:val="24"/>
        </w:rPr>
        <w:t>诊断与处理建议辅助。基于主诉、症状、体征、检查结果，结合知识库中的诊疗指南与临床路径，提示可能的鉴别诊断方向与常规检查项目建议，供医师参考决策。所有建议均标注依据来源，并明确标注为“参考建议”，由医师自主决定是否采纳。</w:t>
      </w:r>
    </w:p>
    <w:p w14:paraId="1F4D4C84">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五、</w:t>
      </w:r>
      <w:r>
        <w:rPr>
          <w:rFonts w:hint="eastAsia" w:ascii="宋体" w:hAnsi="宋体" w:eastAsia="宋体" w:cs="宋体"/>
          <w:b w:val="0"/>
          <w:sz w:val="24"/>
        </w:rPr>
        <w:t>门诊病历实时质控。在医师书写与保存过程中实时校验：必填要素是否完整、主诉与现病史是否对应、现病史时间线是否清晰、诊断名称是否规范（是否符合ICD编码）、诊断与用药是否匹配、处理意见是否明确、是否存在不合理复制粘贴。发现问题即时提示，医师可一键采纳修改建议。</w:t>
      </w:r>
    </w:p>
    <w:p w14:paraId="12A624E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六、</w:t>
      </w:r>
      <w:r>
        <w:rPr>
          <w:rFonts w:hint="eastAsia" w:ascii="宋体" w:hAnsi="宋体" w:eastAsia="宋体" w:cs="宋体"/>
          <w:b w:val="0"/>
          <w:sz w:val="24"/>
        </w:rPr>
        <w:t>辅助检查结果解读。智能体的辅助检查解读能力</w:t>
      </w:r>
      <w:r>
        <w:rPr>
          <w:rFonts w:hint="eastAsia" w:ascii="宋体" w:hAnsi="宋体" w:eastAsia="宋体" w:cs="宋体"/>
          <w:b w:val="0"/>
          <w:sz w:val="24"/>
          <w:lang w:val="en-US" w:eastAsia="zh-CN"/>
        </w:rPr>
        <w:t>支持</w:t>
      </w:r>
      <w:r>
        <w:rPr>
          <w:rFonts w:hint="eastAsia" w:ascii="宋体" w:hAnsi="宋体" w:eastAsia="宋体" w:cs="宋体"/>
          <w:b w:val="0"/>
          <w:sz w:val="24"/>
        </w:rPr>
        <w:t>对检验报告，自动识别异常项、标注异常方向与偏离幅度、结合患者诊断与用药史给出可能的临床解释与需关注方向（如“肝功能指标升高，需结合近期用药史评估药物性肝损可能”）；对检查报告（影像、超声、心电图等），提取报告中的关键描述与结论，转化为医师易快速把握的要点摘要，并提示与既往同类检查的对比变化。解读内容一律标注“辅助解读，不作为诊断依据”，最终判断由医师作出。这一能力在门诊与住院场景共用同一套底层组件，避免重复建设。</w:t>
      </w:r>
    </w:p>
    <w:p w14:paraId="5ED711E1">
      <w:pPr>
        <w:pStyle w:val="5"/>
        <w:bidi w:val="0"/>
        <w:rPr>
          <w:rFonts w:hint="eastAsia" w:ascii="宋体" w:hAnsi="宋体" w:eastAsia="宋体" w:cs="宋体"/>
        </w:rPr>
      </w:pPr>
      <w:r>
        <w:rPr>
          <w:rFonts w:hint="eastAsia" w:ascii="宋体" w:hAnsi="宋体" w:eastAsia="宋体" w:cs="宋体"/>
        </w:rPr>
        <w:t>1.9.2 住院病历智能体</w:t>
      </w:r>
    </w:p>
    <w:p w14:paraId="4F2F389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（1）应用场景</w:t>
      </w:r>
    </w:p>
    <w:p w14:paraId="722B585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住院病历是病历质量管理的重中之重，也是医师工作负担最集中的部分。一位住院医师往往同时管理多名患者，需要完成入院记录、首次病程记录、日常病程记录、上级医师查房记录、疑难病例讨论记录、阶段小结、出院记录等大量文书，且各类文书均有严格的时限要求（如入院记录24小时内完成、手术记录24小时内完成、出院记录24小时内完成）与内容要求。同时，住院病历的内涵质量是等级医院评审、病历内涵质量提升行动、DRG 付费管理的核心关注点。</w:t>
      </w:r>
    </w:p>
    <w:p w14:paraId="1D1C5C3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住院病历智能体的应用场景包括：入院记录生成、首次病程记录生成、日常病程记录生成、上级医师查房记录整理、阶段小结生成、出院记录生成、出院医嘱与用药指导生成、住院病历完整性提醒。</w:t>
      </w:r>
    </w:p>
    <w:p w14:paraId="0DE2044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（2）功能描述。</w:t>
      </w:r>
    </w:p>
    <w:p w14:paraId="37E6140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一、</w:t>
      </w:r>
      <w:r>
        <w:rPr>
          <w:rFonts w:hint="eastAsia" w:ascii="宋体" w:hAnsi="宋体" w:eastAsia="宋体" w:cs="宋体"/>
          <w:b w:val="0"/>
          <w:sz w:val="24"/>
        </w:rPr>
        <w:t>入院记录智能生成。患者办理入院后，智能体自动汇聚入院登记信息、门诊病历、既往住院病历、入院前检验检查结果、既往用药史，生成入院记录草稿，涵盖主诉、现病史、既往史、个人史（职业、生活习惯）、婚育史、家族史、体格检查、专科检查、辅助检查、初步诊断、诊疗计划等要素。其中主诉与现病史的生成严格基于门诊记录与患者陈述，不虚构症状与时间；既往史与个人史从历史病历中提取并标注来源；初步诊断按规范格式书写并关联ICD编码建议。</w:t>
      </w:r>
    </w:p>
    <w:p w14:paraId="6E42BDD9">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二、</w:t>
      </w:r>
      <w:r>
        <w:rPr>
          <w:rFonts w:hint="eastAsia" w:ascii="宋体" w:hAnsi="宋体" w:eastAsia="宋体" w:cs="宋体"/>
          <w:b w:val="0"/>
          <w:sz w:val="24"/>
        </w:rPr>
        <w:t>首次病程记录智能生成。基于入院记录提炼病例特点（简明扼要归纳本例的临床特征），生成拟诊讨论（初步诊断、诊断依据、鉴别诊断及依据），生成诊疗计划（检查计划、治疗计划、护理级别、饮食要求）。诊断依据与鉴别诊断的表述引用知识库中的诊疗指南，确保专业性与规范性。</w:t>
      </w:r>
    </w:p>
    <w:p w14:paraId="410D9EFE">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三、</w:t>
      </w:r>
      <w:r>
        <w:rPr>
          <w:rFonts w:hint="eastAsia" w:ascii="宋体" w:hAnsi="宋体" w:eastAsia="宋体" w:cs="宋体"/>
          <w:b w:val="0"/>
          <w:sz w:val="24"/>
        </w:rPr>
        <w:t>日常病程记录智能生成。每日查房后，智能体</w:t>
      </w:r>
      <w:r>
        <w:rPr>
          <w:rFonts w:hint="eastAsia" w:ascii="宋体" w:hAnsi="宋体" w:eastAsia="宋体" w:cs="宋体"/>
          <w:b w:val="0"/>
          <w:sz w:val="24"/>
          <w:lang w:val="en-US" w:eastAsia="zh-CN"/>
        </w:rPr>
        <w:t>结合查房时的语音记录，同步</w:t>
      </w:r>
      <w:r>
        <w:rPr>
          <w:rFonts w:hint="eastAsia" w:ascii="宋体" w:hAnsi="宋体" w:eastAsia="宋体" w:cs="宋体"/>
          <w:b w:val="0"/>
          <w:sz w:val="24"/>
        </w:rPr>
        <w:t>汇聚当日医嘱变化、检验检查结果、护理记录、患者主诉，生成病程记录草稿，重点体现：患者当前症状体征变化、新出的检验检查结果及其分析、医嘱调整内容及调整理由、上级医师查房意见、下一步诊疗计划。对于病情稳定的患者，生成简洁规范的记录；对于病情变化的患者，重点提示需要分析的内容（如“今日血糖较前升高，需分析原因并调整方案”）。</w:t>
      </w:r>
    </w:p>
    <w:p w14:paraId="125F58FF">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四、</w:t>
      </w:r>
      <w:r>
        <w:rPr>
          <w:rFonts w:hint="eastAsia" w:ascii="宋体" w:hAnsi="宋体" w:eastAsia="宋体" w:cs="宋体"/>
          <w:b w:val="0"/>
          <w:sz w:val="24"/>
        </w:rPr>
        <w:t>上级医师查房记录整理。支持上级医师查房时语音记录，智能体转写后整理为规范的查房记录，体现上级医师对病情分析、诊断意见、诊疗方案调整的指示，避免“记录过于简单、未体现上级医师意见”这一常见缺陷。</w:t>
      </w:r>
    </w:p>
    <w:p w14:paraId="7AB7FE0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五、</w:t>
      </w:r>
      <w:r>
        <w:rPr>
          <w:rFonts w:hint="eastAsia" w:ascii="宋体" w:hAnsi="宋体" w:eastAsia="宋体" w:cs="宋体"/>
          <w:b w:val="0"/>
          <w:sz w:val="24"/>
        </w:rPr>
        <w:t>阶段小结与出院记录生成。住院时间较长的患者，自动生成阶段小结（诊疗经过摘要、当前病情、存在问题、下一步计划）。出院时生成出院记录，包括入院情况、诊疗经过（按时间顺序梳理关键诊疗节点）、出院诊断（主次分明、编码规范）、出院情况、出院医嘱（用药、复查、注意事项）。出院医嘱的用药说明结合药学部知识库生成，包含用法用量、注意事项、可能的不良反应提示。</w:t>
      </w:r>
    </w:p>
    <w:p w14:paraId="154ED08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六、</w:t>
      </w:r>
      <w:r>
        <w:rPr>
          <w:rFonts w:hint="eastAsia" w:ascii="宋体" w:hAnsi="宋体" w:eastAsia="宋体" w:cs="宋体"/>
          <w:b w:val="0"/>
          <w:sz w:val="24"/>
        </w:rPr>
        <w:t>住院病情综合分析。智能体提供病情综合分析能力：自动汇聚患者入院以来的关键节点（主要症状体征变化、重要检验检查结果的动态趋势、治疗方案的调整过程、并发症与处理），生成结构化的病情分析报告，内容包括当前病情概要、主要问题的演变判断、治疗反应评估、需要关注的风险点与建议的复查监测方向。分析报告支持按需生成（如上级医师查房前、疑难病例讨论前、转科前）。</w:t>
      </w:r>
    </w:p>
    <w:p w14:paraId="669579C1">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val="en-US" w:eastAsia="zh-CN"/>
        </w:rPr>
        <w:t>七</w:t>
      </w:r>
      <w:r>
        <w:rPr>
          <w:rFonts w:hint="eastAsia" w:ascii="宋体" w:hAnsi="宋体" w:eastAsia="宋体" w:cs="宋体"/>
          <w:b w:val="0"/>
          <w:sz w:val="24"/>
          <w:lang w:eastAsia="zh-CN"/>
        </w:rPr>
        <w:t>、</w:t>
      </w:r>
      <w:r>
        <w:rPr>
          <w:rFonts w:hint="eastAsia" w:ascii="宋体" w:hAnsi="宋体" w:eastAsia="宋体" w:cs="宋体"/>
          <w:b w:val="0"/>
          <w:sz w:val="24"/>
        </w:rPr>
        <w:t>住院场景的语音采集与移动查房支持。智能体支持移动查房形态：医师在查房过程中通过移动终端语音记录查房过程，系统转写并整理为规范的病程记录草稿；同时支持以语音方式录入患者体征数据（如“今日体温37.2，血压130/80，心率82”），系统识别数值与单位后按规范格式回写至体征信息表，减少护士站与医师工作站的重复录入。</w:t>
      </w:r>
    </w:p>
    <w:p w14:paraId="19B0468B">
      <w:pPr>
        <w:pStyle w:val="5"/>
        <w:bidi w:val="0"/>
        <w:rPr>
          <w:rFonts w:hint="eastAsia" w:ascii="宋体" w:hAnsi="宋体" w:eastAsia="宋体" w:cs="宋体"/>
        </w:rPr>
      </w:pPr>
      <w:r>
        <w:rPr>
          <w:rFonts w:hint="eastAsia" w:ascii="宋体" w:hAnsi="宋体" w:eastAsia="宋体" w:cs="宋体"/>
        </w:rPr>
        <w:t>1.9.3 手术记录智能体</w:t>
      </w:r>
    </w:p>
    <w:p w14:paraId="09C61E7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（1）应用场景</w:t>
      </w:r>
    </w:p>
    <w:p w14:paraId="6154780D">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手术记录需在术后24小时内完成，内容包括术前诊断、术中诊断、手术名称、手术者及助手、麻醉方式、手术经过、术中出现的情况及处理、出血量、输血情况、切除标本去向、植入物情况、术者签名等。实际工作中，手术医师常在两台手术之间或手术结束后疲惫状态下补写记录，容易出现要素遗漏、手术经过描述简略、术中出现的问题未记录、植入物信息不全等问题。同时，手术记录与术前讨论、麻醉记录、手术安全核查表、病理申请单之间的一致性，是病历质控的重点检查项。</w:t>
      </w:r>
    </w:p>
    <w:p w14:paraId="5189CC1B">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手术记录智能体的应用场景包括：常规手术记录生成、急诊手术记录生成、多学科联合手术记录生成、微创与介入手术记录生成、术后首次病程记录生成、手术相关记录一致性核查。</w:t>
      </w:r>
    </w:p>
    <w:p w14:paraId="418D139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（2）功能描述。</w:t>
      </w:r>
    </w:p>
    <w:p w14:paraId="4A7C3A9E">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b w:val="0"/>
          <w:sz w:val="24"/>
          <w:lang w:eastAsia="zh-CN"/>
        </w:rPr>
        <w:t>一、</w:t>
      </w:r>
      <w:r>
        <w:rPr>
          <w:rFonts w:hint="eastAsia" w:ascii="宋体" w:hAnsi="宋体" w:eastAsia="宋体" w:cs="宋体"/>
          <w:b w:val="0"/>
          <w:sz w:val="24"/>
        </w:rPr>
        <w:t>手术信息自动汇聚。从手术麻醉信息系统获取手术名称、手术级别、术者与助手、麻醉方式与麻醉医师、手术起止时间、术中出血量、输血情况、术中用药、生命体征监测数据；从 EMR 获取术前讨论记录、术前小结、术前诊断、影像与检验结果；从物资管理系统获取植入物与高值耗材信息；从病理系统获取标本送检信息</w:t>
      </w:r>
      <w:r>
        <w:rPr>
          <w:rFonts w:hint="eastAsia" w:ascii="宋体" w:hAnsi="宋体" w:eastAsia="宋体" w:cs="宋体"/>
          <w:b w:val="0"/>
          <w:sz w:val="24"/>
          <w:lang w:eastAsia="zh-CN"/>
        </w:rPr>
        <w:t>；</w:t>
      </w:r>
      <w:r>
        <w:rPr>
          <w:rFonts w:hint="eastAsia" w:ascii="宋体" w:hAnsi="宋体" w:eastAsia="宋体" w:cs="宋体"/>
          <w:b w:val="0"/>
          <w:sz w:val="24"/>
          <w:lang w:val="en-US" w:eastAsia="zh-CN"/>
        </w:rPr>
        <w:t>结合术中语音记录转义为文本进行过程解析补充。</w:t>
      </w:r>
    </w:p>
    <w:p w14:paraId="0999FC71">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二、</w:t>
      </w:r>
      <w:r>
        <w:rPr>
          <w:rFonts w:hint="eastAsia" w:ascii="宋体" w:hAnsi="宋体" w:eastAsia="宋体" w:cs="宋体"/>
          <w:b w:val="0"/>
          <w:sz w:val="24"/>
        </w:rPr>
        <w:t>手术经过结构化生成。按“体位与切口</w:t>
      </w:r>
      <w:r>
        <w:rPr>
          <w:rFonts w:hint="eastAsia" w:ascii="宋体" w:hAnsi="宋体" w:eastAsia="宋体" w:cs="宋体"/>
          <w:b w:val="0"/>
          <w:sz w:val="24"/>
          <w:lang w:eastAsia="zh-CN"/>
        </w:rPr>
        <w:t>、</w:t>
      </w:r>
      <w:r>
        <w:rPr>
          <w:rFonts w:hint="eastAsia" w:ascii="宋体" w:hAnsi="宋体" w:eastAsia="宋体" w:cs="宋体"/>
          <w:b w:val="0"/>
          <w:sz w:val="24"/>
        </w:rPr>
        <w:t>探查所见</w:t>
      </w:r>
      <w:r>
        <w:rPr>
          <w:rFonts w:hint="eastAsia" w:ascii="宋体" w:hAnsi="宋体" w:eastAsia="宋体" w:cs="宋体"/>
          <w:b w:val="0"/>
          <w:sz w:val="24"/>
          <w:lang w:eastAsia="zh-CN"/>
        </w:rPr>
        <w:t>、</w:t>
      </w:r>
      <w:r>
        <w:rPr>
          <w:rFonts w:hint="eastAsia" w:ascii="宋体" w:hAnsi="宋体" w:eastAsia="宋体" w:cs="宋体"/>
          <w:b w:val="0"/>
          <w:sz w:val="24"/>
        </w:rPr>
        <w:t>主要操作步骤</w:t>
      </w:r>
      <w:r>
        <w:rPr>
          <w:rFonts w:hint="eastAsia" w:ascii="宋体" w:hAnsi="宋体" w:eastAsia="宋体" w:cs="宋体"/>
          <w:b w:val="0"/>
          <w:sz w:val="24"/>
          <w:lang w:eastAsia="zh-CN"/>
        </w:rPr>
        <w:t>、</w:t>
      </w:r>
      <w:r>
        <w:rPr>
          <w:rFonts w:hint="eastAsia" w:ascii="宋体" w:hAnsi="宋体" w:eastAsia="宋体" w:cs="宋体"/>
          <w:b w:val="0"/>
          <w:sz w:val="24"/>
        </w:rPr>
        <w:t>术中特殊情况及处理</w:t>
      </w:r>
      <w:r>
        <w:rPr>
          <w:rFonts w:hint="eastAsia" w:ascii="宋体" w:hAnsi="宋体" w:eastAsia="宋体" w:cs="宋体"/>
          <w:b w:val="0"/>
          <w:sz w:val="24"/>
          <w:lang w:eastAsia="zh-CN"/>
        </w:rPr>
        <w:t>、</w:t>
      </w:r>
      <w:r>
        <w:rPr>
          <w:rFonts w:hint="eastAsia" w:ascii="宋体" w:hAnsi="宋体" w:eastAsia="宋体" w:cs="宋体"/>
          <w:b w:val="0"/>
          <w:sz w:val="24"/>
        </w:rPr>
        <w:t>止血与关腹</w:t>
      </w:r>
      <w:r>
        <w:rPr>
          <w:rFonts w:hint="eastAsia" w:ascii="宋体" w:hAnsi="宋体" w:eastAsia="宋体" w:cs="宋体"/>
          <w:b w:val="0"/>
          <w:sz w:val="24"/>
          <w:lang w:eastAsia="zh-CN"/>
        </w:rPr>
        <w:t>、</w:t>
      </w:r>
      <w:r>
        <w:rPr>
          <w:rFonts w:hint="eastAsia" w:ascii="宋体" w:hAnsi="宋体" w:eastAsia="宋体" w:cs="宋体"/>
          <w:b w:val="0"/>
          <w:sz w:val="24"/>
        </w:rPr>
        <w:t>术中出血与输血</w:t>
      </w:r>
      <w:r>
        <w:rPr>
          <w:rFonts w:hint="eastAsia" w:ascii="宋体" w:hAnsi="宋体" w:eastAsia="宋体" w:cs="宋体"/>
          <w:b w:val="0"/>
          <w:sz w:val="24"/>
          <w:lang w:eastAsia="zh-CN"/>
        </w:rPr>
        <w:t>、</w:t>
      </w:r>
      <w:r>
        <w:rPr>
          <w:rFonts w:hint="eastAsia" w:ascii="宋体" w:hAnsi="宋体" w:eastAsia="宋体" w:cs="宋体"/>
          <w:b w:val="0"/>
          <w:sz w:val="24"/>
        </w:rPr>
        <w:t>标本处理</w:t>
      </w:r>
      <w:r>
        <w:rPr>
          <w:rFonts w:hint="eastAsia" w:ascii="宋体" w:hAnsi="宋体" w:eastAsia="宋体" w:cs="宋体"/>
          <w:b w:val="0"/>
          <w:sz w:val="24"/>
          <w:lang w:eastAsia="zh-CN"/>
        </w:rPr>
        <w:t>、</w:t>
      </w:r>
      <w:r>
        <w:rPr>
          <w:rFonts w:hint="eastAsia" w:ascii="宋体" w:hAnsi="宋体" w:eastAsia="宋体" w:cs="宋体"/>
          <w:b w:val="0"/>
          <w:sz w:val="24"/>
        </w:rPr>
        <w:t>术毕情况”的逻辑生成手术经过描述。关键操作步骤的描述结合术式知识库，确保专业术语准确、步骤完整、逻辑清晰。对于腔镜手术、介入手术等特殊术式，采用相应的描述范式。</w:t>
      </w:r>
    </w:p>
    <w:p w14:paraId="531512A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三、</w:t>
      </w:r>
      <w:r>
        <w:rPr>
          <w:rFonts w:hint="eastAsia" w:ascii="宋体" w:hAnsi="宋体" w:eastAsia="宋体" w:cs="宋体"/>
          <w:b w:val="0"/>
          <w:sz w:val="24"/>
        </w:rPr>
        <w:t>术中发现与处理重点记录。对于术中发现的意外情况（如粘连严重、出血、解剖变异、冰冻病理结果与术前不符），主动提示医师补充说明，并生成规范的处理过程描述，避免“术中经过顺利”式的笼统记录。</w:t>
      </w:r>
    </w:p>
    <w:p w14:paraId="062537E8">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四、</w:t>
      </w:r>
      <w:r>
        <w:rPr>
          <w:rFonts w:hint="eastAsia" w:ascii="宋体" w:hAnsi="宋体" w:eastAsia="宋体" w:cs="宋体"/>
          <w:b w:val="0"/>
          <w:sz w:val="24"/>
        </w:rPr>
        <w:t>植入物与高值耗材记录。自动关联植入物信息（名称、规格、型号、数量、生产厂商、批号/序列号），生成规范的植入物记录条目，与病历中医用耗材使用记录保持对应。</w:t>
      </w:r>
    </w:p>
    <w:p w14:paraId="16F77D4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五、</w:t>
      </w:r>
      <w:r>
        <w:rPr>
          <w:rFonts w:hint="eastAsia" w:ascii="宋体" w:hAnsi="宋体" w:eastAsia="宋体" w:cs="宋体"/>
          <w:b w:val="0"/>
          <w:sz w:val="24"/>
        </w:rPr>
        <w:t>手术记录一致性核查。自动核查以下一致性：手术记录中的术前诊断与术前讨论、术前小结是否一致；术中诊断与术后首次病程记录是否一致；手术名称与手术申请单、手术安全核查表是否一致；手术时间与麻醉记录是否吻合；术者与手术分级授权是否匹配；植入物记录与耗材计费是否对应；标本送检记录是否完整。不一致项分级提示。</w:t>
      </w:r>
    </w:p>
    <w:p w14:paraId="6F1F6145">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六、</w:t>
      </w:r>
      <w:r>
        <w:rPr>
          <w:rFonts w:hint="eastAsia" w:ascii="宋体" w:hAnsi="宋体" w:eastAsia="宋体" w:cs="宋体"/>
          <w:b w:val="0"/>
          <w:sz w:val="24"/>
        </w:rPr>
        <w:t>术后首次病程记录生成。手术当日或次日，基于手术记录、麻醉记录、术后医嘱生成术后首次病程记录，重点记录手术情况、术后诊断、术后处理措施、注意事项，体现术后病情观察要点。</w:t>
      </w:r>
    </w:p>
    <w:p w14:paraId="40ED2628">
      <w:pPr>
        <w:pStyle w:val="5"/>
        <w:bidi w:val="0"/>
        <w:rPr>
          <w:rFonts w:hint="eastAsia" w:ascii="宋体" w:hAnsi="宋体" w:eastAsia="宋体" w:cs="宋体"/>
        </w:rPr>
      </w:pPr>
      <w:r>
        <w:rPr>
          <w:rFonts w:hint="eastAsia" w:ascii="宋体" w:hAnsi="宋体" w:eastAsia="宋体" w:cs="宋体"/>
        </w:rPr>
        <w:t>1.9.4 会诊记录智能体</w:t>
      </w:r>
    </w:p>
    <w:p w14:paraId="30D0AF9E">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（1）应用场景</w:t>
      </w:r>
    </w:p>
    <w:p w14:paraId="5D253672">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会诊记录智能体的应用场景包括：科内会诊记录、院内普通会诊记录、急会诊记录、多学科联合诊疗（MDT）记录、院外专家会诊记录</w:t>
      </w:r>
      <w:r>
        <w:rPr>
          <w:rFonts w:hint="eastAsia" w:ascii="宋体" w:hAnsi="宋体" w:eastAsia="宋体" w:cs="宋体"/>
          <w:b w:val="0"/>
          <w:sz w:val="24"/>
          <w:lang w:val="en-US" w:eastAsia="zh-CN"/>
        </w:rPr>
        <w:t>的生成</w:t>
      </w:r>
      <w:r>
        <w:rPr>
          <w:rFonts w:hint="eastAsia" w:ascii="宋体" w:hAnsi="宋体" w:eastAsia="宋体" w:cs="宋体"/>
          <w:b w:val="0"/>
          <w:sz w:val="24"/>
        </w:rPr>
        <w:t>。</w:t>
      </w:r>
    </w:p>
    <w:p w14:paraId="4D336FFF">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（2）功能描述</w:t>
      </w:r>
    </w:p>
    <w:p w14:paraId="0C1D496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一、</w:t>
      </w:r>
      <w:r>
        <w:rPr>
          <w:rFonts w:hint="eastAsia" w:ascii="宋体" w:hAnsi="宋体" w:eastAsia="宋体" w:cs="宋体"/>
          <w:b w:val="0"/>
          <w:sz w:val="24"/>
        </w:rPr>
        <w:t>会诊背景信息智能汇聚。智能体自动汇聚患者基本信息、主诊断、主要病情（症状体征、关键检验检查结果）、当前治疗方案、申请会诊的理由与目的，形成会诊摘要，帮助会诊医师快速掌握病情，提高会诊效率与质量。</w:t>
      </w:r>
    </w:p>
    <w:p w14:paraId="012A1EB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二、</w:t>
      </w:r>
      <w:r>
        <w:rPr>
          <w:rFonts w:hint="eastAsia" w:ascii="宋体" w:hAnsi="宋体" w:eastAsia="宋体" w:cs="宋体"/>
          <w:b w:val="0"/>
          <w:sz w:val="24"/>
        </w:rPr>
        <w:t>会诊意见结构化生成。基于会诊医师的口述或简要记录，生成规范的会诊记录，包括：会诊时间、会诊科室与医师、会诊目的、病情摘要、专科查体所见、会诊意见（诊断意见、进一步检查建议、治疗建议、注意事项）。</w:t>
      </w:r>
    </w:p>
    <w:p w14:paraId="7AB14BF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三、</w:t>
      </w:r>
      <w:r>
        <w:rPr>
          <w:rFonts w:hint="eastAsia" w:ascii="宋体" w:hAnsi="宋体" w:eastAsia="宋体" w:cs="宋体"/>
          <w:b w:val="0"/>
          <w:sz w:val="24"/>
        </w:rPr>
        <w:t>专科知识辅助。根据申请会诊的专科与病情，智能体调取相应专科的诊疗指南、用药规范、检查建议，供会诊医师参考，提升会诊意见的专业性；对于跨专科问题，提示需要协同的专科。</w:t>
      </w:r>
    </w:p>
    <w:p w14:paraId="7389B69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四、</w:t>
      </w:r>
      <w:r>
        <w:rPr>
          <w:rFonts w:hint="eastAsia" w:ascii="宋体" w:hAnsi="宋体" w:eastAsia="宋体" w:cs="宋体"/>
          <w:b w:val="0"/>
          <w:sz w:val="24"/>
        </w:rPr>
        <w:t>MDT记录生成。多学科会诊场景下，支持多方发言的语音记录与说话人分离，自动整理为“各专科意见</w:t>
      </w:r>
      <w:r>
        <w:rPr>
          <w:rFonts w:hint="eastAsia" w:ascii="宋体" w:hAnsi="宋体" w:eastAsia="宋体" w:cs="宋体"/>
          <w:b w:val="0"/>
          <w:sz w:val="24"/>
          <w:lang w:eastAsia="zh-CN"/>
        </w:rPr>
        <w:t>、</w:t>
      </w:r>
      <w:r>
        <w:rPr>
          <w:rFonts w:hint="eastAsia" w:ascii="宋体" w:hAnsi="宋体" w:eastAsia="宋体" w:cs="宋体"/>
          <w:b w:val="0"/>
          <w:sz w:val="24"/>
        </w:rPr>
        <w:t>综合意见</w:t>
      </w:r>
      <w:r>
        <w:rPr>
          <w:rFonts w:hint="eastAsia" w:ascii="宋体" w:hAnsi="宋体" w:eastAsia="宋体" w:cs="宋体"/>
          <w:b w:val="0"/>
          <w:sz w:val="24"/>
          <w:lang w:eastAsia="zh-CN"/>
        </w:rPr>
        <w:t>、</w:t>
      </w:r>
      <w:r>
        <w:rPr>
          <w:rFonts w:hint="eastAsia" w:ascii="宋体" w:hAnsi="宋体" w:eastAsia="宋体" w:cs="宋体"/>
          <w:b w:val="0"/>
          <w:sz w:val="24"/>
        </w:rPr>
        <w:t>后续诊疗计划”的结构化 MDT 记录，明确各专科的职责分工。</w:t>
      </w:r>
    </w:p>
    <w:p w14:paraId="3F6E044D">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五、</w:t>
      </w:r>
      <w:r>
        <w:rPr>
          <w:rFonts w:hint="eastAsia" w:ascii="宋体" w:hAnsi="宋体" w:eastAsia="宋体" w:cs="宋体"/>
          <w:b w:val="0"/>
          <w:sz w:val="24"/>
        </w:rPr>
        <w:t>会诊规范性核查。核查会诊时限（普通会诊、急会诊的响应与完成时限）、会诊医师资质（是否符合会诊医师资格要求）、会诊记录要素完整性、会诊意见与病程记录的一致性。</w:t>
      </w:r>
    </w:p>
    <w:p w14:paraId="141E076A">
      <w:pPr>
        <w:pStyle w:val="5"/>
        <w:bidi w:val="0"/>
        <w:rPr>
          <w:rFonts w:hint="eastAsia" w:ascii="宋体" w:hAnsi="宋体" w:eastAsia="宋体" w:cs="宋体"/>
        </w:rPr>
      </w:pPr>
      <w:r>
        <w:rPr>
          <w:rFonts w:hint="eastAsia" w:ascii="宋体" w:hAnsi="宋体" w:eastAsia="宋体" w:cs="宋体"/>
        </w:rPr>
        <w:t>1.9.5 护理记录智能体</w:t>
      </w:r>
    </w:p>
    <w:p w14:paraId="0418CFE8">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（1）应用场景</w:t>
      </w:r>
    </w:p>
    <w:p w14:paraId="1A0E94CF">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护理记录智能体的应用场景包括：一般患者护理记录生成、危重患者护理记录生成、护理交接班报告生成、手术护理记录生成、护理评估记录（跌倒、压疮、导管、疼痛等）辅助、健康教育记录生成。</w:t>
      </w:r>
    </w:p>
    <w:p w14:paraId="0AE743BB">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（2）功能描述</w:t>
      </w:r>
    </w:p>
    <w:p w14:paraId="1E88DD9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一、</w:t>
      </w:r>
      <w:r>
        <w:rPr>
          <w:rFonts w:hint="eastAsia" w:ascii="宋体" w:hAnsi="宋体" w:eastAsia="宋体" w:cs="宋体"/>
          <w:b w:val="0"/>
          <w:sz w:val="24"/>
        </w:rPr>
        <w:t>护理数据自动采集与汇聚。对接移动护理系统（PDA 扫码执行记录）、医嘱系统、检验检查系统，自动汇聚生命体征、出入量、用药执行、护理操作执行、检验检查结果等信息，减少手工录入。</w:t>
      </w:r>
    </w:p>
    <w:p w14:paraId="05737F64">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二、</w:t>
      </w:r>
      <w:r>
        <w:rPr>
          <w:rFonts w:hint="eastAsia" w:ascii="宋体" w:hAnsi="宋体" w:eastAsia="宋体" w:cs="宋体"/>
          <w:b w:val="0"/>
          <w:sz w:val="24"/>
        </w:rPr>
        <w:t>护理记录智能生成。基于采集的数据与护士的语音或简要记录，按护理记录规范生成记录内容，体现“时间</w:t>
      </w:r>
      <w:r>
        <w:rPr>
          <w:rFonts w:hint="eastAsia" w:ascii="宋体" w:hAnsi="宋体" w:eastAsia="宋体" w:cs="宋体"/>
          <w:b w:val="0"/>
          <w:sz w:val="24"/>
          <w:lang w:eastAsia="zh-CN"/>
        </w:rPr>
        <w:t>、</w:t>
      </w:r>
      <w:r>
        <w:rPr>
          <w:rFonts w:hint="eastAsia" w:ascii="宋体" w:hAnsi="宋体" w:eastAsia="宋体" w:cs="宋体"/>
          <w:b w:val="0"/>
          <w:sz w:val="24"/>
        </w:rPr>
        <w:t>病情观察</w:t>
      </w:r>
      <w:r>
        <w:rPr>
          <w:rFonts w:hint="eastAsia" w:ascii="宋体" w:hAnsi="宋体" w:eastAsia="宋体" w:cs="宋体"/>
          <w:b w:val="0"/>
          <w:sz w:val="24"/>
          <w:lang w:eastAsia="zh-CN"/>
        </w:rPr>
        <w:t>、</w:t>
      </w:r>
      <w:r>
        <w:rPr>
          <w:rFonts w:hint="eastAsia" w:ascii="宋体" w:hAnsi="宋体" w:eastAsia="宋体" w:cs="宋体"/>
          <w:b w:val="0"/>
          <w:sz w:val="24"/>
        </w:rPr>
        <w:t>护理措施</w:t>
      </w:r>
      <w:r>
        <w:rPr>
          <w:rFonts w:hint="eastAsia" w:ascii="宋体" w:hAnsi="宋体" w:eastAsia="宋体" w:cs="宋体"/>
          <w:b w:val="0"/>
          <w:sz w:val="24"/>
          <w:lang w:eastAsia="zh-CN"/>
        </w:rPr>
        <w:t>、</w:t>
      </w:r>
      <w:r>
        <w:rPr>
          <w:rFonts w:hint="eastAsia" w:ascii="宋体" w:hAnsi="宋体" w:eastAsia="宋体" w:cs="宋体"/>
          <w:b w:val="0"/>
          <w:sz w:val="24"/>
        </w:rPr>
        <w:t>效果评价”的完整逻辑。对于危重患者，按更高频次、更细颗粒度生成记录，重点体现病情动态变化与护理应对。</w:t>
      </w:r>
    </w:p>
    <w:p w14:paraId="191AECB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三、</w:t>
      </w:r>
      <w:r>
        <w:rPr>
          <w:rFonts w:hint="eastAsia" w:ascii="宋体" w:hAnsi="宋体" w:eastAsia="宋体" w:cs="宋体"/>
          <w:b w:val="0"/>
          <w:sz w:val="24"/>
        </w:rPr>
        <w:t>护理问题与措施匹配。基于患者病情、护理评估结果（跌倒风险、压疮风险、导管风险、疼痛评分、营养风险），提示相应的护理问题与护理措施，确保护理措施与护理问题相对应，避免“有问题无措施、有措施无评价”。</w:t>
      </w:r>
    </w:p>
    <w:p w14:paraId="66BE510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四、</w:t>
      </w:r>
      <w:r>
        <w:rPr>
          <w:rFonts w:hint="eastAsia" w:ascii="宋体" w:hAnsi="宋体" w:eastAsia="宋体" w:cs="宋体"/>
          <w:b w:val="0"/>
          <w:sz w:val="24"/>
        </w:rPr>
        <w:t>交接班报告智能生成。自动生成交接班报告，突出危重患者、新入院患者、手术患者、病情变化患者的重点信息，提升交接班质量与效率。</w:t>
      </w:r>
    </w:p>
    <w:p w14:paraId="1924B2A7">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五、</w:t>
      </w:r>
      <w:r>
        <w:rPr>
          <w:rFonts w:hint="eastAsia" w:ascii="宋体" w:hAnsi="宋体" w:eastAsia="宋体" w:cs="宋体"/>
          <w:b w:val="0"/>
          <w:sz w:val="24"/>
        </w:rPr>
        <w:t>护理评估辅助。辅助完成各类护理评估量表（Braden 压疮评分、Morse 跌倒评分、导管滑脱风险、疼痛评估、GCS 评分等）的录入与计算，自动提示风险等级与对应措施，评估结果自动关联护理计划。</w:t>
      </w:r>
    </w:p>
    <w:p w14:paraId="5B431FDF">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六、</w:t>
      </w:r>
      <w:r>
        <w:rPr>
          <w:rFonts w:hint="eastAsia" w:ascii="宋体" w:hAnsi="宋体" w:eastAsia="宋体" w:cs="宋体"/>
          <w:b w:val="0"/>
          <w:sz w:val="24"/>
        </w:rPr>
        <w:t>语音记录与移动端支持。支持护士在床旁通过移动终端语音记录，智能体转写并结构化，减少往返护士站录入的时间，让护士把时间还给患者。</w:t>
      </w:r>
    </w:p>
    <w:p w14:paraId="3EED5ED7">
      <w:pPr>
        <w:pStyle w:val="5"/>
        <w:bidi w:val="0"/>
        <w:rPr>
          <w:rFonts w:hint="eastAsia" w:ascii="宋体" w:hAnsi="宋体" w:eastAsia="宋体" w:cs="宋体"/>
        </w:rPr>
      </w:pPr>
      <w:r>
        <w:rPr>
          <w:rFonts w:hint="eastAsia" w:ascii="宋体" w:hAnsi="宋体" w:eastAsia="宋体" w:cs="宋体"/>
        </w:rPr>
        <w:t>1.9.6 病历内涵质控智能体</w:t>
      </w:r>
    </w:p>
    <w:p w14:paraId="4EE6695B">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（1）应用场景</w:t>
      </w:r>
    </w:p>
    <w:p w14:paraId="552CAEF1">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病历内涵质控智能体的应用场景包括：运行病历实时环节质控、终末病历批量质控、病历查重与不合理复制检测、重点病历专项质控（死亡病例、非计划再手术、输血病例、疑难危重病例）、病案首页与病历一致性核查。</w:t>
      </w:r>
    </w:p>
    <w:p w14:paraId="6E24C86A">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（2）功能描述</w:t>
      </w:r>
    </w:p>
    <w:p w14:paraId="3BC0D5A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一、</w:t>
      </w:r>
      <w:r>
        <w:rPr>
          <w:rFonts w:hint="eastAsia" w:ascii="宋体" w:hAnsi="宋体" w:eastAsia="宋体" w:cs="宋体"/>
          <w:b w:val="0"/>
          <w:sz w:val="24"/>
        </w:rPr>
        <w:t>形式质控自动检查。覆盖病历的完整性、及时性、规范性三类形式要求：完整性检查各类文书的必备要素是否齐全（如入院记录是否缺少家族史、手术记录是否缺少植入物信息）；及时性检查各类文书的完成时限（入院记录24小时、手术记录24小时、出院记录24小时、首次病程8小时等）；规范性检查诊断名称是否规范、术语使用是否正确、签名是否完整、是否有修改留痕。</w:t>
      </w:r>
    </w:p>
    <w:p w14:paraId="0788E6E3">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二、</w:t>
      </w:r>
      <w:r>
        <w:rPr>
          <w:rFonts w:hint="eastAsia" w:ascii="宋体" w:hAnsi="宋体" w:eastAsia="宋体" w:cs="宋体"/>
          <w:b w:val="0"/>
          <w:sz w:val="24"/>
        </w:rPr>
        <w:t>内涵质控智能分析。这是智能体的核心能力，基于大模型的语义理解与推理能力，结合知识库中的诊疗指南、临床路径、核心制度，对病历内容进行深度检查，主要包括以下维度。</w:t>
      </w:r>
    </w:p>
    <w:p w14:paraId="442DD1D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诊断依据充分性：初步诊断、出院诊断是否有充分的病史、体征、检查结果支撑，诊断依据是否在病程中有对应记录。</w:t>
      </w:r>
    </w:p>
    <w:p w14:paraId="092455A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病情分析逻辑性：病程记录中的病情变化是否有分析、判断与处理；重要检验检查结果异常是否有解读与应对；治疗效果是否有评价；诊断修正是否有说明。</w:t>
      </w:r>
    </w:p>
    <w:p w14:paraId="57189501">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诊疗措施合理性：医嘱、用药、检查与诊断是否匹配；抗菌药物使用是否符合分级管理与用药指征；是否存在与诊断无关的治疗或遗漏必要的治疗。</w:t>
      </w:r>
    </w:p>
    <w:p w14:paraId="1AAD061C">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记录一致性：主诉与现病史是否对应；病程记录与医嘱是否一致；手术记录与术前讨论、麻醉记录是否一致；护理记录与医疗记录是否一致；病案首页与病历内容是否一致；诊断与编码是否匹配。</w:t>
      </w:r>
    </w:p>
    <w:p w14:paraId="3AC51A6A">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rPr>
        <w:t>复制粘贴识别与病历查重：这是病历内涵质控的重点指标之一，也是传统人工质控最难查全的部分。智能体提供两个层次的查重能力：</w:t>
      </w:r>
    </w:p>
    <w:p w14:paraId="50F39328">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lang w:val="en-US" w:eastAsia="zh-CN"/>
        </w:rPr>
        <w:t>1、</w:t>
      </w:r>
      <w:r>
        <w:rPr>
          <w:rFonts w:hint="eastAsia" w:ascii="宋体" w:hAnsi="宋体" w:eastAsia="宋体" w:cs="宋体"/>
          <w:b w:val="0"/>
          <w:sz w:val="24"/>
        </w:rPr>
        <w:t>同一患者内部的重复检测，识别同一份病历中不同文书之间、不同时间点之间的不合理复制（如连续多日的病程记录内容几乎完全相同、既往史与个人史在不同文书中表述僵硬一致）；</w:t>
      </w:r>
    </w:p>
    <w:p w14:paraId="4E965AA8">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val="en-US" w:eastAsia="zh-CN"/>
        </w:rPr>
        <w:t>2</w:t>
      </w:r>
      <w:r>
        <w:rPr>
          <w:rFonts w:hint="eastAsia" w:ascii="宋体" w:hAnsi="宋体" w:eastAsia="宋体" w:cs="宋体"/>
          <w:b w:val="0"/>
          <w:sz w:val="24"/>
          <w:lang w:eastAsia="zh-CN"/>
        </w:rPr>
        <w:t>、</w:t>
      </w:r>
      <w:r>
        <w:rPr>
          <w:rFonts w:hint="eastAsia" w:ascii="宋体" w:hAnsi="宋体" w:eastAsia="宋体" w:cs="宋体"/>
          <w:b w:val="0"/>
          <w:sz w:val="24"/>
        </w:rPr>
        <w:t>跨病历的相似性检测，识别不同患者之间高度雷同的病历段落（如入院记录、首次病程、术前小结、出院记录等模板化文书的大面积相同），并计算相似度、定位相似片段、给出原件对照。查重结果不仅用于扣分，更重要的是提示医师“这段是否真的适用于本例患者”，帮助发现“有记录无实际内容”的形式化病历。系统对合理复用的内容（如标准化的手术步骤描述、固定格式的医嘱说明）设置白名单与豁免规则。</w:t>
      </w:r>
    </w:p>
    <w:p w14:paraId="19643D90">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核心制度落实核查：三级查房记录是否体现上级医师意见、查房频次是否符合要求；会诊意见是否执行；术前讨论、术前小结是否完整；疑难病例讨论、死亡病例讨论是否规范。</w:t>
      </w:r>
    </w:p>
    <w:p w14:paraId="41DC8769">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lang w:eastAsia="zh-CN"/>
        </w:rPr>
        <w:t>三、</w:t>
      </w:r>
      <w:r>
        <w:rPr>
          <w:rFonts w:hint="eastAsia" w:ascii="宋体" w:hAnsi="宋体" w:eastAsia="宋体" w:cs="宋体"/>
          <w:b w:val="0"/>
          <w:sz w:val="24"/>
        </w:rPr>
        <w:t>分级提示与整改闭环。质控结果按严重程度分为三级：</w:t>
      </w:r>
    </w:p>
    <w:p w14:paraId="37797D75">
      <w:pPr>
        <w:keepNext w:val="0"/>
        <w:keepLines w:val="0"/>
        <w:pageBreakBefore w:val="0"/>
        <w:widowControl w:val="0"/>
        <w:numPr>
          <w:ilvl w:val="0"/>
          <w:numId w:val="9"/>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一级（严重缺陷，如诊断与主要治疗不符、关键记录缺失）即时提示并阻断提交；</w:t>
      </w:r>
    </w:p>
    <w:p w14:paraId="1AE51AB0">
      <w:pPr>
        <w:keepNext w:val="0"/>
        <w:keepLines w:val="0"/>
        <w:pageBreakBefore w:val="0"/>
        <w:widowControl w:val="0"/>
        <w:numPr>
          <w:ilvl w:val="0"/>
          <w:numId w:val="9"/>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二级（一般缺陷，如分析不充分、要素不全）提示医师补充完善；</w:t>
      </w:r>
    </w:p>
    <w:p w14:paraId="5143DCF2">
      <w:pPr>
        <w:keepNext w:val="0"/>
        <w:keepLines w:val="0"/>
        <w:pageBreakBefore w:val="0"/>
        <w:widowControl w:val="0"/>
        <w:numPr>
          <w:ilvl w:val="0"/>
          <w:numId w:val="9"/>
        </w:numPr>
        <w:kinsoku w:val="0"/>
        <w:wordWrap/>
        <w:overflowPunct/>
        <w:topLinePunct w:val="0"/>
        <w:autoSpaceDE/>
        <w:autoSpaceDN/>
        <w:bidi w:val="0"/>
        <w:adjustRightInd w:val="0"/>
        <w:snapToGrid w:val="0"/>
        <w:spacing w:before="0" w:after="0" w:line="360" w:lineRule="auto"/>
        <w:ind w:left="840" w:leftChars="0" w:hanging="420" w:firstLineChars="0"/>
        <w:textAlignment w:val="auto"/>
        <w:rPr>
          <w:rFonts w:hint="eastAsia" w:ascii="宋体" w:hAnsi="宋体" w:eastAsia="宋体" w:cs="宋体"/>
          <w:b w:val="0"/>
          <w:sz w:val="24"/>
        </w:rPr>
      </w:pPr>
      <w:r>
        <w:rPr>
          <w:rFonts w:hint="eastAsia" w:ascii="宋体" w:hAnsi="宋体" w:eastAsia="宋体" w:cs="宋体"/>
          <w:b w:val="0"/>
          <w:sz w:val="24"/>
        </w:rPr>
        <w:t>三级（优化建议，如表述可更规范）在质控面板中汇总提示。</w:t>
      </w:r>
    </w:p>
    <w:p w14:paraId="30523399">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rPr>
        <w:t>医师收到提示后可一键查看问题定位、查看依据、一键采纳修改建议或填写申辩理由。</w:t>
      </w:r>
    </w:p>
    <w:p w14:paraId="526C2BE6">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四、</w:t>
      </w:r>
      <w:r>
        <w:rPr>
          <w:rFonts w:hint="eastAsia" w:ascii="宋体" w:hAnsi="宋体" w:eastAsia="宋体" w:cs="宋体"/>
          <w:b w:val="0"/>
          <w:sz w:val="24"/>
        </w:rPr>
        <w:t>终末质控与批量筛查。对已归档病历开展批量质控，按科室、按病种、按医师维度生成质量报告，支撑病案科开展终末质控与甲级病历评定。支持按比例随机抽样与按风险规则定向抽样（如住院超过30天、死亡病例、非计划再手术、输血病例、高倍率病例自动纳入必查）。</w:t>
      </w:r>
    </w:p>
    <w:p w14:paraId="661C72DD">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五、</w:t>
      </w:r>
      <w:r>
        <w:rPr>
          <w:rFonts w:hint="eastAsia" w:ascii="宋体" w:hAnsi="宋体" w:eastAsia="宋体" w:cs="宋体"/>
          <w:b w:val="0"/>
          <w:sz w:val="24"/>
        </w:rPr>
        <w:t>病案首页一致性核查。核查病案首页的主要诊断、其他诊断、主要手术操作、其他手术操作与病历记录的一致性；核查首页填写与编码的匹配性；提示可能存在的高靠编码、低靠编码风险；核查首页与医保结算清单的一致性，为DRG付费管理提供数据质量支撑。</w:t>
      </w:r>
    </w:p>
    <w:p w14:paraId="275630FC">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rPr>
      </w:pPr>
      <w:r>
        <w:rPr>
          <w:rFonts w:hint="eastAsia" w:ascii="宋体" w:hAnsi="宋体" w:eastAsia="宋体" w:cs="宋体"/>
          <w:b w:val="0"/>
          <w:sz w:val="24"/>
          <w:lang w:eastAsia="zh-CN"/>
        </w:rPr>
        <w:t>六、</w:t>
      </w:r>
      <w:r>
        <w:rPr>
          <w:rFonts w:hint="eastAsia" w:ascii="宋体" w:hAnsi="宋体" w:eastAsia="宋体" w:cs="宋体"/>
          <w:b w:val="0"/>
          <w:sz w:val="24"/>
        </w:rPr>
        <w:t>质量指标体系与统计分析。自动计算并呈现病案管理质控核心指标：入院记录24小时内完成率、手术记录24小时内完成率、出院记录24小时内完成率、医师查房记录完整率、主要诊断编码正确率、出院患者病历归档完整率、不合理复制病历发生率、甲级病历率等。支持按科室、按医师、按病种、按时间多维分析，识别薄弱环节，为质量管理决策提供依据。</w:t>
      </w:r>
    </w:p>
    <w:p w14:paraId="61541398">
      <w:pPr>
        <w:keepNext w:val="0"/>
        <w:keepLines w:val="0"/>
        <w:pageBreakBefore w:val="0"/>
        <w:widowControl w:val="0"/>
        <w:kinsoku w:val="0"/>
        <w:wordWrap/>
        <w:overflowPunct/>
        <w:topLinePunct w:val="0"/>
        <w:autoSpaceDE/>
        <w:autoSpaceDN/>
        <w:bidi w:val="0"/>
        <w:adjustRightInd w:val="0"/>
        <w:snapToGrid w:val="0"/>
        <w:spacing w:before="0" w:after="0" w:line="360" w:lineRule="auto"/>
        <w:ind w:firstLine="480" w:firstLineChars="200"/>
        <w:textAlignment w:val="auto"/>
        <w:rPr>
          <w:rFonts w:hint="eastAsia" w:ascii="宋体" w:hAnsi="宋体" w:eastAsia="宋体" w:cs="宋体"/>
          <w:b w:val="0"/>
          <w:sz w:val="24"/>
        </w:rPr>
      </w:pPr>
      <w:r>
        <w:rPr>
          <w:rFonts w:hint="eastAsia" w:ascii="宋体" w:hAnsi="宋体" w:eastAsia="宋体" w:cs="宋体"/>
          <w:b w:val="0"/>
          <w:sz w:val="24"/>
          <w:lang w:val="en-US" w:eastAsia="zh-CN"/>
        </w:rPr>
        <w:t>七</w:t>
      </w:r>
      <w:r>
        <w:rPr>
          <w:rFonts w:hint="eastAsia" w:ascii="宋体" w:hAnsi="宋体" w:eastAsia="宋体" w:cs="宋体"/>
          <w:b w:val="0"/>
          <w:sz w:val="24"/>
          <w:lang w:eastAsia="zh-CN"/>
        </w:rPr>
        <w:t>、</w:t>
      </w:r>
      <w:r>
        <w:rPr>
          <w:rFonts w:hint="eastAsia" w:ascii="宋体" w:hAnsi="宋体" w:eastAsia="宋体" w:cs="宋体"/>
          <w:b w:val="0"/>
          <w:sz w:val="24"/>
        </w:rPr>
        <w:t>质控规则可配置。质控规则库支持可视化配置，医院可根据本院管理要求、专科特点、政策变化自行新增或调整规则（如新增某类手术的专项检查项、调整某指标的判定阈值），保障质控体系的持续演进能力。</w:t>
      </w:r>
    </w:p>
    <w:p w14:paraId="6EAB3C67">
      <w:pPr>
        <w:pStyle w:val="3"/>
        <w:bidi w:val="0"/>
        <w:rPr>
          <w:rFonts w:hint="eastAsia" w:ascii="宋体" w:hAnsi="宋体" w:eastAsia="宋体" w:cs="宋体"/>
          <w:lang w:val="en-US" w:eastAsia="zh-CN"/>
        </w:rPr>
      </w:pPr>
      <w:r>
        <w:rPr>
          <w:rFonts w:hint="eastAsia" w:ascii="宋体" w:hAnsi="宋体" w:eastAsia="宋体" w:cs="宋体"/>
          <w:lang w:val="en-US" w:eastAsia="zh-CN"/>
        </w:rPr>
        <w:t>2、售后服务体系方案</w:t>
      </w:r>
    </w:p>
    <w:p w14:paraId="44070A21">
      <w:pPr>
        <w:pStyle w:val="4"/>
        <w:bidi w:val="0"/>
        <w:rPr>
          <w:rFonts w:hint="eastAsia" w:ascii="宋体" w:hAnsi="宋体" w:eastAsia="宋体" w:cs="宋体"/>
          <w:lang w:val="en-US" w:eastAsia="zh-CN"/>
        </w:rPr>
      </w:pPr>
      <w:r>
        <w:rPr>
          <w:rFonts w:hint="eastAsia" w:ascii="宋体" w:hAnsi="宋体" w:eastAsia="宋体" w:cs="宋体"/>
          <w:lang w:val="en-US" w:eastAsia="zh-CN"/>
        </w:rPr>
        <w:t>2.1系统升级方案</w:t>
      </w:r>
    </w:p>
    <w:p w14:paraId="621E72A1">
      <w:pPr>
        <w:pStyle w:val="5"/>
      </w:pPr>
      <w:r>
        <w:rPr>
          <w:rFonts w:hint="eastAsia"/>
        </w:rPr>
        <w:t>2.1.1 编制目的与适用范围</w:t>
      </w:r>
    </w:p>
    <w:p w14:paraId="11CAA6F6">
      <w:pPr>
        <w:spacing w:before="0" w:after="0" w:line="360" w:lineRule="auto"/>
        <w:ind w:firstLine="480"/>
      </w:pPr>
      <w:r>
        <w:rPr>
          <w:rFonts w:hint="eastAsia" w:ascii="宋体" w:hAnsi="宋体" w:eastAsia="宋体" w:cs="宋体"/>
          <w:b w:val="0"/>
          <w:sz w:val="24"/>
        </w:rPr>
        <w:t>医疗大模型多智能体系统不是一个“交付即定型”的系统。基座模型在持续迭代，临床指南与医院管理制度在持续修订，科室在使用中不断提出新的诉求，评级与监管要求也逐年变化，这些都决定了系统在建成之后必须持续演进。但升级本身是一把双刃剑：升得好，能力越来越贴合临床；升得不好，一次未经充分验证的变更就足以让临床对整套系统失去信任，而这种信任在短期内很难重建。本方案的目的，是把“升级”从依赖个人经验的操作，转变为有规划、有门槛、有回路、有留痕的常态化管理过程。</w:t>
      </w:r>
    </w:p>
    <w:p w14:paraId="38885EAC">
      <w:pPr>
        <w:spacing w:before="0" w:after="0" w:line="360" w:lineRule="auto"/>
        <w:ind w:firstLine="480"/>
      </w:pPr>
      <w:r>
        <w:rPr>
          <w:rFonts w:hint="eastAsia" w:ascii="宋体" w:hAnsi="宋体" w:eastAsia="宋体" w:cs="宋体"/>
          <w:b w:val="0"/>
          <w:sz w:val="24"/>
        </w:rPr>
        <w:t>本方案的适用范围包括：AI 智能医疗服务与研发平台各子系统（网关管理、模型管理、RAG 私域知识库、提示词工程管理、智能体管理、安全审计）、六个业务智能体、与医院现有业务系统之间的接口与数据，以及上述内容在质保期与服务期内发生的全部版本变更。</w:t>
      </w:r>
    </w:p>
    <w:p w14:paraId="554BDD80">
      <w:pPr>
        <w:spacing w:before="0" w:after="0" w:line="360" w:lineRule="auto"/>
        <w:ind w:firstLine="480"/>
      </w:pPr>
      <w:r>
        <w:rPr>
          <w:rFonts w:hint="eastAsia" w:ascii="宋体" w:hAnsi="宋体" w:eastAsia="宋体" w:cs="宋体"/>
          <w:b w:val="0"/>
          <w:sz w:val="24"/>
        </w:rPr>
        <w:t>本方案不覆盖三类事项：一是医院现有 HIS、EMR、LIS、PACS 等核心业务系统自身的版本升级，此类升级由原厂商负责，本方案仅涉及升级完成后的接口适配与联调验证；二是算力硬件的新增采购与机房改造，此类事项作为独立工程处理，本方案在升级前的前置测算与风险评估中予以说明；三是医院组织架构、管理制度、诊疗流程本身的调整，此类调整是升级的需求来源，但不属于升级的实施内容。</w:t>
      </w:r>
    </w:p>
    <w:p w14:paraId="2A1D994C">
      <w:pPr>
        <w:spacing w:before="0" w:after="0" w:line="360" w:lineRule="auto"/>
        <w:ind w:firstLine="480"/>
      </w:pPr>
      <w:r>
        <w:rPr>
          <w:rFonts w:hint="eastAsia" w:ascii="宋体" w:hAnsi="宋体" w:eastAsia="宋体" w:cs="宋体"/>
          <w:b w:val="0"/>
          <w:sz w:val="24"/>
        </w:rPr>
        <w:t>本方案自系统通过终验之日起适用，至服务期结束为止；质保期内的升级同样按本方案执行，不因处于质保期而降低管控要求。</w:t>
      </w:r>
    </w:p>
    <w:p w14:paraId="7EAF6A1A">
      <w:pPr>
        <w:pStyle w:val="5"/>
      </w:pPr>
      <w:r>
        <w:rPr>
          <w:rFonts w:hint="eastAsia"/>
        </w:rPr>
        <w:t>2.1.2 与项目总体方案及其他交付文件的关系</w:t>
      </w:r>
    </w:p>
    <w:p w14:paraId="59F5493B">
      <w:pPr>
        <w:spacing w:before="0" w:after="0" w:line="360" w:lineRule="auto"/>
        <w:ind w:firstLine="480"/>
      </w:pPr>
      <w:r>
        <w:rPr>
          <w:rFonts w:hint="eastAsia" w:ascii="宋体" w:hAnsi="宋体" w:eastAsia="宋体" w:cs="宋体"/>
          <w:b w:val="0"/>
          <w:sz w:val="24"/>
        </w:rPr>
        <w:t>为避免文件之间边界不清、责任重叠，对几份交付文件作如下界定。</w:t>
      </w:r>
    </w:p>
    <w:p w14:paraId="02C2703B">
      <w:pPr>
        <w:spacing w:before="0" w:after="0" w:line="360" w:lineRule="auto"/>
        <w:ind w:firstLine="480"/>
      </w:pPr>
      <w:r>
        <w:rPr>
          <w:rFonts w:hint="eastAsia" w:ascii="宋体" w:hAnsi="宋体" w:eastAsia="宋体" w:cs="宋体"/>
          <w:b w:val="0"/>
          <w:sz w:val="24"/>
        </w:rPr>
        <w:t>项目总体方案回答“系统建成什么样”，本方案回答“建成之后怎么变”。</w:t>
      </w:r>
    </w:p>
    <w:p w14:paraId="776A2D23">
      <w:pPr>
        <w:spacing w:before="0" w:after="0" w:line="360" w:lineRule="auto"/>
        <w:ind w:firstLine="480"/>
      </w:pPr>
      <w:r>
        <w:rPr>
          <w:rFonts w:hint="eastAsia" w:ascii="宋体" w:hAnsi="宋体" w:eastAsia="宋体" w:cs="宋体"/>
          <w:b w:val="0"/>
          <w:sz w:val="24"/>
        </w:rPr>
        <w:t>项目实施计划回答“第一次怎么上线”，本方案回答“后续每一次怎么上线”。</w:t>
      </w:r>
    </w:p>
    <w:p w14:paraId="2D008572">
      <w:pPr>
        <w:spacing w:before="0" w:after="0" w:line="360" w:lineRule="auto"/>
        <w:ind w:firstLine="480"/>
      </w:pPr>
      <w:r>
        <w:rPr>
          <w:rFonts w:hint="eastAsia" w:ascii="宋体" w:hAnsi="宋体" w:eastAsia="宋体" w:cs="宋体"/>
          <w:b w:val="0"/>
          <w:sz w:val="24"/>
        </w:rPr>
        <w:t>售后服务方案回答“出现故障怎么响应”，本方案回答“主动变更怎么管控”。两者容易混淆，区别在于：故障是“已经坏了去修”，升级是“没坏但要变”，前者追求恢复，后者追求可控地改变。</w:t>
      </w:r>
    </w:p>
    <w:p w14:paraId="6E8CC2AA">
      <w:pPr>
        <w:spacing w:before="0" w:after="0" w:line="360" w:lineRule="auto"/>
        <w:ind w:firstLine="480"/>
      </w:pPr>
      <w:r>
        <w:rPr>
          <w:rFonts w:hint="eastAsia" w:ascii="宋体" w:hAnsi="宋体" w:eastAsia="宋体" w:cs="宋体"/>
          <w:b w:val="0"/>
          <w:sz w:val="24"/>
        </w:rPr>
        <w:t>培训方案回答“人怎么把系统用起来”，本方案负责“版本变化之后，操作手册与培训材料如何同步更新、如何补训”。</w:t>
      </w:r>
    </w:p>
    <w:p w14:paraId="34DC90A6">
      <w:pPr>
        <w:spacing w:before="0" w:after="0" w:line="360" w:lineRule="auto"/>
        <w:ind w:firstLine="480"/>
      </w:pPr>
      <w:r>
        <w:rPr>
          <w:rFonts w:hint="eastAsia" w:ascii="宋体" w:hAnsi="宋体" w:eastAsia="宋体" w:cs="宋体"/>
          <w:b w:val="0"/>
          <w:sz w:val="24"/>
        </w:rPr>
        <w:t>四者互为补充，不重复、不替代。凡本方案与总体方案在技术形态上不一致的，以总体方案为准；凡本方案未规定的运维响应细节，以售后服务方案为准。这一界定同样适用于合同履约过程中的争议解释。</w:t>
      </w:r>
    </w:p>
    <w:p w14:paraId="0D5EEB5B">
      <w:pPr>
        <w:pStyle w:val="5"/>
      </w:pPr>
      <w:r>
        <w:rPr>
          <w:rFonts w:hint="eastAsia"/>
        </w:rPr>
        <w:t>2.1.3 对本系统升级特殊性的判断</w:t>
      </w:r>
    </w:p>
    <w:p w14:paraId="74301365">
      <w:pPr>
        <w:spacing w:before="0" w:after="0" w:line="360" w:lineRule="auto"/>
        <w:ind w:firstLine="480"/>
      </w:pPr>
      <w:r>
        <w:rPr>
          <w:rFonts w:hint="eastAsia" w:ascii="宋体" w:hAnsi="宋体" w:eastAsia="宋体" w:cs="宋体"/>
          <w:b w:val="0"/>
          <w:sz w:val="24"/>
        </w:rPr>
        <w:t>传统医院信息系统的升级，主要工作是程序版本替换与数据库结构变更，验证的重点是“功能是否可用、数据是否准确”。本系统的升级对象与验证逻辑与此有实质差别，具体体现在五个方面。</w:t>
      </w:r>
    </w:p>
    <w:p w14:paraId="67D07263">
      <w:pPr>
        <w:spacing w:before="0" w:after="0" w:line="360" w:lineRule="auto"/>
        <w:ind w:firstLine="480"/>
      </w:pPr>
      <w:r>
        <w:rPr>
          <w:rFonts w:hint="eastAsia" w:ascii="宋体" w:hAnsi="宋体" w:eastAsia="宋体" w:cs="宋体"/>
          <w:b w:val="0"/>
          <w:sz w:val="24"/>
        </w:rPr>
        <w:t>一、升级对象不止“程序”。本系统存在四条可独立变更的版本线：平台程序、模型、知识库、提示词与编排。后三条不需要发布程序、不需要重启服务，却能够直接改变系统的行为与输出。这意味着如果只把“改代码”当作升级来管，就会出现大量“未经审批却改变了系统行为”的隐性变更——某位工程师在后台调了一段提示词，全院病历的生成风格可能因此改变，而这在传统的变更管理台账上不会留下任何记录。</w:t>
      </w:r>
    </w:p>
    <w:p w14:paraId="24CE51FA">
      <w:pPr>
        <w:spacing w:before="0" w:after="0" w:line="360" w:lineRule="auto"/>
        <w:ind w:firstLine="480"/>
      </w:pPr>
      <w:r>
        <w:rPr>
          <w:rFonts w:hint="eastAsia" w:ascii="宋体" w:hAnsi="宋体" w:eastAsia="宋体" w:cs="宋体"/>
          <w:b w:val="0"/>
          <w:sz w:val="24"/>
        </w:rPr>
        <w:t>二、升级效果不能只用“能不能跑”来判断。传统系统升级后功能可用即视为成功；本系统在模型或知识变更之后，所有功能都正常，但生成质量可能悄然下降：术语不再符合本院习惯，病情分析变浅，信息缺失时开始推测。这类退化是弥散的，不会触发任何技术告警，只能通过评测与业务比对发现。因此升级验证必须以“质量不低于基线”为准，而不能止于“功能可用”。</w:t>
      </w:r>
    </w:p>
    <w:p w14:paraId="484FD87D">
      <w:pPr>
        <w:spacing w:before="0" w:after="0" w:line="360" w:lineRule="auto"/>
        <w:ind w:firstLine="480"/>
      </w:pPr>
      <w:r>
        <w:rPr>
          <w:rFonts w:hint="eastAsia" w:ascii="宋体" w:hAnsi="宋体" w:eastAsia="宋体" w:cs="宋体"/>
          <w:b w:val="0"/>
          <w:sz w:val="24"/>
        </w:rPr>
        <w:t>三、同一份病历可能由不同版本生成。病历是法律文书，一旦发生争议，需要回答“这份内容是在什么条件下生成的”。系统必须做到四维留痕：哪一版模型、哪一版知识、哪一版提示词、哪一次发布。缺少任一维度，复盘就不成立，医院在举证时也会陷入被动。</w:t>
      </w:r>
    </w:p>
    <w:p w14:paraId="4F99B2EF">
      <w:pPr>
        <w:spacing w:before="0" w:after="0" w:line="360" w:lineRule="auto"/>
        <w:ind w:firstLine="480"/>
      </w:pPr>
      <w:r>
        <w:rPr>
          <w:rFonts w:hint="eastAsia" w:ascii="宋体" w:hAnsi="宋体" w:eastAsia="宋体" w:cs="宋体"/>
          <w:b w:val="0"/>
          <w:sz w:val="24"/>
        </w:rPr>
        <w:t>四、升级从“偶发事件”变为“常态动作”。基座模型的迭代以月为单位，指南与制度的修订贯穿全年，升级频率远高于传统业务系统。频率一高，靠每次临时组织会议、临时抽调人员就不可持续，必须形成固定的流程、固定的角色、固定的判据，把升级变成日常运维的一部分。</w:t>
      </w:r>
    </w:p>
    <w:p w14:paraId="0D07BB50">
      <w:pPr>
        <w:spacing w:before="0" w:after="0" w:line="360" w:lineRule="auto"/>
        <w:ind w:firstLine="480"/>
      </w:pPr>
      <w:r>
        <w:rPr>
          <w:rFonts w:hint="eastAsia" w:ascii="宋体" w:hAnsi="宋体" w:eastAsia="宋体" w:cs="宋体"/>
          <w:b w:val="0"/>
          <w:sz w:val="24"/>
        </w:rPr>
        <w:t>五、失败的代价不对称。传统系统升级失败的后果是“用不了”，可以停机修复；本系统升级引入的质量问题会直接写入病历，后果是“用错了”，且错误内容已经在临床流转、已经进入病案。因此本系统的回滚窗口更紧、前置验证要求更高，升级前必须准备好“退得回去”的全部条件。</w:t>
      </w:r>
    </w:p>
    <w:p w14:paraId="1304F72A">
      <w:pPr>
        <w:spacing w:before="0" w:after="0" w:line="360" w:lineRule="auto"/>
        <w:ind w:firstLine="480"/>
      </w:pPr>
      <w:r>
        <w:rPr>
          <w:rFonts w:hint="eastAsia" w:ascii="宋体" w:hAnsi="宋体" w:eastAsia="宋体" w:cs="宋体"/>
          <w:b w:val="0"/>
          <w:sz w:val="24"/>
        </w:rPr>
        <w:t>基于上述判断，本方案确立四条基本做法：把版本作为核心管理对象，把灰度作为默认发布方式，把可回滚作为批准升级的前提条件，把评测作为升级的准入闸门。这四条贯穿本方案的各个章节。</w:t>
      </w:r>
    </w:p>
    <w:p w14:paraId="4F5B80FA">
      <w:pPr>
        <w:pStyle w:val="5"/>
      </w:pPr>
      <w:r>
        <w:rPr>
          <w:rFonts w:hint="eastAsia"/>
        </w:rPr>
        <w:t>2.1.4 编制依据</w:t>
      </w:r>
    </w:p>
    <w:p w14:paraId="56BB87B2">
      <w:pPr>
        <w:spacing w:before="0" w:after="0" w:line="360" w:lineRule="auto"/>
        <w:ind w:firstLine="480"/>
      </w:pPr>
      <w:r>
        <w:rPr>
          <w:rFonts w:hint="eastAsia" w:ascii="宋体" w:hAnsi="宋体" w:eastAsia="宋体" w:cs="宋体"/>
          <w:b w:val="0"/>
          <w:sz w:val="24"/>
        </w:rPr>
        <w:t>本方案在项目总体方案所列法律法规、政策文件与技术标准的基础上，补充引用以下与变更管理、运维管理、升级实施直接相关的依据。</w:t>
      </w:r>
    </w:p>
    <w:p w14:paraId="7B56E5F7">
      <w:pPr>
        <w:spacing w:before="0" w:after="0" w:line="360" w:lineRule="auto"/>
        <w:ind w:firstLine="480"/>
      </w:pPr>
      <w:r>
        <w:rPr>
          <w:rFonts w:hint="eastAsia" w:ascii="宋体" w:hAnsi="宋体" w:eastAsia="宋体" w:cs="宋体"/>
          <w:b w:val="0"/>
          <w:sz w:val="24"/>
        </w:rPr>
        <w:t>《信息安全技术 网络安全等级保护基本要求》（GB/T 22239）中关于系统变更管理、配置管理、漏洞与补丁管理、备份与恢复的要求。</w:t>
      </w:r>
    </w:p>
    <w:p w14:paraId="42BB757E">
      <w:pPr>
        <w:spacing w:before="0" w:after="0" w:line="360" w:lineRule="auto"/>
        <w:ind w:firstLine="480"/>
      </w:pPr>
      <w:r>
        <w:rPr>
          <w:rFonts w:hint="eastAsia" w:ascii="宋体" w:hAnsi="宋体" w:eastAsia="宋体" w:cs="宋体"/>
          <w:b w:val="0"/>
          <w:sz w:val="24"/>
        </w:rPr>
        <w:t>《信息技术服务 运行维护 第1部分：通用要求》（GB/T 28827.1）中关于变更管理、发布管理、配置管理与事件管理的流程要求。</w:t>
      </w:r>
    </w:p>
    <w:p w14:paraId="0163FB3A">
      <w:pPr>
        <w:spacing w:before="0" w:after="0" w:line="360" w:lineRule="auto"/>
        <w:ind w:firstLine="480"/>
      </w:pPr>
      <w:r>
        <w:rPr>
          <w:rFonts w:hint="eastAsia" w:ascii="宋体" w:hAnsi="宋体" w:eastAsia="宋体" w:cs="宋体"/>
          <w:b w:val="0"/>
          <w:sz w:val="24"/>
        </w:rPr>
        <w:t>《电子病历系统应用水平分级评价管理办法（试行）》及分级评价标准中关于系统安全、数据一致性与系统持续改进的要求。</w:t>
      </w:r>
    </w:p>
    <w:p w14:paraId="1623D874">
      <w:pPr>
        <w:spacing w:before="0" w:after="0" w:line="360" w:lineRule="auto"/>
        <w:ind w:firstLine="480"/>
      </w:pPr>
      <w:r>
        <w:rPr>
          <w:rFonts w:hint="eastAsia" w:ascii="宋体" w:hAnsi="宋体" w:eastAsia="宋体" w:cs="宋体"/>
          <w:b w:val="0"/>
          <w:sz w:val="24"/>
        </w:rPr>
        <w:t>《关于促进和规范“人工智能+医疗卫生”应用发展的实施意见》（国卫办规划发〔2025〕30号）中关于动态监测、持续改进、规范应用的要求。</w:t>
      </w:r>
    </w:p>
    <w:p w14:paraId="127506D9">
      <w:pPr>
        <w:spacing w:before="0" w:after="0" w:line="360" w:lineRule="auto"/>
        <w:ind w:firstLine="480"/>
      </w:pPr>
      <w:r>
        <w:rPr>
          <w:rFonts w:hint="eastAsia" w:ascii="宋体" w:hAnsi="宋体" w:eastAsia="宋体" w:cs="宋体"/>
          <w:b w:val="0"/>
          <w:sz w:val="24"/>
        </w:rPr>
        <w:t>医院信息系统变更管理、数据安全管理与运维管理的院内制度，以及医院对信息系统停机窗口的管理规定。</w:t>
      </w:r>
    </w:p>
    <w:p w14:paraId="01D8D2B7">
      <w:pPr>
        <w:spacing w:before="0" w:after="0" w:line="360" w:lineRule="auto"/>
        <w:ind w:firstLine="480"/>
      </w:pPr>
      <w:r>
        <w:rPr>
          <w:rFonts w:hint="eastAsia" w:ascii="宋体" w:hAnsi="宋体" w:eastAsia="宋体" w:cs="宋体"/>
          <w:b w:val="0"/>
          <w:sz w:val="24"/>
        </w:rPr>
        <w:t>本项目合同、项目总体方案与售后服务方案中关于升级、维护与响应服务的约定。</w:t>
      </w:r>
    </w:p>
    <w:p w14:paraId="06F001A3">
      <w:pPr>
        <w:pStyle w:val="4"/>
      </w:pPr>
      <w:r>
        <w:rPr>
          <w:rFonts w:hint="eastAsia"/>
        </w:rPr>
        <w:t>2.2 升级需求来源与版本规划</w:t>
      </w:r>
    </w:p>
    <w:p w14:paraId="21920031">
      <w:pPr>
        <w:pStyle w:val="5"/>
      </w:pPr>
      <w:r>
        <w:rPr>
          <w:rFonts w:hint="eastAsia"/>
        </w:rPr>
        <w:t>2.2.1 升级需求的五类来源</w:t>
      </w:r>
    </w:p>
    <w:p w14:paraId="667B8CB0">
      <w:pPr>
        <w:spacing w:before="0" w:after="0" w:line="360" w:lineRule="auto"/>
        <w:ind w:firstLine="480"/>
      </w:pPr>
      <w:r>
        <w:rPr>
          <w:rFonts w:hint="eastAsia" w:ascii="宋体" w:hAnsi="宋体" w:eastAsia="宋体" w:cs="宋体"/>
          <w:b w:val="0"/>
          <w:sz w:val="24"/>
        </w:rPr>
        <w:t>升级不能凭感觉，也不能完全听凭厂商的产品节奏。本方案明确五类需求来源，并给出各自的采集方式与优先级判断方法。</w:t>
      </w:r>
    </w:p>
    <w:p w14:paraId="15D9E907">
      <w:pPr>
        <w:spacing w:before="0" w:after="0" w:line="360" w:lineRule="auto"/>
        <w:ind w:firstLine="480"/>
      </w:pPr>
      <w:r>
        <w:rPr>
          <w:rFonts w:hint="eastAsia" w:ascii="宋体" w:hAnsi="宋体" w:eastAsia="宋体" w:cs="宋体"/>
          <w:b w:val="0"/>
          <w:sz w:val="24"/>
        </w:rPr>
        <w:t>一、使用侧反馈。医师的驳回理由、修改痕迹、意见反馈与科室座谈记录，是最直接、最有价值的需求来源。这类需求贴近业务，但往往是点状的，需要归因之后才能转化为升级项：同一问题被多人多次提出，通常指向提示词约束不足或知识缺失；个别医师的书写习惯差异，则不宜作为平台级改造的依据，应通过科室级配置消化。</w:t>
      </w:r>
    </w:p>
    <w:p w14:paraId="749A95E7">
      <w:pPr>
        <w:spacing w:before="0" w:after="0" w:line="360" w:lineRule="auto"/>
        <w:ind w:firstLine="480"/>
      </w:pPr>
      <w:r>
        <w:rPr>
          <w:rFonts w:hint="eastAsia" w:ascii="宋体" w:hAnsi="宋体" w:eastAsia="宋体" w:cs="宋体"/>
          <w:b w:val="0"/>
          <w:sz w:val="24"/>
        </w:rPr>
        <w:t>二、运行数据与评测结果。包括各场景的调用量、采纳率、修改幅度、驳回率、异常率、链路追踪中的失败节点分布，以及评测集的成绩回归。运行数据解决“哪里不好用”的问题，评测结果解决“是否真的变差”的问题，两者结合才能定位原因，避免把接口取数不全误判为模型能力不足。</w:t>
      </w:r>
    </w:p>
    <w:p w14:paraId="2B480F09">
      <w:pPr>
        <w:spacing w:before="0" w:after="0" w:line="360" w:lineRule="auto"/>
        <w:ind w:firstLine="480"/>
      </w:pPr>
      <w:r>
        <w:rPr>
          <w:rFonts w:hint="eastAsia" w:ascii="宋体" w:hAnsi="宋体" w:eastAsia="宋体" w:cs="宋体"/>
          <w:b w:val="0"/>
          <w:sz w:val="24"/>
        </w:rPr>
        <w:t>三、政策与评级要求。电子病历系统应用水平分级评价、医院信息互联互通标准化成熟度测评、等级医院评审、全面提升医疗质量行动、医保支付方式改革，都会带来新的记录要求与质量口径，进而要求质控规则、文书模板、术语字典与编码库同步调整。这类需求具有强制性与时限性，优先级高于一般性优化。</w:t>
      </w:r>
    </w:p>
    <w:p w14:paraId="79BA9FE3">
      <w:pPr>
        <w:spacing w:before="0" w:after="0" w:line="360" w:lineRule="auto"/>
        <w:ind w:firstLine="480"/>
      </w:pPr>
      <w:r>
        <w:rPr>
          <w:rFonts w:hint="eastAsia" w:ascii="宋体" w:hAnsi="宋体" w:eastAsia="宋体" w:cs="宋体"/>
          <w:b w:val="0"/>
          <w:sz w:val="24"/>
        </w:rPr>
        <w:t>四、模型与技术演进。基座模型新版本发布、推理引擎升级、国产芯片与国产操作系统适配、依赖组件安全漏洞通告，属于外部驱动的升级需求，时效性强，不能按年度规划慢慢排队，应按紧急或例行通道单独处理。</w:t>
      </w:r>
    </w:p>
    <w:p w14:paraId="3561E25F">
      <w:pPr>
        <w:spacing w:before="0" w:after="0" w:line="360" w:lineRule="auto"/>
        <w:ind w:firstLine="480"/>
      </w:pPr>
      <w:r>
        <w:rPr>
          <w:rFonts w:hint="eastAsia" w:ascii="宋体" w:hAnsi="宋体" w:eastAsia="宋体" w:cs="宋体"/>
          <w:b w:val="0"/>
          <w:sz w:val="24"/>
        </w:rPr>
        <w:t>五、医院管理与专科诉求。新增文书类型、新增科室上线、新增质控规则、专科术语与模板补充，属于业务扩展型需求，通常需要功能升级配合，应纳入年度路线图统筹。</w:t>
      </w:r>
    </w:p>
    <w:p w14:paraId="2F0A45D9">
      <w:pPr>
        <w:spacing w:before="0" w:after="0" w:line="360" w:lineRule="auto"/>
        <w:ind w:firstLine="480"/>
      </w:pPr>
      <w:r>
        <w:rPr>
          <w:rFonts w:hint="eastAsia" w:ascii="宋体" w:hAnsi="宋体" w:eastAsia="宋体" w:cs="宋体"/>
          <w:b w:val="0"/>
          <w:sz w:val="24"/>
        </w:rPr>
        <w:t>五类来源汇总后，由供需双方按影响面、紧迫性、实现成本与实施风险四个维度排序，形成升级需求池。需求池原则上每季度评审一次，形成下一季度的升级清单；紧急需求不进入需求池排队，直接按本方案2.4规定的一级或二级流程处理。需求池与升级清单均需留档，作为年度服务评价的依据。</w:t>
      </w:r>
    </w:p>
    <w:p w14:paraId="67FB5C45">
      <w:pPr>
        <w:pStyle w:val="5"/>
      </w:pPr>
      <w:r>
        <w:rPr>
          <w:rFonts w:hint="eastAsia"/>
        </w:rPr>
        <w:t>2.2.2 升级类型的六种划分</w:t>
      </w:r>
    </w:p>
    <w:p w14:paraId="0456C10A">
      <w:pPr>
        <w:spacing w:before="0" w:after="0" w:line="360" w:lineRule="auto"/>
        <w:ind w:firstLine="480"/>
      </w:pPr>
      <w:r>
        <w:rPr>
          <w:rFonts w:hint="eastAsia" w:ascii="宋体" w:hAnsi="宋体" w:eastAsia="宋体" w:cs="宋体"/>
          <w:b w:val="0"/>
          <w:sz w:val="24"/>
        </w:rPr>
        <w:t>按变更对象划分，本系统的升级分为六类。分类的目的不是分类本身，而是让不同性质的变更走不同强度的管控流程。</w:t>
      </w:r>
    </w:p>
    <w:p w14:paraId="786E76C4">
      <w:pPr>
        <w:spacing w:before="0" w:after="0" w:line="360" w:lineRule="auto"/>
        <w:ind w:firstLine="480"/>
      </w:pPr>
      <w:r>
        <w:rPr>
          <w:rFonts w:hint="eastAsia" w:ascii="宋体" w:hAnsi="宋体" w:eastAsia="宋体" w:cs="宋体"/>
          <w:b w:val="0"/>
          <w:sz w:val="24"/>
        </w:rPr>
        <w:t>一、模型升级。包括更换基座模型、升级模型版本、调整量化精度、新增或下线模型实例。这类升级影响面最广，同一场景下全院医师的输出风格与质量可能同时变化，是管控最严的一类。</w:t>
      </w:r>
    </w:p>
    <w:p w14:paraId="14DB3371">
      <w:pPr>
        <w:spacing w:before="0" w:after="0" w:line="360" w:lineRule="auto"/>
        <w:ind w:firstLine="480"/>
      </w:pPr>
      <w:r>
        <w:rPr>
          <w:rFonts w:hint="eastAsia" w:ascii="宋体" w:hAnsi="宋体" w:eastAsia="宋体" w:cs="宋体"/>
          <w:b w:val="0"/>
          <w:sz w:val="24"/>
        </w:rPr>
        <w:t>二、知识升级。包括知识文档的新增、修订、废止，知识域结构调整，向量索引重建。这类升级影响的是“依据”的准确性与时效性，一旦引用了已废止的制度或过期的指南，问题比生成质量下降更严重。</w:t>
      </w:r>
    </w:p>
    <w:p w14:paraId="7E88123A">
      <w:pPr>
        <w:spacing w:before="0" w:after="0" w:line="360" w:lineRule="auto"/>
        <w:ind w:firstLine="480"/>
      </w:pPr>
      <w:r>
        <w:rPr>
          <w:rFonts w:hint="eastAsia" w:ascii="宋体" w:hAnsi="宋体" w:eastAsia="宋体" w:cs="宋体"/>
          <w:b w:val="0"/>
          <w:sz w:val="24"/>
        </w:rPr>
        <w:t>三、提示词与编排升级。包括系统级、场景级、科室级、任务级提示词的调整，质控规则与判定阈值的调整，工作流节点与分支的调整。这类升级不涉及程序发布，但直接决定输出口径，属于典型的“软代码变更”。</w:t>
      </w:r>
    </w:p>
    <w:p w14:paraId="2983AD62">
      <w:pPr>
        <w:spacing w:before="0" w:after="0" w:line="360" w:lineRule="auto"/>
        <w:ind w:firstLine="480"/>
      </w:pPr>
      <w:r>
        <w:rPr>
          <w:rFonts w:hint="eastAsia" w:ascii="宋体" w:hAnsi="宋体" w:eastAsia="宋体" w:cs="宋体"/>
          <w:b w:val="0"/>
          <w:sz w:val="24"/>
        </w:rPr>
        <w:t>四、功能升级。包括新增功能点、智能体能力增强、界面与交互调整、报表与统计口径调整。这类升级涉及程序发布，需要完整的测试与用户验收。</w:t>
      </w:r>
    </w:p>
    <w:p w14:paraId="3F1D9048">
      <w:pPr>
        <w:spacing w:before="0" w:after="0" w:line="360" w:lineRule="auto"/>
        <w:ind w:firstLine="480"/>
      </w:pPr>
      <w:r>
        <w:rPr>
          <w:rFonts w:hint="eastAsia" w:ascii="宋体" w:hAnsi="宋体" w:eastAsia="宋体" w:cs="宋体"/>
          <w:b w:val="0"/>
          <w:sz w:val="24"/>
        </w:rPr>
        <w:t>五、平台版本升级。包括平台框架升级、依赖组件升级、数据库结构变更、推理引擎升级、操作系统与驱动升级。这类升级风险最高，往往需要停机窗口，且可能影响模型运行精度与性能。</w:t>
      </w:r>
    </w:p>
    <w:p w14:paraId="58D0F466">
      <w:pPr>
        <w:spacing w:before="0" w:after="0" w:line="360" w:lineRule="auto"/>
        <w:ind w:firstLine="480"/>
      </w:pPr>
      <w:r>
        <w:rPr>
          <w:rFonts w:hint="eastAsia" w:ascii="宋体" w:hAnsi="宋体" w:eastAsia="宋体" w:cs="宋体"/>
          <w:b w:val="0"/>
          <w:sz w:val="24"/>
        </w:rPr>
        <w:t>六、安全补丁与紧急修复。包括安全漏洞修补、导致业务不可用的缺陷修复、数据错误纠正。这类升级不允许按常规节奏排队，需要快通道，但快的是审批与排期，不是验证与留痕。</w:t>
      </w:r>
    </w:p>
    <w:p w14:paraId="3DDAAF66">
      <w:pPr>
        <w:spacing w:before="0" w:after="0" w:line="360" w:lineRule="auto"/>
        <w:ind w:firstLine="480"/>
      </w:pPr>
      <w:r>
        <w:rPr>
          <w:rFonts w:hint="eastAsia" w:ascii="宋体" w:hAnsi="宋体" w:eastAsia="宋体" w:cs="宋体"/>
          <w:b w:val="0"/>
          <w:sz w:val="24"/>
        </w:rPr>
        <w:t>上述六类中，模型、知识、提示词与编排可归为配置级升级，特点是可热生效、可独立回滚；功能与平台版本可归为程序级升级，特点是需要发布、需要停机或滚动重启、回滚成本更高；安全补丁视影响范围介于两者之间，按实际情况判定。这一划分直接决定后续的审批层级、验证深度与实施窗口，具体见2.4。</w:t>
      </w:r>
    </w:p>
    <w:p w14:paraId="430CFB95">
      <w:pPr>
        <w:pStyle w:val="5"/>
      </w:pPr>
      <w:r>
        <w:rPr>
          <w:rFonts w:hint="eastAsia"/>
        </w:rPr>
        <w:t>2.2.3 版本号规则与版本台账</w:t>
      </w:r>
    </w:p>
    <w:p w14:paraId="13BCC20A">
      <w:pPr>
        <w:spacing w:before="0" w:after="0" w:line="360" w:lineRule="auto"/>
        <w:ind w:firstLine="480"/>
      </w:pPr>
      <w:r>
        <w:rPr>
          <w:rFonts w:hint="eastAsia" w:ascii="宋体" w:hAnsi="宋体" w:eastAsia="宋体" w:cs="宋体"/>
          <w:b w:val="0"/>
          <w:sz w:val="24"/>
        </w:rPr>
        <w:t>四条版本线并行，如果没有统一的版本台账，很快就会出现“系统是哪个版本、模型是哪一版、知识是哪一版”说不清的局面。为此，本方案为每条版本线规定命名规则，并建立统一台账。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4"/>
        <w:gridCol w:w="2778"/>
        <w:gridCol w:w="2608"/>
        <w:gridCol w:w="1701"/>
      </w:tblGrid>
      <w:tr w14:paraId="72C11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44" w:type="dxa"/>
            <w:shd w:val="clear" w:color="auto" w:fill="F2F2F2"/>
          </w:tcPr>
          <w:p w14:paraId="7A4D4455">
            <w:pPr>
              <w:spacing w:before="40" w:after="40" w:line="240" w:lineRule="auto"/>
              <w:jc w:val="center"/>
            </w:pPr>
            <w:r>
              <w:rPr>
                <w:rFonts w:hint="eastAsia" w:ascii="宋体" w:hAnsi="宋体" w:eastAsia="宋体" w:cs="宋体"/>
                <w:b/>
                <w:sz w:val="21"/>
              </w:rPr>
              <w:t>版本线</w:t>
            </w:r>
          </w:p>
        </w:tc>
        <w:tc>
          <w:tcPr>
            <w:tcW w:w="2778" w:type="dxa"/>
            <w:shd w:val="clear" w:color="auto" w:fill="F2F2F2"/>
          </w:tcPr>
          <w:p w14:paraId="20931DD3">
            <w:pPr>
              <w:spacing w:before="40" w:after="40" w:line="240" w:lineRule="auto"/>
              <w:jc w:val="center"/>
            </w:pPr>
            <w:r>
              <w:rPr>
                <w:rFonts w:hint="eastAsia" w:ascii="宋体" w:hAnsi="宋体" w:eastAsia="宋体" w:cs="宋体"/>
                <w:b/>
                <w:sz w:val="21"/>
              </w:rPr>
              <w:t>命名规则</w:t>
            </w:r>
          </w:p>
        </w:tc>
        <w:tc>
          <w:tcPr>
            <w:tcW w:w="2608" w:type="dxa"/>
            <w:shd w:val="clear" w:color="auto" w:fill="F2F2F2"/>
          </w:tcPr>
          <w:p w14:paraId="75795770">
            <w:pPr>
              <w:spacing w:before="40" w:after="40" w:line="240" w:lineRule="auto"/>
              <w:jc w:val="center"/>
            </w:pPr>
            <w:r>
              <w:rPr>
                <w:rFonts w:hint="eastAsia" w:ascii="宋体" w:hAnsi="宋体" w:eastAsia="宋体" w:cs="宋体"/>
                <w:b/>
                <w:sz w:val="21"/>
              </w:rPr>
              <w:t>变更触发条件</w:t>
            </w:r>
          </w:p>
        </w:tc>
        <w:tc>
          <w:tcPr>
            <w:tcW w:w="1701" w:type="dxa"/>
            <w:shd w:val="clear" w:color="auto" w:fill="F2F2F2"/>
          </w:tcPr>
          <w:p w14:paraId="54B71EB4">
            <w:pPr>
              <w:spacing w:before="40" w:after="40" w:line="240" w:lineRule="auto"/>
              <w:jc w:val="center"/>
            </w:pPr>
            <w:r>
              <w:rPr>
                <w:rFonts w:hint="eastAsia" w:ascii="宋体" w:hAnsi="宋体" w:eastAsia="宋体" w:cs="宋体"/>
                <w:b/>
                <w:sz w:val="21"/>
              </w:rPr>
              <w:t>维护责任方</w:t>
            </w:r>
          </w:p>
        </w:tc>
      </w:tr>
      <w:tr w14:paraId="6CFD3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61534140">
            <w:pPr>
              <w:spacing w:before="40" w:after="40" w:line="240" w:lineRule="auto"/>
              <w:jc w:val="center"/>
            </w:pPr>
            <w:r>
              <w:rPr>
                <w:rFonts w:hint="eastAsia" w:ascii="宋体" w:hAnsi="宋体" w:eastAsia="宋体" w:cs="宋体"/>
                <w:b w:val="0"/>
                <w:sz w:val="21"/>
              </w:rPr>
              <w:t>平台程序版本</w:t>
            </w:r>
          </w:p>
        </w:tc>
        <w:tc>
          <w:tcPr>
            <w:tcW w:w="2778" w:type="dxa"/>
          </w:tcPr>
          <w:p w14:paraId="141E7ED5">
            <w:pPr>
              <w:spacing w:before="40" w:after="40" w:line="240" w:lineRule="auto"/>
              <w:jc w:val="left"/>
            </w:pPr>
            <w:r>
              <w:rPr>
                <w:rFonts w:hint="eastAsia" w:ascii="宋体" w:hAnsi="宋体" w:eastAsia="宋体" w:cs="宋体"/>
                <w:b w:val="0"/>
                <w:sz w:val="21"/>
              </w:rPr>
              <w:t>主版本.次版本.修订号，如 2.4.1</w:t>
            </w:r>
          </w:p>
        </w:tc>
        <w:tc>
          <w:tcPr>
            <w:tcW w:w="2608" w:type="dxa"/>
          </w:tcPr>
          <w:p w14:paraId="5E08B8CA">
            <w:pPr>
              <w:spacing w:before="40" w:after="40" w:line="240" w:lineRule="auto"/>
              <w:jc w:val="left"/>
            </w:pPr>
            <w:r>
              <w:rPr>
                <w:rFonts w:hint="eastAsia" w:ascii="宋体" w:hAnsi="宋体" w:eastAsia="宋体" w:cs="宋体"/>
                <w:b w:val="0"/>
                <w:sz w:val="21"/>
              </w:rPr>
              <w:t>主版本对应架构调整或重大功能重构；次版本对应功能增强；修订号对应缺陷修复</w:t>
            </w:r>
          </w:p>
        </w:tc>
        <w:tc>
          <w:tcPr>
            <w:tcW w:w="1701" w:type="dxa"/>
          </w:tcPr>
          <w:p w14:paraId="54C17E83">
            <w:pPr>
              <w:spacing w:before="40" w:after="40" w:line="240" w:lineRule="auto"/>
              <w:jc w:val="left"/>
            </w:pPr>
            <w:r>
              <w:rPr>
                <w:rFonts w:hint="eastAsia" w:ascii="宋体" w:hAnsi="宋体" w:eastAsia="宋体" w:cs="宋体"/>
                <w:b w:val="0"/>
                <w:sz w:val="21"/>
              </w:rPr>
              <w:t>供方研发与运维，院方信息科核对</w:t>
            </w:r>
          </w:p>
        </w:tc>
      </w:tr>
      <w:tr w14:paraId="5C772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3F28AE12">
            <w:pPr>
              <w:spacing w:before="40" w:after="40" w:line="240" w:lineRule="auto"/>
              <w:jc w:val="center"/>
            </w:pPr>
            <w:r>
              <w:rPr>
                <w:rFonts w:hint="eastAsia" w:ascii="宋体" w:hAnsi="宋体" w:eastAsia="宋体" w:cs="宋体"/>
                <w:b w:val="0"/>
                <w:sz w:val="21"/>
              </w:rPr>
              <w:t>模型版本</w:t>
            </w:r>
          </w:p>
        </w:tc>
        <w:tc>
          <w:tcPr>
            <w:tcW w:w="2778" w:type="dxa"/>
          </w:tcPr>
          <w:p w14:paraId="3C03C032">
            <w:pPr>
              <w:spacing w:before="40" w:after="40" w:line="240" w:lineRule="auto"/>
              <w:jc w:val="left"/>
            </w:pPr>
            <w:r>
              <w:rPr>
                <w:rFonts w:hint="eastAsia" w:ascii="宋体" w:hAnsi="宋体" w:eastAsia="宋体" w:cs="宋体"/>
                <w:b w:val="0"/>
                <w:sz w:val="21"/>
              </w:rPr>
              <w:t>模型标识+厂商版本+量化方式+部署序号</w:t>
            </w:r>
          </w:p>
        </w:tc>
        <w:tc>
          <w:tcPr>
            <w:tcW w:w="2608" w:type="dxa"/>
          </w:tcPr>
          <w:p w14:paraId="7F3BEFA2">
            <w:pPr>
              <w:spacing w:before="40" w:after="40" w:line="240" w:lineRule="auto"/>
              <w:jc w:val="left"/>
            </w:pPr>
            <w:r>
              <w:rPr>
                <w:rFonts w:hint="eastAsia" w:ascii="宋体" w:hAnsi="宋体" w:eastAsia="宋体" w:cs="宋体"/>
                <w:b w:val="0"/>
                <w:sz w:val="21"/>
              </w:rPr>
              <w:t>基座模型换代、版本升级、量化策略调整、实例增删</w:t>
            </w:r>
          </w:p>
        </w:tc>
        <w:tc>
          <w:tcPr>
            <w:tcW w:w="1701" w:type="dxa"/>
          </w:tcPr>
          <w:p w14:paraId="46C794BD">
            <w:pPr>
              <w:spacing w:before="40" w:after="40" w:line="240" w:lineRule="auto"/>
              <w:jc w:val="left"/>
            </w:pPr>
            <w:r>
              <w:rPr>
                <w:rFonts w:hint="eastAsia" w:ascii="宋体" w:hAnsi="宋体" w:eastAsia="宋体" w:cs="宋体"/>
                <w:b w:val="0"/>
                <w:sz w:val="21"/>
              </w:rPr>
              <w:t>供方算法团队，院方信息科备案</w:t>
            </w:r>
          </w:p>
        </w:tc>
      </w:tr>
      <w:tr w14:paraId="34EDD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2E4F0976">
            <w:pPr>
              <w:spacing w:before="40" w:after="40" w:line="240" w:lineRule="auto"/>
              <w:jc w:val="center"/>
            </w:pPr>
            <w:r>
              <w:rPr>
                <w:rFonts w:hint="eastAsia" w:ascii="宋体" w:hAnsi="宋体" w:eastAsia="宋体" w:cs="宋体"/>
                <w:b w:val="0"/>
                <w:sz w:val="21"/>
              </w:rPr>
              <w:t>知识库版本</w:t>
            </w:r>
          </w:p>
        </w:tc>
        <w:tc>
          <w:tcPr>
            <w:tcW w:w="2778" w:type="dxa"/>
          </w:tcPr>
          <w:p w14:paraId="0B2B477D">
            <w:pPr>
              <w:spacing w:before="40" w:after="40" w:line="240" w:lineRule="auto"/>
              <w:jc w:val="left"/>
            </w:pPr>
            <w:r>
              <w:rPr>
                <w:rFonts w:hint="eastAsia" w:ascii="宋体" w:hAnsi="宋体" w:eastAsia="宋体" w:cs="宋体"/>
                <w:b w:val="0"/>
                <w:sz w:val="21"/>
              </w:rPr>
              <w:t>知识域名+发布日期+修订序号</w:t>
            </w:r>
          </w:p>
        </w:tc>
        <w:tc>
          <w:tcPr>
            <w:tcW w:w="2608" w:type="dxa"/>
          </w:tcPr>
          <w:p w14:paraId="01BA1394">
            <w:pPr>
              <w:spacing w:before="40" w:after="40" w:line="240" w:lineRule="auto"/>
              <w:jc w:val="left"/>
            </w:pPr>
            <w:r>
              <w:rPr>
                <w:rFonts w:hint="eastAsia" w:ascii="宋体" w:hAnsi="宋体" w:eastAsia="宋体" w:cs="宋体"/>
                <w:b w:val="0"/>
                <w:sz w:val="21"/>
              </w:rPr>
              <w:t>文档新增、修订、废止，索引重建</w:t>
            </w:r>
          </w:p>
        </w:tc>
        <w:tc>
          <w:tcPr>
            <w:tcW w:w="1701" w:type="dxa"/>
          </w:tcPr>
          <w:p w14:paraId="38456275">
            <w:pPr>
              <w:spacing w:before="40" w:after="40" w:line="240" w:lineRule="auto"/>
              <w:jc w:val="left"/>
            </w:pPr>
            <w:r>
              <w:rPr>
                <w:rFonts w:hint="eastAsia" w:ascii="宋体" w:hAnsi="宋体" w:eastAsia="宋体" w:cs="宋体"/>
                <w:b w:val="0"/>
                <w:sz w:val="21"/>
              </w:rPr>
              <w:t>院方责任部门审核，供方执行入库</w:t>
            </w:r>
          </w:p>
        </w:tc>
      </w:tr>
      <w:tr w14:paraId="0761F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tcPr>
          <w:p w14:paraId="151F8E33">
            <w:pPr>
              <w:spacing w:before="40" w:after="40" w:line="240" w:lineRule="auto"/>
              <w:jc w:val="center"/>
            </w:pPr>
            <w:r>
              <w:rPr>
                <w:rFonts w:hint="eastAsia" w:ascii="宋体" w:hAnsi="宋体" w:eastAsia="宋体" w:cs="宋体"/>
                <w:b w:val="0"/>
                <w:sz w:val="21"/>
              </w:rPr>
              <w:t>提示词与规则版本</w:t>
            </w:r>
          </w:p>
        </w:tc>
        <w:tc>
          <w:tcPr>
            <w:tcW w:w="2778" w:type="dxa"/>
          </w:tcPr>
          <w:p w14:paraId="5F7C0404">
            <w:pPr>
              <w:spacing w:before="40" w:after="40" w:line="240" w:lineRule="auto"/>
              <w:jc w:val="left"/>
            </w:pPr>
            <w:r>
              <w:rPr>
                <w:rFonts w:hint="eastAsia" w:ascii="宋体" w:hAnsi="宋体" w:eastAsia="宋体" w:cs="宋体"/>
                <w:b w:val="0"/>
                <w:sz w:val="21"/>
              </w:rPr>
              <w:t>场景标识+版本号</w:t>
            </w:r>
          </w:p>
        </w:tc>
        <w:tc>
          <w:tcPr>
            <w:tcW w:w="2608" w:type="dxa"/>
          </w:tcPr>
          <w:p w14:paraId="77C8B675">
            <w:pPr>
              <w:spacing w:before="40" w:after="40" w:line="240" w:lineRule="auto"/>
              <w:jc w:val="left"/>
            </w:pPr>
            <w:r>
              <w:rPr>
                <w:rFonts w:hint="eastAsia" w:ascii="宋体" w:hAnsi="宋体" w:eastAsia="宋体" w:cs="宋体"/>
                <w:b w:val="0"/>
                <w:sz w:val="21"/>
              </w:rPr>
              <w:t>提示词、质控规则、判定阈值、编排流程调整</w:t>
            </w:r>
          </w:p>
        </w:tc>
        <w:tc>
          <w:tcPr>
            <w:tcW w:w="1701" w:type="dxa"/>
          </w:tcPr>
          <w:p w14:paraId="4F070EB6">
            <w:pPr>
              <w:spacing w:before="40" w:after="40" w:line="240" w:lineRule="auto"/>
              <w:jc w:val="left"/>
            </w:pPr>
            <w:r>
              <w:rPr>
                <w:rFonts w:hint="eastAsia" w:ascii="宋体" w:hAnsi="宋体" w:eastAsia="宋体" w:cs="宋体"/>
                <w:b w:val="0"/>
                <w:sz w:val="21"/>
              </w:rPr>
              <w:t>供方实施团队，涉临床口径时经医务部确认</w:t>
            </w:r>
          </w:p>
        </w:tc>
      </w:tr>
    </w:tbl>
    <w:p w14:paraId="79305F2F">
      <w:pPr>
        <w:spacing w:before="0" w:after="0" w:line="360" w:lineRule="auto"/>
        <w:ind w:firstLine="480"/>
      </w:pPr>
      <w:r>
        <w:rPr>
          <w:rFonts w:hint="eastAsia" w:ascii="宋体" w:hAnsi="宋体" w:eastAsia="宋体" w:cs="宋体"/>
          <w:b w:val="0"/>
          <w:sz w:val="24"/>
        </w:rPr>
        <w:t>四条版本线在审计日志中关联记录，形成一次生成的四维溯源。也就是说，任意一份由系统生成并被医师采纳的病历内容，都应能追溯到当时的模型版本、知识库版本、提示词版本与平台程序版本。版本台账由供方在每次变更后更新，院方留存核对，作为升级审计、服务评价与争议复盘的依据。台账不追求形式上的完备，但要求真实：宁可记录“本次未变更模型”，也不允许出现无法追溯的空档。</w:t>
      </w:r>
    </w:p>
    <w:p w14:paraId="1B0F24FB">
      <w:pPr>
        <w:pStyle w:val="5"/>
      </w:pPr>
      <w:r>
        <w:rPr>
          <w:rFonts w:hint="eastAsia"/>
        </w:rPr>
        <w:t>2.2.4 版本节奏与路线图</w:t>
      </w:r>
    </w:p>
    <w:p w14:paraId="611AB191">
      <w:pPr>
        <w:spacing w:before="0" w:after="0" w:line="360" w:lineRule="auto"/>
        <w:ind w:firstLine="480"/>
      </w:pPr>
      <w:r>
        <w:rPr>
          <w:rFonts w:hint="eastAsia" w:ascii="宋体" w:hAnsi="宋体" w:eastAsia="宋体" w:cs="宋体"/>
          <w:b w:val="0"/>
          <w:sz w:val="24"/>
        </w:rPr>
        <w:t>升级节奏需要兼顾两件相互矛盾的事：一方面，模型与知识的变化快，系统不能长期停在旧版本；另一方面，临床对变化敏感，频繁变动会干扰使用习惯、增加培训负担。本方案按以下原则安排节奏。</w:t>
      </w:r>
    </w:p>
    <w:p w14:paraId="67E5C247">
      <w:pPr>
        <w:spacing w:before="0" w:after="0" w:line="360" w:lineRule="auto"/>
        <w:ind w:firstLine="480"/>
      </w:pPr>
      <w:r>
        <w:rPr>
          <w:rFonts w:hint="eastAsia" w:ascii="宋体" w:hAnsi="宋体" w:eastAsia="宋体" w:cs="宋体"/>
          <w:b w:val="0"/>
          <w:sz w:val="24"/>
        </w:rPr>
        <w:t>第一，例行升级按季度组织。每季度集中安排一次平台例行升级，处理功能增强、性能优化、安全补丁与常规缺陷修复，形成相对固定的节奏，便于临床预期与信息科排班。模型与知识升级不受季度约束，按其自身节奏独立发布，但同一次发布中的多项变更应合并验证，避免反复打扰临床。</w:t>
      </w:r>
    </w:p>
    <w:p w14:paraId="34BC2B3B">
      <w:pPr>
        <w:spacing w:before="0" w:after="0" w:line="360" w:lineRule="auto"/>
        <w:ind w:firstLine="480"/>
      </w:pPr>
      <w:r>
        <w:rPr>
          <w:rFonts w:hint="eastAsia" w:ascii="宋体" w:hAnsi="宋体" w:eastAsia="宋体" w:cs="宋体"/>
          <w:b w:val="0"/>
          <w:sz w:val="24"/>
        </w:rPr>
        <w:t>第二，紧急升级随时启动。涉及安全漏洞、影响业务使用的严重缺陷、数据错误，按一级流程随时启动，不受季度节奏限制。紧急升级的口径要严格控制，不能把“想早点上线的新功能”包装成紧急升级，否则快通道很快会失去意义。</w:t>
      </w:r>
    </w:p>
    <w:p w14:paraId="21AF3C1F">
      <w:pPr>
        <w:spacing w:before="0" w:after="0" w:line="360" w:lineRule="auto"/>
        <w:ind w:firstLine="480"/>
      </w:pPr>
      <w:r>
        <w:rPr>
          <w:rFonts w:hint="eastAsia" w:ascii="宋体" w:hAnsi="宋体" w:eastAsia="宋体" w:cs="宋体"/>
          <w:b w:val="0"/>
          <w:sz w:val="24"/>
        </w:rPr>
        <w:t>第三，年度版本形成阶段总结。每年形成一次年度版本，对全年升级内容、效果变化、遗留问题作系统梳理，同步确认次年度升级路线图。年度版本不追求功能的堆叠，重点是把一年中分散的优化整合成稳定的基线。</w:t>
      </w:r>
    </w:p>
    <w:p w14:paraId="5CE49367">
      <w:pPr>
        <w:spacing w:before="0" w:after="0" w:line="360" w:lineRule="auto"/>
        <w:ind w:firstLine="480"/>
      </w:pPr>
      <w:r>
        <w:rPr>
          <w:rFonts w:hint="eastAsia" w:ascii="宋体" w:hAnsi="宋体" w:eastAsia="宋体" w:cs="宋体"/>
          <w:b w:val="0"/>
          <w:sz w:val="24"/>
        </w:rPr>
        <w:t>第四，路线图共同确认、允许调整。每年第四季度，供需双方共同确认次年度升级路线图，明确升级方向、优先级、依赖条件与验收方式。路线图不锁定具体发布日期，允许按政策变化与临床需求调整，但调整须经变更评审确认并留档，避免路线图变成一纸空文或成为追责工具。</w:t>
      </w:r>
    </w:p>
    <w:p w14:paraId="0B143A6F">
      <w:pPr>
        <w:spacing w:before="0" w:after="0" w:line="360" w:lineRule="auto"/>
        <w:ind w:firstLine="480"/>
      </w:pPr>
      <w:r>
        <w:rPr>
          <w:rFonts w:hint="eastAsia" w:ascii="宋体" w:hAnsi="宋体" w:eastAsia="宋体" w:cs="宋体"/>
          <w:b w:val="0"/>
          <w:sz w:val="24"/>
        </w:rPr>
        <w:t>第五，不以版本数量衡量成绩。能通过配置解决的问题不做程序升级；能由院方自行完成的调整不占用供方升级资源；能合并到例行版本的不单独发版。升级的价值在于解决问题，不在于发布次数。</w:t>
      </w:r>
    </w:p>
    <w:p w14:paraId="6BAAE262">
      <w:pPr>
        <w:pStyle w:val="5"/>
        <w:bidi w:val="0"/>
      </w:pPr>
      <w:r>
        <w:rPr>
          <w:rFonts w:hint="eastAsia"/>
        </w:rPr>
        <w:t>2.3 升级总体原则</w:t>
      </w:r>
    </w:p>
    <w:p w14:paraId="090EE521">
      <w:pPr>
        <w:spacing w:before="0" w:after="0" w:line="360" w:lineRule="auto"/>
        <w:ind w:firstLine="480"/>
      </w:pPr>
      <w:r>
        <w:rPr>
          <w:rFonts w:hint="eastAsia" w:ascii="宋体" w:hAnsi="宋体" w:eastAsia="宋体" w:cs="宋体"/>
          <w:b w:val="0"/>
          <w:sz w:val="24"/>
        </w:rPr>
        <w:t>本方案的升级工作坚持八项原则，各项原则在后续章节中均有对应的机制落地。</w:t>
      </w:r>
    </w:p>
    <w:p w14:paraId="0604A637">
      <w:pPr>
        <w:spacing w:before="0" w:after="0" w:line="360" w:lineRule="auto"/>
        <w:ind w:firstLine="480"/>
      </w:pPr>
      <w:r>
        <w:rPr>
          <w:rFonts w:hint="eastAsia" w:ascii="宋体" w:hAnsi="宋体" w:eastAsia="宋体" w:cs="宋体"/>
          <w:b w:val="0"/>
          <w:sz w:val="24"/>
        </w:rPr>
        <w:t>第一，业务不中断优先。任何升级方案在设计阶段就要回答“升级期间临床怎么办”。能用不停机方式完成的，不安排停机；必须停机的，安排在业务低峰并准备手工兜底；不得为了升级进度要求临床暂停正常工作。</w:t>
      </w:r>
    </w:p>
    <w:p w14:paraId="46AD3E19">
      <w:pPr>
        <w:spacing w:before="0" w:after="0" w:line="360" w:lineRule="auto"/>
        <w:ind w:firstLine="480"/>
      </w:pPr>
      <w:r>
        <w:rPr>
          <w:rFonts w:hint="eastAsia" w:ascii="宋体" w:hAnsi="宋体" w:eastAsia="宋体" w:cs="宋体"/>
          <w:b w:val="0"/>
          <w:sz w:val="24"/>
        </w:rPr>
        <w:t>第二，先验证、后放量。新版本必须先在测试环境与预生产环境完成验证，再进入生产环境的小范围灰度。禁止把生产环境当作验证环境，禁止以“先上线看看”的方式推进升级。</w:t>
      </w:r>
    </w:p>
    <w:p w14:paraId="6D05C45A">
      <w:pPr>
        <w:spacing w:before="0" w:after="0" w:line="360" w:lineRule="auto"/>
        <w:ind w:firstLine="480"/>
      </w:pPr>
      <w:r>
        <w:rPr>
          <w:rFonts w:hint="eastAsia" w:ascii="宋体" w:hAnsi="宋体" w:eastAsia="宋体" w:cs="宋体"/>
          <w:b w:val="0"/>
          <w:sz w:val="24"/>
        </w:rPr>
        <w:t>第三，可回滚是批准升级的前提。没有回退方案、没有回退包、没有回退演练的升级不予批准。回退方案要写明回退对象、回退顺序、回退责任人、回退后的数据处置方式，不能只写一句“可回滚至上一版本”。</w:t>
      </w:r>
    </w:p>
    <w:p w14:paraId="0AD57E59">
      <w:pPr>
        <w:spacing w:before="0" w:after="0" w:line="360" w:lineRule="auto"/>
        <w:ind w:firstLine="480"/>
      </w:pPr>
      <w:r>
        <w:rPr>
          <w:rFonts w:hint="eastAsia" w:ascii="宋体" w:hAnsi="宋体" w:eastAsia="宋体" w:cs="宋体"/>
          <w:b w:val="0"/>
          <w:sz w:val="24"/>
        </w:rPr>
        <w:t>第四，配置与程序分离。能用配置解决的，不改代码；能用参数调整的，不改流程。配置变更与程序发布同等管理，同样需要版本号、审批与留痕，避免配置成为管理盲区。</w:t>
      </w:r>
    </w:p>
    <w:p w14:paraId="4308282E">
      <w:pPr>
        <w:spacing w:before="0" w:after="0" w:line="360" w:lineRule="auto"/>
        <w:ind w:firstLine="480"/>
      </w:pPr>
      <w:r>
        <w:rPr>
          <w:rFonts w:hint="eastAsia" w:ascii="宋体" w:hAnsi="宋体" w:eastAsia="宋体" w:cs="宋体"/>
          <w:b w:val="0"/>
          <w:sz w:val="24"/>
        </w:rPr>
        <w:t>第五，版本可追溯。每次生成都要能回答四个问题：哪个模型、哪版知识、哪版提示词、哪次发布。追溯不是为追责，而是为定位问题、评估影响范围、支持病历举证。</w:t>
      </w:r>
    </w:p>
    <w:p w14:paraId="14263438">
      <w:pPr>
        <w:spacing w:before="0" w:after="0" w:line="360" w:lineRule="auto"/>
        <w:ind w:firstLine="480"/>
      </w:pPr>
      <w:r>
        <w:rPr>
          <w:rFonts w:hint="eastAsia" w:ascii="宋体" w:hAnsi="宋体" w:eastAsia="宋体" w:cs="宋体"/>
          <w:b w:val="0"/>
          <w:sz w:val="24"/>
        </w:rPr>
        <w:t>第六，数据只前滚、不轻退。程序可以回滚，数据不轻易回滚。确需纠正已写入的数据，采用补偿方式新增记录，不采用删除或逆向覆盖的方式，保证病历修改留痕与数据可审计。</w:t>
      </w:r>
    </w:p>
    <w:p w14:paraId="35AA0FE7">
      <w:pPr>
        <w:spacing w:before="0" w:after="0" w:line="360" w:lineRule="auto"/>
        <w:ind w:firstLine="480"/>
      </w:pPr>
      <w:r>
        <w:rPr>
          <w:rFonts w:hint="eastAsia" w:ascii="宋体" w:hAnsi="宋体" w:eastAsia="宋体" w:cs="宋体"/>
          <w:b w:val="0"/>
          <w:sz w:val="24"/>
        </w:rPr>
        <w:t>第七，用户知情、培训同步。升级不是“悄悄变”。凡是影响操作路径、界面布局、输出格式的变更，须提前告知使用科室，同步更新操作手册与培训材料，必要时安排补训。没有配套培训的功能升级，等于把学习成本转嫁给临床。</w:t>
      </w:r>
    </w:p>
    <w:p w14:paraId="63D94731">
      <w:pPr>
        <w:spacing w:before="0" w:after="0" w:line="360" w:lineRule="auto"/>
        <w:ind w:firstLine="480"/>
      </w:pPr>
      <w:r>
        <w:rPr>
          <w:rFonts w:hint="eastAsia" w:ascii="宋体" w:hAnsi="宋体" w:eastAsia="宋体" w:cs="宋体"/>
          <w:b w:val="0"/>
          <w:sz w:val="24"/>
        </w:rPr>
        <w:t>第八，安全合规不因升级放松。每次升级后重新核对权限配置、日志策略、数据流向与脱敏规则，确保等保要求与数据分类分级要求不因版本变化而失效。安全基线一旦降低，后续很难恢复。</w:t>
      </w:r>
    </w:p>
    <w:p w14:paraId="52C482AA">
      <w:pPr>
        <w:pStyle w:val="4"/>
      </w:pPr>
      <w:r>
        <w:rPr>
          <w:rFonts w:hint="eastAsia"/>
        </w:rPr>
        <w:t>2.4 升级分级与管控要求</w:t>
      </w:r>
    </w:p>
    <w:p w14:paraId="2ABEEDCE">
      <w:pPr>
        <w:spacing w:before="0" w:after="0" w:line="360" w:lineRule="auto"/>
        <w:ind w:firstLine="480"/>
      </w:pPr>
      <w:r>
        <w:rPr>
          <w:rFonts w:hint="eastAsia" w:ascii="宋体" w:hAnsi="宋体" w:eastAsia="宋体" w:cs="宋体"/>
          <w:b w:val="0"/>
          <w:sz w:val="24"/>
        </w:rPr>
        <w:t>不同类型、不同影响面的升级，管控强度应当有所区别。管控过松会放大风险，管控过严会让日常优化寸步难行。本方案将升级划分为四级，分别规定审批、窗口、验证与回滚要求。</w:t>
      </w:r>
    </w:p>
    <w:tbl>
      <w:tblPr>
        <w:tblStyle w:val="33"/>
        <w:tblW w:w="107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8"/>
        <w:gridCol w:w="2195"/>
        <w:gridCol w:w="1386"/>
        <w:gridCol w:w="2301"/>
        <w:gridCol w:w="1278"/>
        <w:gridCol w:w="2318"/>
      </w:tblGrid>
      <w:tr w14:paraId="09AD1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F2F2F2"/>
            <w:vAlign w:val="center"/>
          </w:tcPr>
          <w:p w14:paraId="54DDBB39">
            <w:pPr>
              <w:snapToGrid w:val="0"/>
              <w:spacing w:before="40" w:after="40" w:line="240" w:lineRule="auto"/>
              <w:ind w:left="0" w:leftChars="0" w:right="0" w:rightChars="0" w:firstLine="0" w:firstLineChars="0"/>
              <w:jc w:val="center"/>
              <w:rPr>
                <w:rFonts w:ascii="宋体" w:eastAsia="宋体"/>
                <w:b/>
                <w:sz w:val="21"/>
              </w:rPr>
            </w:pPr>
            <w:r>
              <w:rPr>
                <w:rFonts w:hint="eastAsia" w:ascii="宋体" w:hAnsi="宋体" w:eastAsia="宋体" w:cs="宋体"/>
                <w:b/>
                <w:sz w:val="21"/>
              </w:rPr>
              <w:t>级别</w:t>
            </w:r>
          </w:p>
        </w:tc>
        <w:tc>
          <w:tcPr>
            <w:tcW w:w="0" w:type="auto"/>
            <w:shd w:val="clear" w:color="auto" w:fill="F2F2F2"/>
            <w:vAlign w:val="center"/>
          </w:tcPr>
          <w:p w14:paraId="492E2BBF">
            <w:pPr>
              <w:snapToGrid w:val="0"/>
              <w:spacing w:before="40" w:after="40" w:line="240" w:lineRule="auto"/>
              <w:ind w:left="0" w:leftChars="0" w:right="0" w:rightChars="0" w:firstLine="0" w:firstLineChars="0"/>
              <w:jc w:val="center"/>
              <w:rPr>
                <w:rFonts w:ascii="宋体" w:eastAsia="宋体"/>
                <w:b/>
                <w:sz w:val="21"/>
              </w:rPr>
            </w:pPr>
            <w:r>
              <w:rPr>
                <w:rFonts w:hint="eastAsia" w:ascii="宋体" w:hAnsi="宋体" w:eastAsia="宋体" w:cs="宋体"/>
                <w:b/>
                <w:sz w:val="21"/>
              </w:rPr>
              <w:t>典型内容</w:t>
            </w:r>
          </w:p>
        </w:tc>
        <w:tc>
          <w:tcPr>
            <w:tcW w:w="1386" w:type="dxa"/>
            <w:shd w:val="clear" w:color="auto" w:fill="F2F2F2"/>
            <w:vAlign w:val="center"/>
          </w:tcPr>
          <w:p w14:paraId="43BA06A4">
            <w:pPr>
              <w:snapToGrid w:val="0"/>
              <w:spacing w:before="40" w:after="40" w:line="240" w:lineRule="auto"/>
              <w:ind w:left="0" w:leftChars="0" w:right="0" w:rightChars="0" w:firstLine="0" w:firstLineChars="0"/>
              <w:jc w:val="center"/>
              <w:rPr>
                <w:rFonts w:ascii="宋体" w:eastAsia="宋体"/>
                <w:b/>
                <w:sz w:val="21"/>
              </w:rPr>
            </w:pPr>
            <w:r>
              <w:rPr>
                <w:rFonts w:hint="eastAsia" w:ascii="宋体" w:hAnsi="宋体" w:eastAsia="宋体" w:cs="宋体"/>
                <w:b/>
                <w:sz w:val="21"/>
              </w:rPr>
              <w:t>影响范围</w:t>
            </w:r>
          </w:p>
        </w:tc>
        <w:tc>
          <w:tcPr>
            <w:tcW w:w="0" w:type="auto"/>
            <w:shd w:val="clear" w:color="auto" w:fill="F2F2F2"/>
            <w:vAlign w:val="center"/>
          </w:tcPr>
          <w:p w14:paraId="0E828EC5">
            <w:pPr>
              <w:snapToGrid w:val="0"/>
              <w:spacing w:before="40" w:after="40" w:line="240" w:lineRule="auto"/>
              <w:ind w:left="0" w:leftChars="0" w:right="0" w:rightChars="0" w:firstLine="0" w:firstLineChars="0"/>
              <w:jc w:val="center"/>
              <w:rPr>
                <w:rFonts w:ascii="宋体" w:eastAsia="宋体"/>
                <w:b/>
                <w:sz w:val="21"/>
              </w:rPr>
            </w:pPr>
            <w:r>
              <w:rPr>
                <w:rFonts w:hint="eastAsia" w:ascii="宋体" w:hAnsi="宋体" w:eastAsia="宋体" w:cs="宋体"/>
                <w:b/>
                <w:sz w:val="21"/>
              </w:rPr>
              <w:t>审批要求</w:t>
            </w:r>
          </w:p>
        </w:tc>
        <w:tc>
          <w:tcPr>
            <w:tcW w:w="0" w:type="auto"/>
            <w:shd w:val="clear" w:color="auto" w:fill="F2F2F2"/>
            <w:vAlign w:val="center"/>
          </w:tcPr>
          <w:p w14:paraId="2585CEF9">
            <w:pPr>
              <w:snapToGrid w:val="0"/>
              <w:spacing w:before="40" w:after="40" w:line="240" w:lineRule="auto"/>
              <w:ind w:left="0" w:leftChars="0" w:right="0" w:rightChars="0" w:firstLine="0" w:firstLineChars="0"/>
              <w:jc w:val="center"/>
              <w:rPr>
                <w:rFonts w:ascii="宋体" w:eastAsia="宋体"/>
                <w:b/>
                <w:sz w:val="21"/>
              </w:rPr>
            </w:pPr>
            <w:r>
              <w:rPr>
                <w:rFonts w:hint="eastAsia" w:ascii="宋体" w:hAnsi="宋体" w:eastAsia="宋体" w:cs="宋体"/>
                <w:b/>
                <w:sz w:val="21"/>
              </w:rPr>
              <w:t>实施窗口</w:t>
            </w:r>
          </w:p>
        </w:tc>
        <w:tc>
          <w:tcPr>
            <w:tcW w:w="2318" w:type="dxa"/>
            <w:shd w:val="clear" w:color="auto" w:fill="F2F2F2"/>
            <w:vAlign w:val="center"/>
          </w:tcPr>
          <w:p w14:paraId="703A638E">
            <w:pPr>
              <w:snapToGrid w:val="0"/>
              <w:spacing w:before="40" w:after="40" w:line="240" w:lineRule="auto"/>
              <w:ind w:left="0" w:leftChars="0" w:right="0" w:rightChars="0" w:firstLine="0" w:firstLineChars="0"/>
              <w:jc w:val="center"/>
              <w:rPr>
                <w:rFonts w:ascii="宋体" w:eastAsia="宋体"/>
                <w:b/>
                <w:sz w:val="21"/>
              </w:rPr>
            </w:pPr>
            <w:r>
              <w:rPr>
                <w:rFonts w:hint="eastAsia" w:ascii="宋体" w:hAnsi="宋体" w:eastAsia="宋体" w:cs="宋体"/>
                <w:b/>
                <w:sz w:val="21"/>
              </w:rPr>
              <w:t>验证与回滚要求</w:t>
            </w:r>
          </w:p>
        </w:tc>
      </w:tr>
      <w:tr w14:paraId="793A3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984979E">
            <w:pPr>
              <w:snapToGrid w:val="0"/>
              <w:spacing w:before="40" w:after="40" w:line="240" w:lineRule="auto"/>
              <w:ind w:left="0" w:leftChars="0" w:right="0" w:rightChars="0" w:firstLine="0" w:firstLineChars="0"/>
              <w:jc w:val="center"/>
              <w:rPr>
                <w:rFonts w:ascii="宋体" w:eastAsia="宋体"/>
                <w:sz w:val="21"/>
              </w:rPr>
            </w:pPr>
            <w:r>
              <w:rPr>
                <w:rFonts w:hint="eastAsia" w:ascii="宋体" w:hAnsi="宋体" w:eastAsia="宋体" w:cs="宋体"/>
                <w:b w:val="0"/>
                <w:sz w:val="21"/>
              </w:rPr>
              <w:t>一级 紧急修复</w:t>
            </w:r>
          </w:p>
        </w:tc>
        <w:tc>
          <w:tcPr>
            <w:tcW w:w="0" w:type="auto"/>
            <w:vAlign w:val="center"/>
          </w:tcPr>
          <w:p w14:paraId="3C5B4746">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安全漏洞修补、业务不可用的缺陷、数据错误纠正</w:t>
            </w:r>
          </w:p>
        </w:tc>
        <w:tc>
          <w:tcPr>
            <w:tcW w:w="1386" w:type="dxa"/>
            <w:vAlign w:val="center"/>
          </w:tcPr>
          <w:p w14:paraId="33D0B7BF">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局部或全院</w:t>
            </w:r>
          </w:p>
        </w:tc>
        <w:tc>
          <w:tcPr>
            <w:tcW w:w="0" w:type="auto"/>
            <w:vAlign w:val="center"/>
          </w:tcPr>
          <w:p w14:paraId="4D416973">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院方信息科负责人与供方项目经理共同确认，可先处置后补书面手续</w:t>
            </w:r>
          </w:p>
        </w:tc>
        <w:tc>
          <w:tcPr>
            <w:tcW w:w="0" w:type="auto"/>
            <w:vAlign w:val="center"/>
          </w:tcPr>
          <w:p w14:paraId="2F231439">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随时启动，优先安排在业务低峰</w:t>
            </w:r>
          </w:p>
        </w:tc>
        <w:tc>
          <w:tcPr>
            <w:tcW w:w="2318" w:type="dxa"/>
            <w:vAlign w:val="center"/>
          </w:tcPr>
          <w:p w14:paraId="3E8DBC22">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针对性验证加冒烟测试；回退包须已预置并可直接使用</w:t>
            </w:r>
          </w:p>
        </w:tc>
      </w:tr>
      <w:tr w14:paraId="302D9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4963C465">
            <w:pPr>
              <w:snapToGrid w:val="0"/>
              <w:spacing w:before="40" w:after="40" w:line="240" w:lineRule="auto"/>
              <w:ind w:left="0" w:leftChars="0" w:right="0" w:rightChars="0" w:firstLine="0" w:firstLineChars="0"/>
              <w:jc w:val="center"/>
              <w:rPr>
                <w:rFonts w:ascii="宋体" w:eastAsia="宋体"/>
                <w:sz w:val="21"/>
              </w:rPr>
            </w:pPr>
            <w:r>
              <w:rPr>
                <w:rFonts w:hint="eastAsia" w:ascii="宋体" w:hAnsi="宋体" w:eastAsia="宋体" w:cs="宋体"/>
                <w:b w:val="0"/>
                <w:sz w:val="21"/>
              </w:rPr>
              <w:t>二级 配置级升级</w:t>
            </w:r>
          </w:p>
        </w:tc>
        <w:tc>
          <w:tcPr>
            <w:tcW w:w="0" w:type="auto"/>
            <w:vAlign w:val="center"/>
          </w:tcPr>
          <w:p w14:paraId="35DA1426">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提示词调整、质控规则调整、知识文档更新、路由策略调整</w:t>
            </w:r>
          </w:p>
        </w:tc>
        <w:tc>
          <w:tcPr>
            <w:tcW w:w="1386" w:type="dxa"/>
            <w:vAlign w:val="center"/>
          </w:tcPr>
          <w:p w14:paraId="24E99ACD">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单场景或单科室</w:t>
            </w:r>
          </w:p>
        </w:tc>
        <w:tc>
          <w:tcPr>
            <w:tcW w:w="0" w:type="auto"/>
            <w:vAlign w:val="center"/>
          </w:tcPr>
          <w:p w14:paraId="69FD1F77">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场景责任人审批，涉及临床口径的经医务部或质控科确认</w:t>
            </w:r>
          </w:p>
        </w:tc>
        <w:tc>
          <w:tcPr>
            <w:tcW w:w="0" w:type="auto"/>
            <w:vAlign w:val="center"/>
          </w:tcPr>
          <w:p w14:paraId="78DD93C8">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业务低峰，原则上不停机</w:t>
            </w:r>
          </w:p>
        </w:tc>
        <w:tc>
          <w:tcPr>
            <w:tcW w:w="2318" w:type="dxa"/>
            <w:vAlign w:val="center"/>
          </w:tcPr>
          <w:p w14:paraId="73A924DB">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评测集回归加小范围灰度；支持一键回滚至上一版本</w:t>
            </w:r>
          </w:p>
        </w:tc>
      </w:tr>
      <w:tr w14:paraId="0C72C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38C0017E">
            <w:pPr>
              <w:snapToGrid w:val="0"/>
              <w:spacing w:before="40" w:after="40" w:line="240" w:lineRule="auto"/>
              <w:ind w:left="0" w:leftChars="0" w:right="0" w:rightChars="0" w:firstLine="0" w:firstLineChars="0"/>
              <w:jc w:val="center"/>
              <w:rPr>
                <w:rFonts w:ascii="宋体" w:eastAsia="宋体"/>
                <w:sz w:val="21"/>
              </w:rPr>
            </w:pPr>
            <w:r>
              <w:rPr>
                <w:rFonts w:hint="eastAsia" w:ascii="宋体" w:hAnsi="宋体" w:eastAsia="宋体" w:cs="宋体"/>
                <w:b w:val="0"/>
                <w:sz w:val="21"/>
              </w:rPr>
              <w:t>三级 功能升级</w:t>
            </w:r>
          </w:p>
        </w:tc>
        <w:tc>
          <w:tcPr>
            <w:tcW w:w="0" w:type="auto"/>
            <w:vAlign w:val="center"/>
          </w:tcPr>
          <w:p w14:paraId="003AD392">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新增功能点、智能体能力增强、界面与交互调整</w:t>
            </w:r>
          </w:p>
        </w:tc>
        <w:tc>
          <w:tcPr>
            <w:tcW w:w="1386" w:type="dxa"/>
            <w:vAlign w:val="center"/>
          </w:tcPr>
          <w:p w14:paraId="60439480">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多科室</w:t>
            </w:r>
          </w:p>
        </w:tc>
        <w:tc>
          <w:tcPr>
            <w:tcW w:w="0" w:type="auto"/>
            <w:vAlign w:val="center"/>
          </w:tcPr>
          <w:p w14:paraId="791C11FB">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变更评审会审议，院方信息科与业务部门共同签批</w:t>
            </w:r>
          </w:p>
        </w:tc>
        <w:tc>
          <w:tcPr>
            <w:tcW w:w="0" w:type="auto"/>
            <w:vAlign w:val="center"/>
          </w:tcPr>
          <w:p w14:paraId="47D6F76E">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计划窗口，原则上不停机</w:t>
            </w:r>
          </w:p>
        </w:tc>
        <w:tc>
          <w:tcPr>
            <w:tcW w:w="2318" w:type="dxa"/>
            <w:vAlign w:val="center"/>
          </w:tcPr>
          <w:p w14:paraId="13EC7580">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功能测试、用户验收测试加灰度观察；版本回退并配套数据补偿</w:t>
            </w:r>
          </w:p>
        </w:tc>
      </w:tr>
      <w:tr w14:paraId="65B9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09" w:type="dxa"/>
            <w:vAlign w:val="center"/>
          </w:tcPr>
          <w:p w14:paraId="164C2001">
            <w:pPr>
              <w:snapToGrid w:val="0"/>
              <w:spacing w:before="40" w:after="40" w:line="240" w:lineRule="auto"/>
              <w:ind w:left="0" w:leftChars="0" w:right="0" w:rightChars="0" w:firstLine="0" w:firstLineChars="0"/>
              <w:jc w:val="center"/>
              <w:rPr>
                <w:rFonts w:ascii="宋体" w:eastAsia="宋体"/>
                <w:sz w:val="21"/>
              </w:rPr>
            </w:pPr>
            <w:r>
              <w:rPr>
                <w:rFonts w:hint="eastAsia" w:ascii="宋体" w:hAnsi="宋体" w:eastAsia="宋体" w:cs="宋体"/>
                <w:b w:val="0"/>
                <w:sz w:val="21"/>
              </w:rPr>
              <w:t>四级 平台版本升级</w:t>
            </w:r>
          </w:p>
        </w:tc>
        <w:tc>
          <w:tcPr>
            <w:tcW w:w="2195" w:type="dxa"/>
            <w:vAlign w:val="center"/>
          </w:tcPr>
          <w:p w14:paraId="0597EFE0">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框架升级、数据库结构变更、推理引擎或驱动升级</w:t>
            </w:r>
          </w:p>
        </w:tc>
        <w:tc>
          <w:tcPr>
            <w:tcW w:w="1386" w:type="dxa"/>
            <w:vAlign w:val="center"/>
          </w:tcPr>
          <w:p w14:paraId="2D33DF16">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全院</w:t>
            </w:r>
          </w:p>
        </w:tc>
        <w:tc>
          <w:tcPr>
            <w:tcW w:w="2301" w:type="dxa"/>
            <w:vAlign w:val="center"/>
          </w:tcPr>
          <w:p w14:paraId="46EB0D1B">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院方信息化主管领导批准，纳入年度计划</w:t>
            </w:r>
          </w:p>
        </w:tc>
        <w:tc>
          <w:tcPr>
            <w:tcW w:w="1278" w:type="dxa"/>
            <w:vAlign w:val="center"/>
          </w:tcPr>
          <w:p w14:paraId="303AD2B5">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停机窗口，提前公告</w:t>
            </w:r>
          </w:p>
        </w:tc>
        <w:tc>
          <w:tcPr>
            <w:tcW w:w="2318" w:type="dxa"/>
            <w:vAlign w:val="center"/>
          </w:tcPr>
          <w:p w14:paraId="00A22434">
            <w:pPr>
              <w:snapToGrid w:val="0"/>
              <w:spacing w:before="40" w:after="40" w:line="240" w:lineRule="auto"/>
              <w:ind w:left="0" w:leftChars="0" w:right="0" w:rightChars="0" w:firstLine="0" w:firstLineChars="0"/>
              <w:jc w:val="left"/>
              <w:rPr>
                <w:rFonts w:ascii="宋体" w:eastAsia="宋体"/>
                <w:sz w:val="21"/>
              </w:rPr>
            </w:pPr>
            <w:r>
              <w:rPr>
                <w:rFonts w:hint="eastAsia" w:ascii="宋体" w:hAnsi="宋体" w:eastAsia="宋体" w:cs="宋体"/>
                <w:b w:val="0"/>
                <w:sz w:val="21"/>
              </w:rPr>
              <w:t>全量回归、试运行加回滚演练；完整回退包与演练记录齐备</w:t>
            </w:r>
          </w:p>
        </w:tc>
      </w:tr>
    </w:tbl>
    <w:p w14:paraId="33C5F9FF">
      <w:pPr>
        <w:spacing w:before="0" w:after="0" w:line="360" w:lineRule="auto"/>
        <w:ind w:firstLine="480"/>
      </w:pPr>
      <w:r>
        <w:rPr>
          <w:rFonts w:hint="eastAsia" w:ascii="宋体" w:hAnsi="宋体" w:eastAsia="宋体" w:cs="宋体"/>
          <w:b w:val="0"/>
          <w:sz w:val="24"/>
        </w:rPr>
        <w:t>四级之外还有一类特殊情形：涉及数据模型变更、权限体系调整或跨系统接口协议变更的升级，无论其功能范围大小，一律按四级管控。原因是这类变更一旦出问题，影响往往不在功能层面，而在数据一致性与系统间协同层面，事后修复的成本远高于事前多一道评审。</w:t>
      </w:r>
    </w:p>
    <w:p w14:paraId="0EE2B022">
      <w:pPr>
        <w:spacing w:before="0" w:after="0" w:line="360" w:lineRule="auto"/>
        <w:ind w:firstLine="480"/>
      </w:pPr>
      <w:r>
        <w:rPr>
          <w:rFonts w:hint="eastAsia" w:ascii="宋体" w:hAnsi="宋体" w:eastAsia="宋体" w:cs="宋体"/>
          <w:b w:val="0"/>
          <w:sz w:val="24"/>
        </w:rPr>
        <w:t>分级不是固定的，允许在实际执行中上调。当供方或院方任一方判断风险高于当前级别时，可提请上调一级管控，下调研判需要双方书面同意。这一规则的目的，是让风险判断保留保守的余地。</w:t>
      </w:r>
    </w:p>
    <w:p w14:paraId="1270D848">
      <w:pPr>
        <w:pStyle w:val="4"/>
      </w:pPr>
      <w:r>
        <w:rPr>
          <w:rFonts w:hint="eastAsia"/>
        </w:rPr>
        <w:t>2.5 升级的技术支撑能力</w:t>
      </w:r>
    </w:p>
    <w:p w14:paraId="44D892DD">
      <w:pPr>
        <w:spacing w:before="0" w:after="0" w:line="360" w:lineRule="auto"/>
        <w:ind w:firstLine="480"/>
      </w:pPr>
      <w:r>
        <w:rPr>
          <w:rFonts w:hint="eastAsia" w:ascii="宋体" w:hAnsi="宋体" w:eastAsia="宋体" w:cs="宋体"/>
          <w:b w:val="0"/>
          <w:sz w:val="24"/>
        </w:rPr>
        <w:t>升级流程能否落地，取决于平台本身是否具备支撑能力。如果版本无法并存、配置无法热生效、数据无法追溯，再完善的流程也只能停留在纸面。本方案在平台设计阶段已为此预留了相应能力，本节作集中说明。</w:t>
      </w:r>
    </w:p>
    <w:p w14:paraId="4DFD651F">
      <w:pPr>
        <w:pStyle w:val="5"/>
      </w:pPr>
      <w:r>
        <w:rPr>
          <w:rFonts w:hint="eastAsia"/>
        </w:rPr>
        <w:t>2.5.1 版本管理与配置基线</w:t>
      </w:r>
    </w:p>
    <w:p w14:paraId="31A5A4A5">
      <w:pPr>
        <w:spacing w:before="0" w:after="0" w:line="360" w:lineRule="auto"/>
        <w:ind w:firstLine="480"/>
      </w:pPr>
      <w:r>
        <w:rPr>
          <w:rFonts w:hint="eastAsia" w:ascii="宋体" w:hAnsi="宋体" w:eastAsia="宋体" w:cs="宋体"/>
          <w:b w:val="0"/>
          <w:sz w:val="24"/>
        </w:rPr>
        <w:t>平台对四类升级对象分别建立版本管理：程序版本通过容器镜像标签管理，模型版本通过模型注册表管理，知识库通过文档版本与索引版本双重管理，提示词与编排通过配置版本管理。四类版本共同构成一次发布的配置基线。</w:t>
      </w:r>
    </w:p>
    <w:p w14:paraId="1034F531">
      <w:pPr>
        <w:spacing w:before="0" w:after="0" w:line="360" w:lineRule="auto"/>
        <w:ind w:firstLine="480"/>
      </w:pPr>
      <w:r>
        <w:rPr>
          <w:rFonts w:hint="eastAsia" w:ascii="宋体" w:hAnsi="宋体" w:eastAsia="宋体" w:cs="宋体"/>
          <w:b w:val="0"/>
          <w:sz w:val="24"/>
        </w:rPr>
        <w:t>配置基线的意义在于可复现。当需要排查某个问题时，能够按基线还原出当时的完整运行环境，而不是凭记忆拼凑“当时大概是哪一版”。基线同时是回滚的参照：回滚不是“退到大概以前的状态”，而是“退到某个确定的基线”。</w:t>
      </w:r>
    </w:p>
    <w:p w14:paraId="7309CB6C">
      <w:pPr>
        <w:pStyle w:val="5"/>
      </w:pPr>
      <w:r>
        <w:rPr>
          <w:rFonts w:hint="eastAsia"/>
        </w:rPr>
        <w:t>2.5.2 多版本并存与流量调度</w:t>
      </w:r>
    </w:p>
    <w:p w14:paraId="009BFE76">
      <w:pPr>
        <w:spacing w:before="0" w:after="0" w:line="360" w:lineRule="auto"/>
        <w:ind w:firstLine="480"/>
      </w:pPr>
      <w:r>
        <w:rPr>
          <w:rFonts w:hint="eastAsia" w:ascii="宋体" w:hAnsi="宋体" w:eastAsia="宋体" w:cs="宋体"/>
          <w:b w:val="0"/>
          <w:sz w:val="24"/>
        </w:rPr>
        <w:t>平台支持同一能力的多个版本同时在线，通过模型注册表登记每个版本的状态与流量权重。业务侧只引用能力标签（如“临床文书生成”），不直接引用模型名称，因此更换模型只需调整注册表中的状态与权重，业务代码无需改动。</w:t>
      </w:r>
    </w:p>
    <w:p w14:paraId="5669949F">
      <w:pPr>
        <w:spacing w:before="0" w:after="0" w:line="360" w:lineRule="auto"/>
        <w:ind w:firstLine="480"/>
      </w:pPr>
      <w:r>
        <w:rPr>
          <w:rFonts w:hint="eastAsia" w:ascii="宋体" w:hAnsi="宋体" w:eastAsia="宋体" w:cs="宋体"/>
          <w:b w:val="0"/>
          <w:sz w:val="24"/>
        </w:rPr>
        <w:t>与流量调度配套的是会话粘性：同一患者同一次就诊的连续请求，依据患者标识与就诊标识进行一致性哈希，固定路由到同一版本。这一机制解决的是生成过程中的文风与术语突变问题——如果一份入院记录的前半段由旧模型生成、后半段由新模型生成，即便两段都通顺，整体读起来也会不协调，医师的修改负担反而增加。</w:t>
      </w:r>
    </w:p>
    <w:p w14:paraId="13B265DB">
      <w:pPr>
        <w:pStyle w:val="5"/>
      </w:pPr>
      <w:r>
        <w:rPr>
          <w:rFonts w:hint="eastAsia"/>
        </w:rPr>
        <w:t>2.5.3 灰度与功能开关</w:t>
      </w:r>
    </w:p>
    <w:p w14:paraId="531B4B8F">
      <w:pPr>
        <w:spacing w:before="0" w:after="0" w:line="360" w:lineRule="auto"/>
        <w:ind w:firstLine="480"/>
      </w:pPr>
      <w:r>
        <w:rPr>
          <w:rFonts w:hint="eastAsia" w:ascii="宋体" w:hAnsi="宋体" w:eastAsia="宋体" w:cs="宋体"/>
          <w:b w:val="0"/>
          <w:sz w:val="24"/>
        </w:rPr>
        <w:t>平台提供按科室、按医师、按患者、按文书类型、按流量比例五个维度的分流能力，用于灰度发布与局部试用。分流规则以配置形式管理，支持热生效，变更留痕。</w:t>
      </w:r>
    </w:p>
    <w:p w14:paraId="10FAF7B1">
      <w:pPr>
        <w:spacing w:before="0" w:after="0" w:line="360" w:lineRule="auto"/>
        <w:ind w:firstLine="480"/>
      </w:pPr>
      <w:r>
        <w:rPr>
          <w:rFonts w:hint="eastAsia" w:ascii="宋体" w:hAnsi="宋体" w:eastAsia="宋体" w:cs="宋体"/>
          <w:b w:val="0"/>
          <w:sz w:val="24"/>
        </w:rPr>
        <w:t>功能开关与灰度规则本身纳入版本管理。这一点容易被忽视：如果开关状态可以随意修改且不留记录，那么“系统当前到底对哪些科室开放了哪个功能”将无法回答，一旦出现问题，影响范围也难以界定。</w:t>
      </w:r>
    </w:p>
    <w:p w14:paraId="30390345">
      <w:pPr>
        <w:pStyle w:val="5"/>
      </w:pPr>
      <w:r>
        <w:rPr>
          <w:rFonts w:hint="eastAsia"/>
        </w:rPr>
        <w:t>2.5.4 数据库变更与数据迁移管理</w:t>
      </w:r>
    </w:p>
    <w:p w14:paraId="77FBDD43">
      <w:pPr>
        <w:spacing w:before="0" w:after="0" w:line="360" w:lineRule="auto"/>
        <w:ind w:firstLine="480"/>
      </w:pPr>
      <w:r>
        <w:rPr>
          <w:rFonts w:hint="eastAsia" w:ascii="宋体" w:hAnsi="宋体" w:eastAsia="宋体" w:cs="宋体"/>
          <w:b w:val="0"/>
          <w:sz w:val="24"/>
        </w:rPr>
        <w:t>数据库变更是升级中风险最集中的环节。本方案对数据变更规定五条要求。</w:t>
      </w:r>
    </w:p>
    <w:p w14:paraId="4693D02D">
      <w:pPr>
        <w:spacing w:before="0" w:after="0" w:line="360" w:lineRule="auto"/>
        <w:ind w:firstLine="480"/>
      </w:pPr>
      <w:r>
        <w:rPr>
          <w:rFonts w:hint="eastAsia" w:ascii="宋体" w:hAnsi="宋体" w:eastAsia="宋体" w:cs="宋体"/>
          <w:b w:val="0"/>
          <w:sz w:val="24"/>
        </w:rPr>
        <w:t>第一，脚本版本化。所有结构变更与数据变更脚本纳入版本管理，与程序版本对应，禁止在生产环境手工执行未经评审的语句。</w:t>
      </w:r>
    </w:p>
    <w:p w14:paraId="10883186">
      <w:pPr>
        <w:spacing w:before="0" w:after="0" w:line="360" w:lineRule="auto"/>
        <w:ind w:firstLine="480"/>
      </w:pPr>
      <w:r>
        <w:rPr>
          <w:rFonts w:hint="eastAsia" w:ascii="宋体" w:hAnsi="宋体" w:eastAsia="宋体" w:cs="宋体"/>
          <w:b w:val="0"/>
          <w:sz w:val="24"/>
        </w:rPr>
        <w:t>第二，先评审后执行。脚本须经供方技术负责人与院方信息科双重评审，重点检查是否锁表、是否可逆、是否影响大表、是否与在途业务冲突。</w:t>
      </w:r>
    </w:p>
    <w:p w14:paraId="0C8F5A0D">
      <w:pPr>
        <w:spacing w:before="0" w:after="0" w:line="360" w:lineRule="auto"/>
        <w:ind w:firstLine="480"/>
      </w:pPr>
      <w:r>
        <w:rPr>
          <w:rFonts w:hint="eastAsia" w:ascii="宋体" w:hAnsi="宋体" w:eastAsia="宋体" w:cs="宋体"/>
          <w:b w:val="0"/>
          <w:sz w:val="24"/>
        </w:rPr>
        <w:t>第三，先备份后变更。变更前完成数据库全量备份与关键表备份，备份可用性经过验证，而非“备份任务显示成功”即视为可用。</w:t>
      </w:r>
    </w:p>
    <w:p w14:paraId="0F88B5DF">
      <w:pPr>
        <w:spacing w:before="0" w:after="0" w:line="360" w:lineRule="auto"/>
        <w:ind w:firstLine="480"/>
      </w:pPr>
      <w:r>
        <w:rPr>
          <w:rFonts w:hint="eastAsia" w:ascii="宋体" w:hAnsi="宋体" w:eastAsia="宋体" w:cs="宋体"/>
          <w:b w:val="0"/>
          <w:sz w:val="24"/>
        </w:rPr>
        <w:t>第四，变更前后校验。变更前记录关键表的行数与关键指标，变更后比对，出现偏差立即停止并回退。</w:t>
      </w:r>
    </w:p>
    <w:p w14:paraId="5E1CBE5F">
      <w:pPr>
        <w:spacing w:before="0" w:after="0" w:line="360" w:lineRule="auto"/>
        <w:ind w:firstLine="480"/>
      </w:pPr>
      <w:r>
        <w:rPr>
          <w:rFonts w:hint="eastAsia" w:ascii="宋体" w:hAnsi="宋体" w:eastAsia="宋体" w:cs="宋体"/>
          <w:b w:val="0"/>
          <w:sz w:val="24"/>
        </w:rPr>
        <w:t>第五，大表变更单独安排。对数据量大的表，采用在线变更工具或安排在停机窗口执行，避免长时间锁表影响业务。</w:t>
      </w:r>
    </w:p>
    <w:p w14:paraId="3E9BF85C">
      <w:pPr>
        <w:spacing w:before="0" w:after="0" w:line="360" w:lineRule="auto"/>
        <w:ind w:firstLine="480"/>
      </w:pPr>
      <w:r>
        <w:rPr>
          <w:rFonts w:hint="eastAsia" w:ascii="宋体" w:hAnsi="宋体" w:eastAsia="宋体" w:cs="宋体"/>
          <w:b w:val="0"/>
          <w:sz w:val="24"/>
        </w:rPr>
        <w:t>需要强调的是，数据迁移与程序回退是两件事。程序可以退回旧版本，但已经写入的新结构数据通常无法简单逆向。因此数据变更脚本在设计时就要考虑向前兼容：新结构尽量保留旧字段、旧字段先置空不删除，给回退留出余地。</w:t>
      </w:r>
    </w:p>
    <w:p w14:paraId="34EFC77A">
      <w:pPr>
        <w:pStyle w:val="5"/>
      </w:pPr>
      <w:r>
        <w:rPr>
          <w:rFonts w:hint="eastAsia"/>
        </w:rPr>
        <w:t>2.5.5 升级包与交付形态</w:t>
      </w:r>
    </w:p>
    <w:p w14:paraId="50C17FC6">
      <w:pPr>
        <w:spacing w:before="0" w:after="0" w:line="360" w:lineRule="auto"/>
        <w:ind w:firstLine="480"/>
      </w:pPr>
      <w:r>
        <w:rPr>
          <w:rFonts w:hint="eastAsia" w:ascii="宋体" w:hAnsi="宋体" w:eastAsia="宋体" w:cs="宋体"/>
          <w:b w:val="0"/>
          <w:sz w:val="24"/>
        </w:rPr>
        <w:t>本系统部署在医院内网，通常与互联网物理隔离，升级包的交付方式必须适应这一环境。</w:t>
      </w:r>
    </w:p>
    <w:p w14:paraId="1698A981">
      <w:pPr>
        <w:spacing w:before="0" w:after="0" w:line="360" w:lineRule="auto"/>
        <w:ind w:firstLine="480"/>
      </w:pPr>
      <w:r>
        <w:rPr>
          <w:rFonts w:hint="eastAsia" w:ascii="宋体" w:hAnsi="宋体" w:eastAsia="宋体" w:cs="宋体"/>
          <w:b w:val="0"/>
          <w:sz w:val="24"/>
        </w:rPr>
        <w:t>升级包采用离线安装包形式，包含容器镜像、模型权重与依赖组件三部分。模型权重附校验值，导入后校验完整性，防止传输过程损坏或被替换。每个升级包同时提供对应的回退包，回退包与升级包同批次交付、同批次校验，避免出现“要回退时才发现回退包没带进来”的情况。</w:t>
      </w:r>
    </w:p>
    <w:p w14:paraId="207CD809">
      <w:pPr>
        <w:spacing w:before="0" w:after="0" w:line="360" w:lineRule="auto"/>
        <w:ind w:firstLine="480"/>
      </w:pPr>
      <w:r>
        <w:rPr>
          <w:rFonts w:hint="eastAsia" w:ascii="宋体" w:hAnsi="宋体" w:eastAsia="宋体" w:cs="宋体"/>
          <w:b w:val="0"/>
          <w:sz w:val="24"/>
        </w:rPr>
        <w:t>介质引入按医院信息安全管理要求执行：登记、查杀、审批、留档，由院方信息科按院内流程办理，供方提供介质清单与校验值。升级包与回退包在院内留存不少于两个版本周期，作为应急储备。</w:t>
      </w:r>
    </w:p>
    <w:p w14:paraId="6A41438A">
      <w:pPr>
        <w:pStyle w:val="5"/>
      </w:pPr>
      <w:r>
        <w:rPr>
          <w:rFonts w:hint="eastAsia"/>
        </w:rPr>
        <w:t>2.5.6 环境隔离与预生产验证</w:t>
      </w:r>
    </w:p>
    <w:p w14:paraId="36C06240">
      <w:pPr>
        <w:spacing w:before="0" w:after="0" w:line="360" w:lineRule="auto"/>
        <w:ind w:firstLine="480"/>
      </w:pPr>
      <w:r>
        <w:rPr>
          <w:rFonts w:hint="eastAsia" w:ascii="宋体" w:hAnsi="宋体" w:eastAsia="宋体" w:cs="宋体"/>
          <w:b w:val="0"/>
          <w:sz w:val="24"/>
        </w:rPr>
        <w:t>平台建设与运维遵循四套环境隔离：开发环境、测试环境、预生产环境、生产环境。</w:t>
      </w:r>
    </w:p>
    <w:p w14:paraId="4308F53A">
      <w:pPr>
        <w:spacing w:before="0" w:after="0" w:line="360" w:lineRule="auto"/>
        <w:ind w:firstLine="480"/>
      </w:pPr>
      <w:r>
        <w:rPr>
          <w:rFonts w:hint="eastAsia" w:ascii="宋体" w:hAnsi="宋体" w:eastAsia="宋体" w:cs="宋体"/>
          <w:b w:val="0"/>
          <w:sz w:val="24"/>
        </w:rPr>
        <w:t>预生产环境是升级验证的关键环节，其配置与生产环境保持同构：同版本的基础软件、同规格的算力节点、同配置的参数、抽样规模的脱敏数据。只有在预生产环境完成验证的升级，才允许进入生产环境灰度。生产环境禁止直接调试，紧急修复确需在生产环境操作的，须两人在场、全程录屏或留痕，事后补充完整记录。</w:t>
      </w:r>
    </w:p>
    <w:p w14:paraId="57873EF5">
      <w:pPr>
        <w:spacing w:before="0" w:after="0" w:line="360" w:lineRule="auto"/>
        <w:ind w:firstLine="480"/>
      </w:pPr>
      <w:r>
        <w:rPr>
          <w:rFonts w:hint="eastAsia" w:ascii="宋体" w:hAnsi="宋体" w:eastAsia="宋体" w:cs="宋体"/>
          <w:b w:val="0"/>
          <w:sz w:val="24"/>
        </w:rPr>
        <w:t>测试与预生产环境使用的数据一律脱敏，患者标识、姓名、联系方式、住址等直接标识信息替换为虚拟值，脱敏规则与生产环境的脱敏组件保持一致，防止“测试环境能跑、生产环境报错”这类因数据差异导致的问题。</w:t>
      </w:r>
    </w:p>
    <w:p w14:paraId="49BCCB90">
      <w:pPr>
        <w:pStyle w:val="4"/>
      </w:pPr>
      <w:r>
        <w:rPr>
          <w:rFonts w:hint="eastAsia"/>
        </w:rPr>
        <w:t>2.6 典型升级场景的实施流程</w:t>
      </w:r>
    </w:p>
    <w:p w14:paraId="48C87F23">
      <w:pPr>
        <w:spacing w:before="0" w:after="0" w:line="360" w:lineRule="auto"/>
        <w:ind w:firstLine="480"/>
      </w:pPr>
      <w:r>
        <w:rPr>
          <w:rFonts w:hint="eastAsia" w:ascii="宋体" w:hAnsi="宋体" w:eastAsia="宋体" w:cs="宋体"/>
          <w:b w:val="0"/>
          <w:sz w:val="24"/>
        </w:rPr>
        <w:t>不同类型的升级，流程细节不同，但骨架一致：准入、验证、放量、观察、归档。本节选取四类典型场景作具体说明。</w:t>
      </w:r>
    </w:p>
    <w:p w14:paraId="521BF4B3">
      <w:pPr>
        <w:pStyle w:val="5"/>
      </w:pPr>
      <w:r>
        <w:rPr>
          <w:rFonts w:hint="eastAsia"/>
        </w:rPr>
        <w:t>2.6.1 模型升级流程</w:t>
      </w:r>
    </w:p>
    <w:p w14:paraId="0C9896DC">
      <w:pPr>
        <w:spacing w:before="0" w:after="0" w:line="360" w:lineRule="auto"/>
        <w:ind w:firstLine="480"/>
      </w:pPr>
      <w:r>
        <w:rPr>
          <w:rFonts w:hint="eastAsia" w:ascii="宋体" w:hAnsi="宋体" w:eastAsia="宋体" w:cs="宋体"/>
          <w:b w:val="0"/>
          <w:sz w:val="24"/>
        </w:rPr>
        <w:t>模型升级影响面最广，流程也最完整，分为七个步骤。</w:t>
      </w:r>
    </w:p>
    <w:p w14:paraId="23B866DF">
      <w:pPr>
        <w:spacing w:before="0" w:after="0" w:line="360" w:lineRule="auto"/>
        <w:ind w:firstLine="480"/>
      </w:pPr>
      <w:r>
        <w:rPr>
          <w:rFonts w:hint="eastAsia" w:ascii="宋体" w:hAnsi="宋体" w:eastAsia="宋体" w:cs="宋体"/>
          <w:b w:val="0"/>
          <w:sz w:val="24"/>
        </w:rPr>
        <w:t>第一步，准入评测。新模型在标准化标注评测集上完成测试，设置三条硬门槛：各项指标不低于在用版本；信息缺失类样本必须输出“信息不足”而非推测；检索不到依据时必须明确拒答而非自由发挥。三条门槛任一不满足，不进入下一步，也不因“其他方面更好”而通融。</w:t>
      </w:r>
    </w:p>
    <w:p w14:paraId="4151B7E7">
      <w:pPr>
        <w:spacing w:before="0" w:after="0" w:line="360" w:lineRule="auto"/>
        <w:ind w:firstLine="480"/>
      </w:pPr>
      <w:r>
        <w:rPr>
          <w:rFonts w:hint="eastAsia" w:ascii="宋体" w:hAnsi="宋体" w:eastAsia="宋体" w:cs="宋体"/>
          <w:b w:val="0"/>
          <w:sz w:val="24"/>
        </w:rPr>
        <w:t>第二步，影子加载。新模型以独立实例部署，不接入业务流量，验证其启动状态、显存占用、并发能力与推理引擎的兼容性。这一步骤解决的是“能不能跑起来”的问题，看似简单，却是最容易暴露环境差异的环节。</w:t>
      </w:r>
    </w:p>
    <w:p w14:paraId="570B36BF">
      <w:pPr>
        <w:spacing w:before="0" w:after="0" w:line="360" w:lineRule="auto"/>
        <w:ind w:firstLine="480"/>
      </w:pPr>
      <w:r>
        <w:rPr>
          <w:rFonts w:hint="eastAsia" w:ascii="宋体" w:hAnsi="宋体" w:eastAsia="宋体" w:cs="宋体"/>
          <w:b w:val="0"/>
          <w:sz w:val="24"/>
        </w:rPr>
        <w:t>第三步，影子比对。将真实业务请求复制一份发送给新模型，只做推理不落库，与在用模型的输出做同题对比，由医学顾问团队抽样盲评。盲评的重点不是“哪个更好”，而是“新模型是否在关键要素上出现退化”，例如诊断依据是否更空泛、异常结果是否漏掉分析。</w:t>
      </w:r>
    </w:p>
    <w:p w14:paraId="45C70C47">
      <w:pPr>
        <w:spacing w:before="0" w:after="0" w:line="360" w:lineRule="auto"/>
        <w:ind w:firstLine="480"/>
      </w:pPr>
      <w:r>
        <w:rPr>
          <w:rFonts w:hint="eastAsia" w:ascii="宋体" w:hAnsi="宋体" w:eastAsia="宋体" w:cs="宋体"/>
          <w:b w:val="0"/>
          <w:sz w:val="24"/>
        </w:rPr>
        <w:t>第四步，小流量灰度。赋予新模型小比例流量，观察失败率、响应时延、医师驳回率与修改幅度的变化。观察期内每日汇总，出现异常立即停止放量。</w:t>
      </w:r>
    </w:p>
    <w:p w14:paraId="360D2E02">
      <w:pPr>
        <w:spacing w:before="0" w:after="0" w:line="360" w:lineRule="auto"/>
        <w:ind w:firstLine="480"/>
      </w:pPr>
      <w:r>
        <w:rPr>
          <w:rFonts w:hint="eastAsia" w:ascii="宋体" w:hAnsi="宋体" w:eastAsia="宋体" w:cs="宋体"/>
          <w:b w:val="0"/>
          <w:sz w:val="24"/>
        </w:rPr>
        <w:t>第五步，指标比对评估。将灰度期的质量指标与灰度前基线逐项比对，任一核心指标出现显著劣化即暂停升级，回到第二步排查原因。此处的判据在实施阶段由双方共同确认并写入升级方案，不采用单一综合分数掩盖分项退化。</w:t>
      </w:r>
    </w:p>
    <w:p w14:paraId="0EB46E05">
      <w:pPr>
        <w:spacing w:before="0" w:after="0" w:line="360" w:lineRule="auto"/>
        <w:ind w:firstLine="480"/>
      </w:pPr>
      <w:r>
        <w:rPr>
          <w:rFonts w:hint="eastAsia" w:ascii="宋体" w:hAnsi="宋体" w:eastAsia="宋体" w:cs="宋体"/>
          <w:b w:val="0"/>
          <w:sz w:val="24"/>
        </w:rPr>
        <w:t>第六步，逐档放量。分档提升流量权重，每一档稳定运行后再提升下一档。放量节奏取决于使用科室的覆盖范围，门诊、住院等高频场景放量更慢，低频场景可适当加快。</w:t>
      </w:r>
    </w:p>
    <w:p w14:paraId="47C9E296">
      <w:pPr>
        <w:spacing w:before="0" w:after="0" w:line="360" w:lineRule="auto"/>
        <w:ind w:firstLine="480"/>
      </w:pPr>
      <w:r>
        <w:rPr>
          <w:rFonts w:hint="eastAsia" w:ascii="宋体" w:hAnsi="宋体" w:eastAsia="宋体" w:cs="宋体"/>
          <w:b w:val="0"/>
          <w:sz w:val="24"/>
        </w:rPr>
        <w:t>第七步，全量切换与归档。全量切换后，旧模型镜像与权重保留一个观察周期，作为随时可用的退路；观察期结束后形成升级报告，内容包括评测结果、灰度数据、问题清单、处理结论，归档并更新版本台账。</w:t>
      </w:r>
    </w:p>
    <w:p w14:paraId="15398797">
      <w:pPr>
        <w:spacing w:before="0" w:after="0" w:line="360" w:lineRule="auto"/>
        <w:ind w:firstLine="480"/>
      </w:pPr>
      <w:r>
        <w:rPr>
          <w:rFonts w:hint="eastAsia" w:ascii="宋体" w:hAnsi="宋体" w:eastAsia="宋体" w:cs="宋体"/>
          <w:b w:val="0"/>
          <w:sz w:val="24"/>
        </w:rPr>
        <w:t>整个流程中有三项配套措施不可省略：会话粘性保障连续生成的一致性；双模型并行期的算力预留，避免新模型上线挤压在用模型的推理资源；旧版本保留期的明确界定，避免“以为还能退、实际已经删了”。</w:t>
      </w:r>
    </w:p>
    <w:p w14:paraId="4CFE1001">
      <w:pPr>
        <w:pStyle w:val="5"/>
      </w:pPr>
      <w:r>
        <w:rPr>
          <w:rFonts w:hint="eastAsia"/>
        </w:rPr>
        <w:t>2.6.2 知识库升级流程</w:t>
      </w:r>
    </w:p>
    <w:p w14:paraId="1C9EA1D1">
      <w:pPr>
        <w:spacing w:before="0" w:after="0" w:line="360" w:lineRule="auto"/>
        <w:ind w:firstLine="480"/>
      </w:pPr>
      <w:r>
        <w:rPr>
          <w:rFonts w:hint="eastAsia" w:ascii="宋体" w:hAnsi="宋体" w:eastAsia="宋体" w:cs="宋体"/>
          <w:b w:val="0"/>
          <w:sz w:val="24"/>
        </w:rPr>
        <w:t>知识库升级的难点不在技术，而在责任。知识内容的准确性由业务部门负责，技术团队无法判断一条制度是否已被修订、一份指南是否仍然适用。因此流程设计以“谁的知识谁签字”为原则。</w:t>
      </w:r>
    </w:p>
    <w:p w14:paraId="569F5CA4">
      <w:pPr>
        <w:spacing w:before="0" w:after="0" w:line="360" w:lineRule="auto"/>
        <w:ind w:firstLine="480"/>
      </w:pPr>
      <w:r>
        <w:rPr>
          <w:rFonts w:hint="eastAsia" w:ascii="宋体" w:hAnsi="宋体" w:eastAsia="宋体" w:cs="宋体"/>
          <w:b w:val="0"/>
          <w:sz w:val="24"/>
        </w:rPr>
        <w:t>第一，变更申请与审核。知识文档的新增、修订、废止，由责任部门提出并签批；涉及临床诊疗口径的，须经医务部确认；涉及质控判定标准的，须经质控科确认。技术团队只负责加工与入库，不替业务部门作内容判断。</w:t>
      </w:r>
    </w:p>
    <w:p w14:paraId="31C8D07A">
      <w:pPr>
        <w:spacing w:before="0" w:after="0" w:line="360" w:lineRule="auto"/>
        <w:ind w:firstLine="480"/>
      </w:pPr>
      <w:r>
        <w:rPr>
          <w:rFonts w:hint="eastAsia" w:ascii="宋体" w:hAnsi="宋体" w:eastAsia="宋体" w:cs="宋体"/>
          <w:b w:val="0"/>
          <w:sz w:val="24"/>
        </w:rPr>
        <w:t>第二，生效期设置。每份知识文档标注生效起始日期与终止日期。新版本设定生效时间后，旧版本自动降权并标记为过期，检索命中时在输出中提示“该依据已过期，请核对最新版本”。这一机制解决的是“新制度已下发、系统还在引用旧制度”的常见问题。</w:t>
      </w:r>
    </w:p>
    <w:p w14:paraId="09FB7515">
      <w:pPr>
        <w:spacing w:before="0" w:after="0" w:line="360" w:lineRule="auto"/>
        <w:ind w:firstLine="480"/>
      </w:pPr>
      <w:r>
        <w:rPr>
          <w:rFonts w:hint="eastAsia" w:ascii="宋体" w:hAnsi="宋体" w:eastAsia="宋体" w:cs="宋体"/>
          <w:b w:val="0"/>
          <w:sz w:val="24"/>
        </w:rPr>
        <w:t>第三，增量入库与向量化。只对受影响的文档分片重建索引，不全量重建。全量重建耗时长、占用算力，且在重建期间检索效果不稳定，容易引发短期的质量波动。</w:t>
      </w:r>
    </w:p>
    <w:p w14:paraId="70016098">
      <w:pPr>
        <w:spacing w:before="0" w:after="0" w:line="360" w:lineRule="auto"/>
        <w:ind w:firstLine="480"/>
      </w:pPr>
      <w:r>
        <w:rPr>
          <w:rFonts w:hint="eastAsia" w:ascii="宋体" w:hAnsi="宋体" w:eastAsia="宋体" w:cs="宋体"/>
          <w:b w:val="0"/>
          <w:sz w:val="24"/>
        </w:rPr>
        <w:t>第四，双索引并行与切换。新索引构建完成后与旧索引并行一段时间，检索层按灰度方式切换流量，对比命中结果，确认无异常后下线旧索引。</w:t>
      </w:r>
    </w:p>
    <w:p w14:paraId="2C46BB8B">
      <w:pPr>
        <w:spacing w:before="0" w:after="0" w:line="360" w:lineRule="auto"/>
        <w:ind w:firstLine="480"/>
      </w:pPr>
      <w:r>
        <w:rPr>
          <w:rFonts w:hint="eastAsia" w:ascii="宋体" w:hAnsi="宋体" w:eastAsia="宋体" w:cs="宋体"/>
          <w:b w:val="0"/>
          <w:sz w:val="24"/>
        </w:rPr>
        <w:t>第五，检索效果回归。使用固定的问答集验证检索命中率与引用准确性，重点检查易混淆条款是否被正确区分。知识更新后“答非所问”的情况，多数不是模型问题，而是切分或索引问题。</w:t>
      </w:r>
    </w:p>
    <w:p w14:paraId="4C9A6949">
      <w:pPr>
        <w:spacing w:before="0" w:after="0" w:line="360" w:lineRule="auto"/>
        <w:ind w:firstLine="480"/>
      </w:pPr>
      <w:r>
        <w:rPr>
          <w:rFonts w:hint="eastAsia" w:ascii="宋体" w:hAnsi="宋体" w:eastAsia="宋体" w:cs="宋体"/>
          <w:b w:val="0"/>
          <w:sz w:val="24"/>
        </w:rPr>
        <w:t>第六，全程留痕。每次生成记录所使用的知识库版本；知识更新后，历史生成记录仍指向当时使用的旧版本，保证可追溯，不因更新而改写历史。</w:t>
      </w:r>
    </w:p>
    <w:p w14:paraId="60A8EB38">
      <w:pPr>
        <w:pStyle w:val="5"/>
      </w:pPr>
      <w:r>
        <w:rPr>
          <w:rFonts w:hint="eastAsia"/>
        </w:rPr>
        <w:t>2.6.3 提示词与编排升级流程</w:t>
      </w:r>
    </w:p>
    <w:p w14:paraId="18700E31">
      <w:pPr>
        <w:spacing w:before="0" w:after="0" w:line="360" w:lineRule="auto"/>
        <w:ind w:firstLine="480"/>
      </w:pPr>
      <w:r>
        <w:rPr>
          <w:rFonts w:hint="eastAsia" w:ascii="宋体" w:hAnsi="宋体" w:eastAsia="宋体" w:cs="宋体"/>
          <w:b w:val="0"/>
          <w:sz w:val="24"/>
        </w:rPr>
        <w:t>提示词、质控规则、判定阈值、编排流程，本质上是“软代码”。它们不需要发布程序即可生效，正因为如此，最容易脱离管控。</w:t>
      </w:r>
    </w:p>
    <w:p w14:paraId="1C23CF23">
      <w:pPr>
        <w:spacing w:before="0" w:after="0" w:line="360" w:lineRule="auto"/>
        <w:ind w:firstLine="480"/>
      </w:pPr>
      <w:r>
        <w:rPr>
          <w:rFonts w:hint="eastAsia" w:ascii="宋体" w:hAnsi="宋体" w:eastAsia="宋体" w:cs="宋体"/>
          <w:b w:val="0"/>
          <w:sz w:val="24"/>
        </w:rPr>
        <w:t>本方案对这类变更提出四条要求。</w:t>
      </w:r>
    </w:p>
    <w:p w14:paraId="335CE4F2">
      <w:pPr>
        <w:spacing w:before="0" w:after="0" w:line="360" w:lineRule="auto"/>
        <w:ind w:firstLine="480"/>
      </w:pPr>
      <w:r>
        <w:rPr>
          <w:rFonts w:hint="eastAsia" w:ascii="宋体" w:hAnsi="宋体" w:eastAsia="宋体" w:cs="宋体"/>
          <w:b w:val="0"/>
          <w:sz w:val="24"/>
        </w:rPr>
        <w:t>第一，按代码管理。所有变更须有版本号、变更说明、变更人、审批人与生效时间；变更前留存旧版本，支持一键回滚；禁止在生产环境直接编辑并立即生效。</w:t>
      </w:r>
    </w:p>
    <w:p w14:paraId="03AAA13D">
      <w:pPr>
        <w:spacing w:before="0" w:after="0" w:line="360" w:lineRule="auto"/>
        <w:ind w:firstLine="480"/>
      </w:pPr>
      <w:r>
        <w:rPr>
          <w:rFonts w:hint="eastAsia" w:ascii="宋体" w:hAnsi="宋体" w:eastAsia="宋体" w:cs="宋体"/>
          <w:b w:val="0"/>
          <w:sz w:val="24"/>
        </w:rPr>
        <w:t>第二，先评测后生效。变更前在与该场景对应的评测集上验证，确认没有引入新的退化。特别要防止“为解决一个科室的问题，改坏了全院的口径”这类顾此失彼的情况。</w:t>
      </w:r>
    </w:p>
    <w:p w14:paraId="0322329B">
      <w:pPr>
        <w:spacing w:before="0" w:after="0" w:line="360" w:lineRule="auto"/>
        <w:ind w:firstLine="480"/>
      </w:pPr>
      <w:r>
        <w:rPr>
          <w:rFonts w:hint="eastAsia" w:ascii="宋体" w:hAnsi="宋体" w:eastAsia="宋体" w:cs="宋体"/>
          <w:b w:val="0"/>
          <w:sz w:val="24"/>
        </w:rPr>
        <w:t>第三，灰度观察。涉及全院场景的提示词调整，先在单个科室灰度，观察驳回率与修改幅度，确认无异常后再全量。</w:t>
      </w:r>
    </w:p>
    <w:p w14:paraId="517F2FEE">
      <w:pPr>
        <w:spacing w:before="0" w:after="0" w:line="360" w:lineRule="auto"/>
        <w:ind w:firstLine="480"/>
      </w:pPr>
      <w:r>
        <w:rPr>
          <w:rFonts w:hint="eastAsia" w:ascii="宋体" w:hAnsi="宋体" w:eastAsia="宋体" w:cs="宋体"/>
          <w:b w:val="0"/>
          <w:sz w:val="24"/>
        </w:rPr>
        <w:t>第四，口径确认。涉及临床表述、诊断逻辑、质控判定标准的变更，须经医务部或质控科确认，不能由技术人员单方面决定“这样写更通顺”。</w:t>
      </w:r>
    </w:p>
    <w:p w14:paraId="7C97E4A6">
      <w:pPr>
        <w:pStyle w:val="5"/>
      </w:pPr>
      <w:r>
        <w:rPr>
          <w:rFonts w:hint="eastAsia"/>
        </w:rPr>
        <w:t>2.6.4 功能与平台版本升级流程</w:t>
      </w:r>
    </w:p>
    <w:p w14:paraId="489C0A71">
      <w:pPr>
        <w:spacing w:before="0" w:after="0" w:line="360" w:lineRule="auto"/>
        <w:ind w:firstLine="480"/>
      </w:pPr>
      <w:r>
        <w:rPr>
          <w:rFonts w:hint="eastAsia" w:ascii="宋体" w:hAnsi="宋体" w:eastAsia="宋体" w:cs="宋体"/>
          <w:b w:val="0"/>
          <w:sz w:val="24"/>
        </w:rPr>
        <w:t>功能升级与平台版本升级走标准的七步流程。</w:t>
      </w:r>
    </w:p>
    <w:p w14:paraId="6A84514C">
      <w:pPr>
        <w:spacing w:before="0" w:after="0" w:line="360" w:lineRule="auto"/>
        <w:ind w:firstLine="480"/>
      </w:pPr>
      <w:r>
        <w:rPr>
          <w:rFonts w:hint="eastAsia" w:ascii="宋体" w:hAnsi="宋体" w:eastAsia="宋体" w:cs="宋体"/>
          <w:b w:val="0"/>
          <w:sz w:val="24"/>
        </w:rPr>
        <w:t>第一步，需求确认与范围冻结。明确本次升级包含哪些功能、不包含哪些功能，形成范围清单。范围冻结的目的不是拒绝变更，而是防止升级过程中范围不断扩张导致验证不充分。</w:t>
      </w:r>
    </w:p>
    <w:p w14:paraId="2D3E4D0C">
      <w:pPr>
        <w:spacing w:before="0" w:after="0" w:line="360" w:lineRule="auto"/>
        <w:ind w:firstLine="480"/>
      </w:pPr>
      <w:r>
        <w:rPr>
          <w:rFonts w:hint="eastAsia" w:ascii="宋体" w:hAnsi="宋体" w:eastAsia="宋体" w:cs="宋体"/>
          <w:b w:val="0"/>
          <w:sz w:val="24"/>
        </w:rPr>
        <w:t>第二步，设计评审。对涉及数据结构、接口协议、权限体系的设计进行评审，院方信息科参与，重点评估对现有系统的影响。</w:t>
      </w:r>
    </w:p>
    <w:p w14:paraId="563BDEC7">
      <w:pPr>
        <w:spacing w:before="0" w:after="0" w:line="360" w:lineRule="auto"/>
        <w:ind w:firstLine="480"/>
      </w:pPr>
      <w:r>
        <w:rPr>
          <w:rFonts w:hint="eastAsia" w:ascii="宋体" w:hAnsi="宋体" w:eastAsia="宋体" w:cs="宋体"/>
          <w:b w:val="0"/>
          <w:sz w:val="24"/>
        </w:rPr>
        <w:t>第三步，开发与自测。供方完成开发与内部测试，形成自测报告。</w:t>
      </w:r>
    </w:p>
    <w:p w14:paraId="6DDAA489">
      <w:pPr>
        <w:spacing w:before="0" w:after="0" w:line="360" w:lineRule="auto"/>
        <w:ind w:firstLine="480"/>
      </w:pPr>
      <w:r>
        <w:rPr>
          <w:rFonts w:hint="eastAsia" w:ascii="宋体" w:hAnsi="宋体" w:eastAsia="宋体" w:cs="宋体"/>
          <w:b w:val="0"/>
          <w:sz w:val="24"/>
        </w:rPr>
        <w:t>第四步，测试环境验证。覆盖功能测试、接口测试、性能测试、安全测试与兼容性测试。兼容性测试要覆盖医院实际使用的浏览器版本、终端分辨率与移动设备型号，这类问题在演示环境中往往暴露不出来。</w:t>
      </w:r>
    </w:p>
    <w:p w14:paraId="6390B75B">
      <w:pPr>
        <w:spacing w:before="0" w:after="0" w:line="360" w:lineRule="auto"/>
        <w:ind w:firstLine="480"/>
      </w:pPr>
      <w:r>
        <w:rPr>
          <w:rFonts w:hint="eastAsia" w:ascii="宋体" w:hAnsi="宋体" w:eastAsia="宋体" w:cs="宋体"/>
          <w:b w:val="0"/>
          <w:sz w:val="24"/>
        </w:rPr>
        <w:t>第五步，预生产环境用户验收。由使用科室在预生产环境用脱敏数据完成真实业务流程，确认功能可用、结果正确、操作顺畅。用户验收不通过的功能，不进入生产环境。</w:t>
      </w:r>
    </w:p>
    <w:p w14:paraId="575E1FFA">
      <w:pPr>
        <w:spacing w:before="0" w:after="0" w:line="360" w:lineRule="auto"/>
        <w:ind w:firstLine="480"/>
      </w:pPr>
      <w:r>
        <w:rPr>
          <w:rFonts w:hint="eastAsia" w:ascii="宋体" w:hAnsi="宋体" w:eastAsia="宋体" w:cs="宋体"/>
          <w:b w:val="0"/>
          <w:sz w:val="24"/>
        </w:rPr>
        <w:t>第六步，生产发布。按2.7的灰度策略发布；需要停机的，按2.10的窗口管理与业务连续性安排执行。</w:t>
      </w:r>
    </w:p>
    <w:p w14:paraId="592971F6">
      <w:pPr>
        <w:spacing w:before="0" w:after="0" w:line="360" w:lineRule="auto"/>
        <w:ind w:firstLine="480"/>
      </w:pPr>
      <w:r>
        <w:rPr>
          <w:rFonts w:hint="eastAsia" w:ascii="宋体" w:hAnsi="宋体" w:eastAsia="宋体" w:cs="宋体"/>
          <w:b w:val="0"/>
          <w:sz w:val="24"/>
        </w:rPr>
        <w:t>第七步，观察期与验收归档。发布后设置观察期，跟踪使用情况与异常反馈，观察期结束形成升级验收报告，更新版本台账与操作手册。</w:t>
      </w:r>
    </w:p>
    <w:p w14:paraId="2A90B8CD">
      <w:pPr>
        <w:spacing w:before="0" w:after="0" w:line="360" w:lineRule="auto"/>
        <w:ind w:firstLine="480"/>
      </w:pPr>
      <w:r>
        <w:rPr>
          <w:rFonts w:hint="eastAsia" w:ascii="宋体" w:hAnsi="宋体" w:eastAsia="宋体" w:cs="宋体"/>
          <w:b w:val="0"/>
          <w:sz w:val="24"/>
        </w:rPr>
        <w:t>对于必须停机的平台版本升级，还需额外完成三件事：停机前的检查清单（备份、回退包、联络人、值班安排逐项确认）；停机时长评估与公告（按实际操作步骤估算，预留缓冲）；开机后的冒烟验证清单（核心链路逐条走通，确认无误后才对外公告恢复）。</w:t>
      </w:r>
    </w:p>
    <w:p w14:paraId="2C5CF73C">
      <w:pPr>
        <w:pStyle w:val="5"/>
      </w:pPr>
      <w:r>
        <w:rPr>
          <w:rFonts w:hint="eastAsia"/>
        </w:rPr>
        <w:t>2.6.5 紧急缺陷修复与安全补丁</w:t>
      </w:r>
    </w:p>
    <w:p w14:paraId="54B3D6E3">
      <w:pPr>
        <w:spacing w:before="0" w:after="0" w:line="360" w:lineRule="auto"/>
        <w:ind w:firstLine="480"/>
      </w:pPr>
      <w:r>
        <w:rPr>
          <w:rFonts w:hint="eastAsia" w:ascii="宋体" w:hAnsi="宋体" w:eastAsia="宋体" w:cs="宋体"/>
          <w:b w:val="0"/>
          <w:sz w:val="24"/>
        </w:rPr>
        <w:t>紧急修复允许先处置、后补流程，但有三件事不能省。</w:t>
      </w:r>
    </w:p>
    <w:p w14:paraId="20B717BE">
      <w:pPr>
        <w:spacing w:before="0" w:after="0" w:line="360" w:lineRule="auto"/>
        <w:ind w:firstLine="480"/>
      </w:pPr>
      <w:r>
        <w:rPr>
          <w:rFonts w:hint="eastAsia" w:ascii="宋体" w:hAnsi="宋体" w:eastAsia="宋体" w:cs="宋体"/>
          <w:b w:val="0"/>
          <w:sz w:val="24"/>
        </w:rPr>
        <w:t>第一，留痕不能省。谁在什么时间、因为什么问题、改了什么、影响哪些版本，必须记录。紧急不是不留记录的借口，事后补记也要在当日完成。</w:t>
      </w:r>
    </w:p>
    <w:p w14:paraId="23223A06">
      <w:pPr>
        <w:spacing w:before="0" w:after="0" w:line="360" w:lineRule="auto"/>
        <w:ind w:firstLine="480"/>
      </w:pPr>
      <w:r>
        <w:rPr>
          <w:rFonts w:hint="eastAsia" w:ascii="宋体" w:hAnsi="宋体" w:eastAsia="宋体" w:cs="宋体"/>
          <w:b w:val="0"/>
          <w:sz w:val="24"/>
        </w:rPr>
        <w:t>第二，回退准备不能省。紧急修复往往时间紧、验证少，更需要预先准备好回退手段。哪怕是改一个参数，也要知道改回原值是多少。</w:t>
      </w:r>
    </w:p>
    <w:p w14:paraId="66CE72F9">
      <w:pPr>
        <w:spacing w:before="0" w:after="0" w:line="360" w:lineRule="auto"/>
        <w:ind w:firstLine="480"/>
      </w:pPr>
      <w:r>
        <w:rPr>
          <w:rFonts w:hint="eastAsia" w:ascii="宋体" w:hAnsi="宋体" w:eastAsia="宋体" w:cs="宋体"/>
          <w:b w:val="0"/>
          <w:sz w:val="24"/>
        </w:rPr>
        <w:t>第三，验证不能省。紧急修复至少完成针对性验证与核心链路冒烟测试，确认修复没有引发新的问题。曾经出现过“修好了质控误报、却导致病历无法回写”的连锁问题，根源就是修复后只验证了修复点、没有验证关联链路。</w:t>
      </w:r>
    </w:p>
    <w:p w14:paraId="6D2296C5">
      <w:pPr>
        <w:spacing w:before="0" w:after="0" w:line="360" w:lineRule="auto"/>
        <w:ind w:firstLine="480"/>
      </w:pPr>
      <w:r>
        <w:rPr>
          <w:rFonts w:hint="eastAsia" w:ascii="宋体" w:hAnsi="宋体" w:eastAsia="宋体" w:cs="宋体"/>
          <w:b w:val="0"/>
          <w:sz w:val="24"/>
        </w:rPr>
        <w:t>安全补丁还需额外评估对模型运行的影响。操作系统、驱动、算子库、推理引擎的版本变化，可能导致模型精度或推理性能发生变化，因此补丁上线后须执行模型回归评测，而不能仅以“系统能启动”作为通过标准。</w:t>
      </w:r>
    </w:p>
    <w:p w14:paraId="5097EB7F">
      <w:pPr>
        <w:pStyle w:val="4"/>
      </w:pPr>
      <w:r>
        <w:rPr>
          <w:rFonts w:hint="eastAsia"/>
        </w:rPr>
        <w:t>2.7 灰度发布与放量控制</w:t>
      </w:r>
    </w:p>
    <w:p w14:paraId="3D2C6376">
      <w:pPr>
        <w:spacing w:before="0" w:after="0" w:line="360" w:lineRule="auto"/>
        <w:ind w:firstLine="480"/>
      </w:pPr>
      <w:r>
        <w:rPr>
          <w:rFonts w:hint="eastAsia" w:ascii="宋体" w:hAnsi="宋体" w:eastAsia="宋体" w:cs="宋体"/>
          <w:b w:val="0"/>
          <w:sz w:val="24"/>
        </w:rPr>
        <w:t>灰度是本方案规定的默认发布方式。除极少数不涉及行为变化的修复外，所有升级都应经灰度再全量。</w:t>
      </w:r>
    </w:p>
    <w:p w14:paraId="45622CB5">
      <w:pPr>
        <w:pStyle w:val="5"/>
      </w:pPr>
      <w:r>
        <w:rPr>
          <w:rFonts w:hint="eastAsia"/>
        </w:rPr>
        <w:t>2.7.1 灰度的五个维度</w:t>
      </w:r>
    </w:p>
    <w:p w14:paraId="26DA7177">
      <w:pPr>
        <w:spacing w:before="0" w:after="0" w:line="360" w:lineRule="auto"/>
        <w:ind w:firstLine="480"/>
      </w:pPr>
      <w:r>
        <w:rPr>
          <w:rFonts w:hint="eastAsia" w:ascii="宋体" w:hAnsi="宋体" w:eastAsia="宋体" w:cs="宋体"/>
          <w:b w:val="0"/>
          <w:sz w:val="24"/>
        </w:rPr>
        <w:t>第一，按科室灰度。选择配合度高、病历基础较好、信息化接受度较高的科室先行，这些科室能提供有价值的反馈，也更能容忍早期的不完善。</w:t>
      </w:r>
    </w:p>
    <w:p w14:paraId="43568A2B">
      <w:pPr>
        <w:spacing w:before="0" w:after="0" w:line="360" w:lineRule="auto"/>
        <w:ind w:firstLine="480"/>
      </w:pPr>
      <w:r>
        <w:rPr>
          <w:rFonts w:hint="eastAsia" w:ascii="宋体" w:hAnsi="宋体" w:eastAsia="宋体" w:cs="宋体"/>
          <w:b w:val="0"/>
          <w:sz w:val="24"/>
        </w:rPr>
        <w:t>第二，按医师灰度。先在科室内的骨干医师中试用，由他们形成使用经验与口头传播，再向全科推开。这一维度在推广初期尤其有效，因为医师更信任同事的经验而非厂商的说明。</w:t>
      </w:r>
    </w:p>
    <w:p w14:paraId="0D8E67D3">
      <w:pPr>
        <w:spacing w:before="0" w:after="0" w:line="360" w:lineRule="auto"/>
        <w:ind w:firstLine="480"/>
      </w:pPr>
      <w:r>
        <w:rPr>
          <w:rFonts w:hint="eastAsia" w:ascii="宋体" w:hAnsi="宋体" w:eastAsia="宋体" w:cs="宋体"/>
          <w:b w:val="0"/>
          <w:sz w:val="24"/>
        </w:rPr>
        <w:t>第三，按文书类型灰度。先上线低风险、结构相对固定的文书，如会诊记录、护理记录；再上线入院记录、病程记录等高风险、强个性化的文书。</w:t>
      </w:r>
    </w:p>
    <w:p w14:paraId="4582588B">
      <w:pPr>
        <w:spacing w:before="0" w:after="0" w:line="360" w:lineRule="auto"/>
        <w:ind w:firstLine="480"/>
      </w:pPr>
      <w:r>
        <w:rPr>
          <w:rFonts w:hint="eastAsia" w:ascii="宋体" w:hAnsi="宋体" w:eastAsia="宋体" w:cs="宋体"/>
          <w:b w:val="0"/>
          <w:sz w:val="24"/>
        </w:rPr>
        <w:t>第四，按患者灰度。对特定患者群体先行试用，如复诊患者、择期手术患者，避免在疑难危重病例上首先使用未验证的版本。</w:t>
      </w:r>
    </w:p>
    <w:p w14:paraId="605F6CAD">
      <w:pPr>
        <w:spacing w:before="0" w:after="0" w:line="360" w:lineRule="auto"/>
        <w:ind w:firstLine="480"/>
      </w:pPr>
      <w:r>
        <w:rPr>
          <w:rFonts w:hint="eastAsia" w:ascii="宋体" w:hAnsi="宋体" w:eastAsia="宋体" w:cs="宋体"/>
          <w:b w:val="0"/>
          <w:sz w:val="24"/>
        </w:rPr>
        <w:t>第五，按流量比例灰度。在技术层面按比例分流，用于模型升级这类需要统计对比的场景。</w:t>
      </w:r>
    </w:p>
    <w:p w14:paraId="67D191AC">
      <w:pPr>
        <w:spacing w:before="0" w:after="0" w:line="360" w:lineRule="auto"/>
        <w:ind w:firstLine="480"/>
      </w:pPr>
      <w:r>
        <w:rPr>
          <w:rFonts w:hint="eastAsia" w:ascii="宋体" w:hAnsi="宋体" w:eastAsia="宋体" w:cs="宋体"/>
          <w:b w:val="0"/>
          <w:sz w:val="24"/>
        </w:rPr>
        <w:t>五个维度可以组合使用。实际执行中，通常采用“科室加文书类型”的组合作为第一层灰度，再叠加流量比例控制技术风险。</w:t>
      </w:r>
    </w:p>
    <w:p w14:paraId="1EE9B655">
      <w:pPr>
        <w:pStyle w:val="5"/>
      </w:pPr>
      <w:r>
        <w:rPr>
          <w:rFonts w:hint="eastAsia"/>
        </w:rPr>
        <w:t>2.7.2 放量判据</w:t>
      </w:r>
    </w:p>
    <w:p w14:paraId="11817B11">
      <w:pPr>
        <w:spacing w:before="0" w:after="0" w:line="360" w:lineRule="auto"/>
        <w:ind w:firstLine="480"/>
      </w:pPr>
      <w:r>
        <w:rPr>
          <w:rFonts w:hint="eastAsia" w:ascii="宋体" w:hAnsi="宋体" w:eastAsia="宋体" w:cs="宋体"/>
          <w:b w:val="0"/>
          <w:sz w:val="24"/>
        </w:rPr>
        <w:t>放量的判据应当是明确的，而不是“感觉差不多可以了”。本方案规定五项判据，全部满足方可提升放量档位。</w:t>
      </w:r>
    </w:p>
    <w:p w14:paraId="33056ABF">
      <w:pPr>
        <w:spacing w:before="0" w:after="0" w:line="360" w:lineRule="auto"/>
        <w:ind w:firstLine="480"/>
      </w:pPr>
      <w:r>
        <w:rPr>
          <w:rFonts w:hint="eastAsia" w:ascii="宋体" w:hAnsi="宋体" w:eastAsia="宋体" w:cs="宋体"/>
          <w:b w:val="0"/>
          <w:sz w:val="24"/>
        </w:rPr>
        <w:t>一、功能可用。核心链路完整走通，无非预期报错，无数据回写失败。</w:t>
      </w:r>
    </w:p>
    <w:p w14:paraId="087A6C0E">
      <w:pPr>
        <w:spacing w:before="0" w:after="0" w:line="360" w:lineRule="auto"/>
        <w:ind w:firstLine="480"/>
      </w:pPr>
      <w:r>
        <w:rPr>
          <w:rFonts w:hint="eastAsia" w:ascii="宋体" w:hAnsi="宋体" w:eastAsia="宋体" w:cs="宋体"/>
          <w:b w:val="0"/>
          <w:sz w:val="24"/>
        </w:rPr>
        <w:t>二、质量不低于基线。评测集成绩不低于升级前，人工盲评未发现明显退化。</w:t>
      </w:r>
    </w:p>
    <w:p w14:paraId="02C22F94">
      <w:pPr>
        <w:spacing w:before="0" w:after="0" w:line="360" w:lineRule="auto"/>
        <w:ind w:firstLine="480"/>
      </w:pPr>
      <w:r>
        <w:rPr>
          <w:rFonts w:hint="eastAsia" w:ascii="宋体" w:hAnsi="宋体" w:eastAsia="宋体" w:cs="宋体"/>
          <w:b w:val="0"/>
          <w:sz w:val="24"/>
        </w:rPr>
        <w:t>三、医师反馈无集中反对。驳回率与修改幅度未显著上升，无多人反映“不如以前好用”。</w:t>
      </w:r>
    </w:p>
    <w:p w14:paraId="08B64100">
      <w:pPr>
        <w:spacing w:before="0" w:after="0" w:line="360" w:lineRule="auto"/>
        <w:ind w:firstLine="480"/>
      </w:pPr>
      <w:r>
        <w:rPr>
          <w:rFonts w:hint="eastAsia" w:ascii="宋体" w:hAnsi="宋体" w:eastAsia="宋体" w:cs="宋体"/>
          <w:b w:val="0"/>
          <w:sz w:val="24"/>
        </w:rPr>
        <w:t>四、运行稳定。异常率、超时率、资源占用处于正常区间，无内存泄漏、无实例异常重启。</w:t>
      </w:r>
    </w:p>
    <w:p w14:paraId="13534201">
      <w:pPr>
        <w:spacing w:before="0" w:after="0" w:line="360" w:lineRule="auto"/>
        <w:ind w:firstLine="480"/>
      </w:pPr>
      <w:r>
        <w:rPr>
          <w:rFonts w:hint="eastAsia" w:ascii="宋体" w:hAnsi="宋体" w:eastAsia="宋体" w:cs="宋体"/>
          <w:b w:val="0"/>
          <w:sz w:val="24"/>
        </w:rPr>
        <w:t>五、无安全事件。权限、日志、脱敏、审计均正常，未出现越权访问或数据外泄迹象。</w:t>
      </w:r>
    </w:p>
    <w:p w14:paraId="7ACE77B7">
      <w:pPr>
        <w:pStyle w:val="5"/>
      </w:pPr>
      <w:r>
        <w:rPr>
          <w:rFonts w:hint="eastAsia"/>
        </w:rPr>
        <w:t>2.7.3 灰度期的并行比对</w:t>
      </w:r>
    </w:p>
    <w:p w14:paraId="20DD86BE">
      <w:pPr>
        <w:spacing w:before="0" w:after="0" w:line="360" w:lineRule="auto"/>
        <w:ind w:firstLine="480"/>
      </w:pPr>
      <w:r>
        <w:rPr>
          <w:rFonts w:hint="eastAsia" w:ascii="宋体" w:hAnsi="宋体" w:eastAsia="宋体" w:cs="宋体"/>
          <w:b w:val="0"/>
          <w:sz w:val="24"/>
        </w:rPr>
        <w:t>灰度期最有价值的做法，是让新旧版本在同一批真实病例上并行输出，由医师或医学顾问对照评价。这种比对比任何评分都更贴近临床感受，也更容易发现“技术上正常、读起来别扭”的问题。</w:t>
      </w:r>
    </w:p>
    <w:p w14:paraId="35CC9FB5">
      <w:pPr>
        <w:spacing w:before="0" w:after="0" w:line="360" w:lineRule="auto"/>
        <w:ind w:firstLine="480"/>
      </w:pPr>
      <w:r>
        <w:rPr>
          <w:rFonts w:hint="eastAsia" w:ascii="宋体" w:hAnsi="宋体" w:eastAsia="宋体" w:cs="宋体"/>
          <w:b w:val="0"/>
          <w:sz w:val="24"/>
        </w:rPr>
        <w:t>并行比对有两种形态：一是影子模式，新版本只生成、不呈现、不落库，由内部人员比对；二是双栏对照，在界面中同时呈现两个版本的输出，由医师选择更合适的一个并说明理由。前者不打扰临床，后者能获得更真实的偏好数据，可按场景选择。</w:t>
      </w:r>
    </w:p>
    <w:p w14:paraId="510B4AD4">
      <w:pPr>
        <w:spacing w:before="0" w:after="0" w:line="360" w:lineRule="auto"/>
        <w:ind w:firstLine="480"/>
      </w:pPr>
      <w:r>
        <w:rPr>
          <w:rFonts w:hint="eastAsia" w:ascii="宋体" w:hAnsi="宋体" w:eastAsia="宋体" w:cs="宋体"/>
          <w:b w:val="0"/>
          <w:sz w:val="24"/>
        </w:rPr>
        <w:t>需要强调的是，灰度不是让临床充当测试员。灰度之前必须完成内部验证与技术验证，灰度只是最后一道业务确认。把明显不成熟的版本推给临床试用，消耗的是医师对系统的耐心。</w:t>
      </w:r>
    </w:p>
    <w:p w14:paraId="44D96BD3">
      <w:pPr>
        <w:pStyle w:val="5"/>
      </w:pPr>
      <w:r>
        <w:rPr>
          <w:rFonts w:hint="eastAsia"/>
        </w:rPr>
        <w:t>2.7.4 灰度异常的处置</w:t>
      </w:r>
    </w:p>
    <w:p w14:paraId="4A938DAA">
      <w:pPr>
        <w:spacing w:before="0" w:after="0" w:line="360" w:lineRule="auto"/>
        <w:ind w:firstLine="480"/>
      </w:pPr>
      <w:r>
        <w:rPr>
          <w:rFonts w:hint="eastAsia" w:ascii="宋体" w:hAnsi="宋体" w:eastAsia="宋体" w:cs="宋体"/>
          <w:b w:val="0"/>
          <w:sz w:val="24"/>
        </w:rPr>
        <w:t>出现以下情形时，立即停止放量并启动回退：生成内容出现明显错误并已进入病历；出现数据回写错误或数据不一致；性能明显下降影响正常使用；多个科室集中反映同一问题；出现安全事件。</w:t>
      </w:r>
    </w:p>
    <w:p w14:paraId="49415288">
      <w:pPr>
        <w:spacing w:before="0" w:after="0" w:line="360" w:lineRule="auto"/>
        <w:ind w:firstLine="480"/>
      </w:pPr>
      <w:r>
        <w:rPr>
          <w:rFonts w:hint="eastAsia" w:ascii="宋体" w:hAnsi="宋体" w:eastAsia="宋体" w:cs="宋体"/>
          <w:b w:val="0"/>
          <w:sz w:val="24"/>
        </w:rPr>
        <w:t>停止放量不等于立即回退。若问题定位清晰、影响范围可控、修复窗口短，可在灰度范围内修复后继续；若问题原因不明或涉及面广，直接回退，待原因查清后重新走流程。判断标准是“不确定性的大小”，而不是“问题看起来严不严重”。</w:t>
      </w:r>
    </w:p>
    <w:p w14:paraId="5942D822">
      <w:pPr>
        <w:pStyle w:val="4"/>
      </w:pPr>
      <w:r>
        <w:rPr>
          <w:rFonts w:hint="eastAsia"/>
        </w:rPr>
        <w:t>2.8 升级验证与效果门禁</w:t>
      </w:r>
    </w:p>
    <w:p w14:paraId="18ECDF8A">
      <w:pPr>
        <w:pStyle w:val="5"/>
      </w:pPr>
      <w:r>
        <w:rPr>
          <w:rFonts w:hint="eastAsia"/>
        </w:rPr>
        <w:t>2.8.1 三级验证</w:t>
      </w:r>
    </w:p>
    <w:p w14:paraId="266C432D">
      <w:pPr>
        <w:spacing w:before="0" w:after="0" w:line="360" w:lineRule="auto"/>
        <w:ind w:firstLine="480"/>
      </w:pPr>
      <w:r>
        <w:rPr>
          <w:rFonts w:hint="eastAsia" w:ascii="宋体" w:hAnsi="宋体" w:eastAsia="宋体" w:cs="宋体"/>
          <w:b w:val="0"/>
          <w:sz w:val="24"/>
        </w:rPr>
        <w:t>第一级是技术验证，由供方完成。覆盖功能正确性、接口连通性、性能表现、安全配置、日志完整性。技术验证的输出是测试报告，作为进入下一级的依据。</w:t>
      </w:r>
    </w:p>
    <w:p w14:paraId="65A2C3F6">
      <w:pPr>
        <w:spacing w:before="0" w:after="0" w:line="360" w:lineRule="auto"/>
        <w:ind w:firstLine="480"/>
      </w:pPr>
      <w:r>
        <w:rPr>
          <w:rFonts w:hint="eastAsia" w:ascii="宋体" w:hAnsi="宋体" w:eastAsia="宋体" w:cs="宋体"/>
          <w:b w:val="0"/>
          <w:sz w:val="24"/>
        </w:rPr>
        <w:t>第二级是业务验证，由院方业务部门与供方共同完成。覆盖真实业务流程能否走通、回写内容是否正确、权限是否符合岗位设置、统计口径是否与原有管理要求一致。业务验证的重点是“流程是否完整”，而不是“功能是否存在”。</w:t>
      </w:r>
    </w:p>
    <w:p w14:paraId="0CC8FC4C">
      <w:pPr>
        <w:spacing w:before="0" w:after="0" w:line="360" w:lineRule="auto"/>
        <w:ind w:firstLine="480"/>
      </w:pPr>
      <w:r>
        <w:rPr>
          <w:rFonts w:hint="eastAsia" w:ascii="宋体" w:hAnsi="宋体" w:eastAsia="宋体" w:cs="宋体"/>
          <w:b w:val="0"/>
          <w:sz w:val="24"/>
        </w:rPr>
        <w:t>第三级是临床验证，由医学顾问团队与试点科室医师完成。采用盲评方式，对同一批病例的新旧版本输出进行评价，评价维度包括医学准确性、表述规范性、要素完整性、逻辑合理性。临床验证不通过的新版本，不予放量。</w:t>
      </w:r>
    </w:p>
    <w:p w14:paraId="6E72231C">
      <w:pPr>
        <w:pStyle w:val="5"/>
      </w:pPr>
      <w:r>
        <w:rPr>
          <w:rFonts w:hint="eastAsia"/>
        </w:rPr>
        <w:t>2.8.2 回归测试与评测集管理</w:t>
      </w:r>
    </w:p>
    <w:p w14:paraId="796579F0">
      <w:pPr>
        <w:spacing w:before="0" w:after="0" w:line="360" w:lineRule="auto"/>
        <w:ind w:firstLine="480"/>
      </w:pPr>
      <w:r>
        <w:rPr>
          <w:rFonts w:hint="eastAsia" w:ascii="宋体" w:hAnsi="宋体" w:eastAsia="宋体" w:cs="宋体"/>
          <w:b w:val="0"/>
          <w:sz w:val="24"/>
        </w:rPr>
        <w:t>评测集是升级验证的基准，其本身的可靠性决定了验证结论的可靠性。本方案对评测集提出三项要求。</w:t>
      </w:r>
    </w:p>
    <w:p w14:paraId="012E0735">
      <w:pPr>
        <w:spacing w:before="0" w:after="0" w:line="360" w:lineRule="auto"/>
        <w:ind w:firstLine="480"/>
      </w:pPr>
      <w:r>
        <w:rPr>
          <w:rFonts w:hint="eastAsia" w:ascii="宋体" w:hAnsi="宋体" w:eastAsia="宋体" w:cs="宋体"/>
          <w:b w:val="0"/>
          <w:sz w:val="24"/>
        </w:rPr>
        <w:t>第一，样本结构合理。每类文书建立三类样本：正常病例、信息缺失病例、信息矛盾病例。三类样本的比例应能覆盖真实使用中的常见情形，其中信息缺失与信息矛盾类样本尤其重要，因为它们检验的正是“资料不全时会不会编造”这一医疗场景最不可接受的行为。</w:t>
      </w:r>
    </w:p>
    <w:p w14:paraId="5DDD7A76">
      <w:pPr>
        <w:spacing w:before="0" w:after="0" w:line="360" w:lineRule="auto"/>
        <w:ind w:firstLine="480"/>
      </w:pPr>
      <w:r>
        <w:rPr>
          <w:rFonts w:hint="eastAsia" w:ascii="宋体" w:hAnsi="宋体" w:eastAsia="宋体" w:cs="宋体"/>
          <w:b w:val="0"/>
          <w:sz w:val="24"/>
        </w:rPr>
        <w:t>第二，评测集版本化。评测集本身也要有版本号，修改样本须记录原因。防止出现“为了让新版本通过，把难的样本删掉”这类自欺做法。</w:t>
      </w:r>
    </w:p>
    <w:p w14:paraId="5AFEF902">
      <w:pPr>
        <w:spacing w:before="0" w:after="0" w:line="360" w:lineRule="auto"/>
        <w:ind w:firstLine="480"/>
      </w:pPr>
      <w:r>
        <w:rPr>
          <w:rFonts w:hint="eastAsia" w:ascii="宋体" w:hAnsi="宋体" w:eastAsia="宋体" w:cs="宋体"/>
          <w:b w:val="0"/>
          <w:sz w:val="24"/>
        </w:rPr>
        <w:t>第三，评测结论可复核。评分记录、盲评意见、争议样本的处理结论均需留存，供后续追溯。</w:t>
      </w:r>
    </w:p>
    <w:p w14:paraId="5D00C0EC">
      <w:pPr>
        <w:spacing w:before="0" w:after="0" w:line="360" w:lineRule="auto"/>
        <w:ind w:firstLine="480"/>
      </w:pPr>
      <w:r>
        <w:rPr>
          <w:rFonts w:hint="eastAsia" w:ascii="宋体" w:hAnsi="宋体" w:eastAsia="宋体" w:cs="宋体"/>
          <w:b w:val="0"/>
          <w:sz w:val="24"/>
        </w:rPr>
        <w:t>回归的通过门槛是“不低于基线”，而非“达到某个绝对分数”。原因在于医疗文本质量难以用单一分数衡量，而升级最需要防范的是相对退化。</w:t>
      </w:r>
    </w:p>
    <w:p w14:paraId="390BEDE1">
      <w:pPr>
        <w:pStyle w:val="5"/>
      </w:pPr>
      <w:r>
        <w:rPr>
          <w:rFonts w:hint="eastAsia"/>
        </w:rPr>
        <w:t>2.8.3 升级验收清单</w:t>
      </w:r>
    </w:p>
    <w:p w14:paraId="78FFF295">
      <w:pPr>
        <w:spacing w:before="0" w:after="0" w:line="360" w:lineRule="auto"/>
        <w:ind w:firstLine="480"/>
      </w:pPr>
      <w:r>
        <w:rPr>
          <w:rFonts w:hint="eastAsia" w:ascii="宋体" w:hAnsi="宋体" w:eastAsia="宋体" w:cs="宋体"/>
          <w:b w:val="0"/>
          <w:sz w:val="24"/>
        </w:rPr>
        <w:t>每次升级结束后，按清单逐项确认，全部通过方可关闭本次变更。清单示例如下。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587"/>
        <w:gridCol w:w="3742"/>
        <w:gridCol w:w="2721"/>
      </w:tblGrid>
      <w:tr w14:paraId="319A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F2F2F2"/>
          </w:tcPr>
          <w:p w14:paraId="56A7EADF">
            <w:pPr>
              <w:spacing w:before="40" w:after="40" w:line="240" w:lineRule="auto"/>
              <w:jc w:val="center"/>
            </w:pPr>
            <w:r>
              <w:rPr>
                <w:rFonts w:hint="eastAsia" w:ascii="宋体" w:hAnsi="宋体" w:eastAsia="宋体" w:cs="宋体"/>
                <w:b/>
                <w:sz w:val="21"/>
              </w:rPr>
              <w:t>序号</w:t>
            </w:r>
          </w:p>
        </w:tc>
        <w:tc>
          <w:tcPr>
            <w:tcW w:w="1587" w:type="dxa"/>
            <w:shd w:val="clear" w:color="auto" w:fill="F2F2F2"/>
          </w:tcPr>
          <w:p w14:paraId="3CB8F761">
            <w:pPr>
              <w:spacing w:before="40" w:after="40" w:line="240" w:lineRule="auto"/>
              <w:jc w:val="center"/>
            </w:pPr>
            <w:r>
              <w:rPr>
                <w:rFonts w:hint="eastAsia" w:ascii="宋体" w:hAnsi="宋体" w:eastAsia="宋体" w:cs="宋体"/>
                <w:b/>
                <w:sz w:val="21"/>
              </w:rPr>
              <w:t>验证项</w:t>
            </w:r>
          </w:p>
        </w:tc>
        <w:tc>
          <w:tcPr>
            <w:tcW w:w="3742" w:type="dxa"/>
            <w:shd w:val="clear" w:color="auto" w:fill="F2F2F2"/>
          </w:tcPr>
          <w:p w14:paraId="66D803A1">
            <w:pPr>
              <w:spacing w:before="40" w:after="40" w:line="240" w:lineRule="auto"/>
              <w:jc w:val="center"/>
            </w:pPr>
            <w:r>
              <w:rPr>
                <w:rFonts w:hint="eastAsia" w:ascii="宋体" w:hAnsi="宋体" w:eastAsia="宋体" w:cs="宋体"/>
                <w:b/>
                <w:sz w:val="21"/>
              </w:rPr>
              <w:t>验证内容</w:t>
            </w:r>
          </w:p>
        </w:tc>
        <w:tc>
          <w:tcPr>
            <w:tcW w:w="2721" w:type="dxa"/>
            <w:shd w:val="clear" w:color="auto" w:fill="F2F2F2"/>
          </w:tcPr>
          <w:p w14:paraId="547DC011">
            <w:pPr>
              <w:spacing w:before="40" w:after="40" w:line="240" w:lineRule="auto"/>
              <w:jc w:val="center"/>
            </w:pPr>
            <w:r>
              <w:rPr>
                <w:rFonts w:hint="eastAsia" w:ascii="宋体" w:hAnsi="宋体" w:eastAsia="宋体" w:cs="宋体"/>
                <w:b/>
                <w:sz w:val="21"/>
              </w:rPr>
              <w:t>通过判据</w:t>
            </w:r>
          </w:p>
        </w:tc>
      </w:tr>
      <w:tr w14:paraId="1C95F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52F3BAA">
            <w:pPr>
              <w:spacing w:before="40" w:after="40" w:line="240" w:lineRule="auto"/>
              <w:jc w:val="center"/>
            </w:pPr>
            <w:r>
              <w:rPr>
                <w:rFonts w:hint="eastAsia" w:ascii="宋体" w:hAnsi="宋体" w:eastAsia="宋体" w:cs="宋体"/>
                <w:b w:val="0"/>
                <w:sz w:val="21"/>
              </w:rPr>
              <w:t>1</w:t>
            </w:r>
          </w:p>
        </w:tc>
        <w:tc>
          <w:tcPr>
            <w:tcW w:w="1587" w:type="dxa"/>
          </w:tcPr>
          <w:p w14:paraId="01AD7FF5">
            <w:pPr>
              <w:spacing w:before="40" w:after="40" w:line="240" w:lineRule="auto"/>
              <w:jc w:val="left"/>
            </w:pPr>
            <w:r>
              <w:rPr>
                <w:rFonts w:hint="eastAsia" w:ascii="宋体" w:hAnsi="宋体" w:eastAsia="宋体" w:cs="宋体"/>
                <w:b w:val="0"/>
                <w:sz w:val="21"/>
              </w:rPr>
              <w:t>版本一致性</w:t>
            </w:r>
          </w:p>
        </w:tc>
        <w:tc>
          <w:tcPr>
            <w:tcW w:w="3742" w:type="dxa"/>
          </w:tcPr>
          <w:p w14:paraId="3457CAB5">
            <w:pPr>
              <w:spacing w:before="40" w:after="40" w:line="240" w:lineRule="auto"/>
              <w:jc w:val="left"/>
            </w:pPr>
            <w:r>
              <w:rPr>
                <w:rFonts w:hint="eastAsia" w:ascii="宋体" w:hAnsi="宋体" w:eastAsia="宋体" w:cs="宋体"/>
                <w:b w:val="0"/>
                <w:sz w:val="21"/>
              </w:rPr>
              <w:t>生产环境实际运行的平台、模型、知识库、提示词版本与发布单一致</w:t>
            </w:r>
          </w:p>
        </w:tc>
        <w:tc>
          <w:tcPr>
            <w:tcW w:w="2721" w:type="dxa"/>
          </w:tcPr>
          <w:p w14:paraId="032C55B2">
            <w:pPr>
              <w:spacing w:before="40" w:after="40" w:line="240" w:lineRule="auto"/>
              <w:jc w:val="left"/>
            </w:pPr>
            <w:r>
              <w:rPr>
                <w:rFonts w:hint="eastAsia" w:ascii="宋体" w:hAnsi="宋体" w:eastAsia="宋体" w:cs="宋体"/>
                <w:b w:val="0"/>
                <w:sz w:val="21"/>
              </w:rPr>
              <w:t>逐项核对一致，无遗留旧实例</w:t>
            </w:r>
          </w:p>
        </w:tc>
      </w:tr>
      <w:tr w14:paraId="08760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4BC87A7">
            <w:pPr>
              <w:spacing w:before="40" w:after="40" w:line="240" w:lineRule="auto"/>
              <w:jc w:val="center"/>
            </w:pPr>
            <w:r>
              <w:rPr>
                <w:rFonts w:hint="eastAsia" w:ascii="宋体" w:hAnsi="宋体" w:eastAsia="宋体" w:cs="宋体"/>
                <w:b w:val="0"/>
                <w:sz w:val="21"/>
              </w:rPr>
              <w:t>2</w:t>
            </w:r>
          </w:p>
        </w:tc>
        <w:tc>
          <w:tcPr>
            <w:tcW w:w="1587" w:type="dxa"/>
          </w:tcPr>
          <w:p w14:paraId="2B03AAFF">
            <w:pPr>
              <w:spacing w:before="40" w:after="40" w:line="240" w:lineRule="auto"/>
              <w:jc w:val="left"/>
            </w:pPr>
            <w:r>
              <w:rPr>
                <w:rFonts w:hint="eastAsia" w:ascii="宋体" w:hAnsi="宋体" w:eastAsia="宋体" w:cs="宋体"/>
                <w:b w:val="0"/>
                <w:sz w:val="21"/>
              </w:rPr>
              <w:t>核心链路</w:t>
            </w:r>
          </w:p>
        </w:tc>
        <w:tc>
          <w:tcPr>
            <w:tcW w:w="3742" w:type="dxa"/>
          </w:tcPr>
          <w:p w14:paraId="74F2D7A7">
            <w:pPr>
              <w:spacing w:before="40" w:after="40" w:line="240" w:lineRule="auto"/>
              <w:jc w:val="left"/>
            </w:pPr>
            <w:r>
              <w:rPr>
                <w:rFonts w:hint="eastAsia" w:ascii="宋体" w:hAnsi="宋体" w:eastAsia="宋体" w:cs="宋体"/>
                <w:b w:val="0"/>
                <w:sz w:val="21"/>
              </w:rPr>
              <w:t>门诊、住院、质控三条主链路的取数、生成、确认、回写全流程</w:t>
            </w:r>
          </w:p>
        </w:tc>
        <w:tc>
          <w:tcPr>
            <w:tcW w:w="2721" w:type="dxa"/>
          </w:tcPr>
          <w:p w14:paraId="1085420D">
            <w:pPr>
              <w:spacing w:before="40" w:after="40" w:line="240" w:lineRule="auto"/>
              <w:jc w:val="left"/>
            </w:pPr>
            <w:r>
              <w:rPr>
                <w:rFonts w:hint="eastAsia" w:ascii="宋体" w:hAnsi="宋体" w:eastAsia="宋体" w:cs="宋体"/>
                <w:b w:val="0"/>
                <w:sz w:val="21"/>
              </w:rPr>
              <w:t>全流程走通，回写内容正确</w:t>
            </w:r>
          </w:p>
        </w:tc>
      </w:tr>
      <w:tr w14:paraId="5FC4F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D1623A5">
            <w:pPr>
              <w:spacing w:before="40" w:after="40" w:line="240" w:lineRule="auto"/>
              <w:jc w:val="center"/>
            </w:pPr>
            <w:r>
              <w:rPr>
                <w:rFonts w:hint="eastAsia" w:ascii="宋体" w:hAnsi="宋体" w:eastAsia="宋体" w:cs="宋体"/>
                <w:b w:val="0"/>
                <w:sz w:val="21"/>
              </w:rPr>
              <w:t>3</w:t>
            </w:r>
          </w:p>
        </w:tc>
        <w:tc>
          <w:tcPr>
            <w:tcW w:w="1587" w:type="dxa"/>
          </w:tcPr>
          <w:p w14:paraId="1304CBBC">
            <w:pPr>
              <w:spacing w:before="40" w:after="40" w:line="240" w:lineRule="auto"/>
              <w:jc w:val="left"/>
            </w:pPr>
            <w:r>
              <w:rPr>
                <w:rFonts w:hint="eastAsia" w:ascii="宋体" w:hAnsi="宋体" w:eastAsia="宋体" w:cs="宋体"/>
                <w:b w:val="0"/>
                <w:sz w:val="21"/>
              </w:rPr>
              <w:t>输出质量</w:t>
            </w:r>
          </w:p>
        </w:tc>
        <w:tc>
          <w:tcPr>
            <w:tcW w:w="3742" w:type="dxa"/>
          </w:tcPr>
          <w:p w14:paraId="7276B354">
            <w:pPr>
              <w:spacing w:before="40" w:after="40" w:line="240" w:lineRule="auto"/>
              <w:jc w:val="left"/>
            </w:pPr>
            <w:r>
              <w:rPr>
                <w:rFonts w:hint="eastAsia" w:ascii="宋体" w:hAnsi="宋体" w:eastAsia="宋体" w:cs="宋体"/>
                <w:b w:val="0"/>
                <w:sz w:val="21"/>
              </w:rPr>
              <w:t>评测集回归成绩与抽样盲评结果</w:t>
            </w:r>
          </w:p>
        </w:tc>
        <w:tc>
          <w:tcPr>
            <w:tcW w:w="2721" w:type="dxa"/>
          </w:tcPr>
          <w:p w14:paraId="494B6419">
            <w:pPr>
              <w:spacing w:before="40" w:after="40" w:line="240" w:lineRule="auto"/>
              <w:jc w:val="left"/>
            </w:pPr>
            <w:r>
              <w:rPr>
                <w:rFonts w:hint="eastAsia" w:ascii="宋体" w:hAnsi="宋体" w:eastAsia="宋体" w:cs="宋体"/>
                <w:b w:val="0"/>
                <w:sz w:val="21"/>
              </w:rPr>
              <w:t>不低于升级前基线</w:t>
            </w:r>
          </w:p>
        </w:tc>
      </w:tr>
      <w:tr w14:paraId="2A4C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BDD4BD7">
            <w:pPr>
              <w:spacing w:before="40" w:after="40" w:line="240" w:lineRule="auto"/>
              <w:jc w:val="center"/>
            </w:pPr>
            <w:r>
              <w:rPr>
                <w:rFonts w:hint="eastAsia" w:ascii="宋体" w:hAnsi="宋体" w:eastAsia="宋体" w:cs="宋体"/>
                <w:b w:val="0"/>
                <w:sz w:val="21"/>
              </w:rPr>
              <w:t>4</w:t>
            </w:r>
          </w:p>
        </w:tc>
        <w:tc>
          <w:tcPr>
            <w:tcW w:w="1587" w:type="dxa"/>
          </w:tcPr>
          <w:p w14:paraId="2922C18E">
            <w:pPr>
              <w:spacing w:before="40" w:after="40" w:line="240" w:lineRule="auto"/>
              <w:jc w:val="left"/>
            </w:pPr>
            <w:r>
              <w:rPr>
                <w:rFonts w:hint="eastAsia" w:ascii="宋体" w:hAnsi="宋体" w:eastAsia="宋体" w:cs="宋体"/>
                <w:b w:val="0"/>
                <w:sz w:val="21"/>
              </w:rPr>
              <w:t>数据完整性</w:t>
            </w:r>
          </w:p>
        </w:tc>
        <w:tc>
          <w:tcPr>
            <w:tcW w:w="3742" w:type="dxa"/>
          </w:tcPr>
          <w:p w14:paraId="2FC6B8F1">
            <w:pPr>
              <w:spacing w:before="40" w:after="40" w:line="240" w:lineRule="auto"/>
              <w:jc w:val="left"/>
            </w:pPr>
            <w:r>
              <w:rPr>
                <w:rFonts w:hint="eastAsia" w:ascii="宋体" w:hAnsi="宋体" w:eastAsia="宋体" w:cs="宋体"/>
                <w:b w:val="0"/>
                <w:sz w:val="21"/>
              </w:rPr>
              <w:t>升级期间产生的业务数据、在途任务、历史记录</w:t>
            </w:r>
          </w:p>
        </w:tc>
        <w:tc>
          <w:tcPr>
            <w:tcW w:w="2721" w:type="dxa"/>
          </w:tcPr>
          <w:p w14:paraId="05CECFDA">
            <w:pPr>
              <w:spacing w:before="40" w:after="40" w:line="240" w:lineRule="auto"/>
              <w:jc w:val="left"/>
            </w:pPr>
            <w:r>
              <w:rPr>
                <w:rFonts w:hint="eastAsia" w:ascii="宋体" w:hAnsi="宋体" w:eastAsia="宋体" w:cs="宋体"/>
                <w:b w:val="0"/>
                <w:sz w:val="21"/>
              </w:rPr>
              <w:t>无丢失、无重复回写、无错位</w:t>
            </w:r>
          </w:p>
        </w:tc>
      </w:tr>
      <w:tr w14:paraId="7607C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C3F9553">
            <w:pPr>
              <w:spacing w:before="40" w:after="40" w:line="240" w:lineRule="auto"/>
              <w:jc w:val="center"/>
            </w:pPr>
            <w:r>
              <w:rPr>
                <w:rFonts w:hint="eastAsia" w:ascii="宋体" w:hAnsi="宋体" w:eastAsia="宋体" w:cs="宋体"/>
                <w:b w:val="0"/>
                <w:sz w:val="21"/>
              </w:rPr>
              <w:t>5</w:t>
            </w:r>
          </w:p>
        </w:tc>
        <w:tc>
          <w:tcPr>
            <w:tcW w:w="1587" w:type="dxa"/>
          </w:tcPr>
          <w:p w14:paraId="7BCC39F7">
            <w:pPr>
              <w:spacing w:before="40" w:after="40" w:line="240" w:lineRule="auto"/>
              <w:jc w:val="left"/>
            </w:pPr>
            <w:r>
              <w:rPr>
                <w:rFonts w:hint="eastAsia" w:ascii="宋体" w:hAnsi="宋体" w:eastAsia="宋体" w:cs="宋体"/>
                <w:b w:val="0"/>
                <w:sz w:val="21"/>
              </w:rPr>
              <w:t>权限与审计</w:t>
            </w:r>
          </w:p>
        </w:tc>
        <w:tc>
          <w:tcPr>
            <w:tcW w:w="3742" w:type="dxa"/>
          </w:tcPr>
          <w:p w14:paraId="1DFA9FAF">
            <w:pPr>
              <w:spacing w:before="40" w:after="40" w:line="240" w:lineRule="auto"/>
              <w:jc w:val="left"/>
            </w:pPr>
            <w:r>
              <w:rPr>
                <w:rFonts w:hint="eastAsia" w:ascii="宋体" w:hAnsi="宋体" w:eastAsia="宋体" w:cs="宋体"/>
                <w:b w:val="0"/>
                <w:sz w:val="21"/>
              </w:rPr>
              <w:t>各岗位权限、审计日志、操作留痕</w:t>
            </w:r>
          </w:p>
        </w:tc>
        <w:tc>
          <w:tcPr>
            <w:tcW w:w="2721" w:type="dxa"/>
          </w:tcPr>
          <w:p w14:paraId="1DA4B6C3">
            <w:pPr>
              <w:spacing w:before="40" w:after="40" w:line="240" w:lineRule="auto"/>
              <w:jc w:val="left"/>
            </w:pPr>
            <w:r>
              <w:rPr>
                <w:rFonts w:hint="eastAsia" w:ascii="宋体" w:hAnsi="宋体" w:eastAsia="宋体" w:cs="宋体"/>
                <w:b w:val="0"/>
                <w:sz w:val="21"/>
              </w:rPr>
              <w:t>与升级前一致，日志完整可查</w:t>
            </w:r>
          </w:p>
        </w:tc>
      </w:tr>
      <w:tr w14:paraId="66B3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5F9F9C2">
            <w:pPr>
              <w:spacing w:before="40" w:after="40" w:line="240" w:lineRule="auto"/>
              <w:jc w:val="center"/>
            </w:pPr>
            <w:r>
              <w:rPr>
                <w:rFonts w:hint="eastAsia" w:ascii="宋体" w:hAnsi="宋体" w:eastAsia="宋体" w:cs="宋体"/>
                <w:b w:val="0"/>
                <w:sz w:val="21"/>
              </w:rPr>
              <w:t>6</w:t>
            </w:r>
          </w:p>
        </w:tc>
        <w:tc>
          <w:tcPr>
            <w:tcW w:w="1587" w:type="dxa"/>
          </w:tcPr>
          <w:p w14:paraId="21AD408E">
            <w:pPr>
              <w:spacing w:before="40" w:after="40" w:line="240" w:lineRule="auto"/>
              <w:jc w:val="left"/>
            </w:pPr>
            <w:r>
              <w:rPr>
                <w:rFonts w:hint="eastAsia" w:ascii="宋体" w:hAnsi="宋体" w:eastAsia="宋体" w:cs="宋体"/>
                <w:b w:val="0"/>
                <w:sz w:val="21"/>
              </w:rPr>
              <w:t>性能表现</w:t>
            </w:r>
          </w:p>
        </w:tc>
        <w:tc>
          <w:tcPr>
            <w:tcW w:w="3742" w:type="dxa"/>
          </w:tcPr>
          <w:p w14:paraId="285C5A3A">
            <w:pPr>
              <w:spacing w:before="40" w:after="40" w:line="240" w:lineRule="auto"/>
              <w:jc w:val="left"/>
            </w:pPr>
            <w:r>
              <w:rPr>
                <w:rFonts w:hint="eastAsia" w:ascii="宋体" w:hAnsi="宋体" w:eastAsia="宋体" w:cs="宋体"/>
                <w:b w:val="0"/>
                <w:sz w:val="21"/>
              </w:rPr>
              <w:t>典型并发下的响应情况与资源占用</w:t>
            </w:r>
          </w:p>
        </w:tc>
        <w:tc>
          <w:tcPr>
            <w:tcW w:w="2721" w:type="dxa"/>
          </w:tcPr>
          <w:p w14:paraId="7E6A2ABA">
            <w:pPr>
              <w:spacing w:before="40" w:after="40" w:line="240" w:lineRule="auto"/>
              <w:jc w:val="left"/>
            </w:pPr>
            <w:r>
              <w:rPr>
                <w:rFonts w:hint="eastAsia" w:ascii="宋体" w:hAnsi="宋体" w:eastAsia="宋体" w:cs="宋体"/>
                <w:b w:val="0"/>
                <w:sz w:val="21"/>
              </w:rPr>
              <w:t>处于正常区间，无异常排队</w:t>
            </w:r>
          </w:p>
        </w:tc>
      </w:tr>
      <w:tr w14:paraId="0135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9421C81">
            <w:pPr>
              <w:spacing w:before="40" w:after="40" w:line="240" w:lineRule="auto"/>
              <w:jc w:val="center"/>
            </w:pPr>
            <w:r>
              <w:rPr>
                <w:rFonts w:hint="eastAsia" w:ascii="宋体" w:hAnsi="宋体" w:eastAsia="宋体" w:cs="宋体"/>
                <w:b w:val="0"/>
                <w:sz w:val="21"/>
              </w:rPr>
              <w:t>7</w:t>
            </w:r>
          </w:p>
        </w:tc>
        <w:tc>
          <w:tcPr>
            <w:tcW w:w="1587" w:type="dxa"/>
          </w:tcPr>
          <w:p w14:paraId="052E755B">
            <w:pPr>
              <w:spacing w:before="40" w:after="40" w:line="240" w:lineRule="auto"/>
              <w:jc w:val="left"/>
            </w:pPr>
            <w:r>
              <w:rPr>
                <w:rFonts w:hint="eastAsia" w:ascii="宋体" w:hAnsi="宋体" w:eastAsia="宋体" w:cs="宋体"/>
                <w:b w:val="0"/>
                <w:sz w:val="21"/>
              </w:rPr>
              <w:t>回退能力</w:t>
            </w:r>
          </w:p>
        </w:tc>
        <w:tc>
          <w:tcPr>
            <w:tcW w:w="3742" w:type="dxa"/>
          </w:tcPr>
          <w:p w14:paraId="05E59D8B">
            <w:pPr>
              <w:spacing w:before="40" w:after="40" w:line="240" w:lineRule="auto"/>
              <w:jc w:val="left"/>
            </w:pPr>
            <w:r>
              <w:rPr>
                <w:rFonts w:hint="eastAsia" w:ascii="宋体" w:hAnsi="宋体" w:eastAsia="宋体" w:cs="宋体"/>
                <w:b w:val="0"/>
                <w:sz w:val="21"/>
              </w:rPr>
              <w:t>回退包可用性、回退路径与责任人</w:t>
            </w:r>
          </w:p>
        </w:tc>
        <w:tc>
          <w:tcPr>
            <w:tcW w:w="2721" w:type="dxa"/>
          </w:tcPr>
          <w:p w14:paraId="41354155">
            <w:pPr>
              <w:spacing w:before="40" w:after="40" w:line="240" w:lineRule="auto"/>
              <w:jc w:val="left"/>
            </w:pPr>
            <w:r>
              <w:rPr>
                <w:rFonts w:hint="eastAsia" w:ascii="宋体" w:hAnsi="宋体" w:eastAsia="宋体" w:cs="宋体"/>
                <w:b w:val="0"/>
                <w:sz w:val="21"/>
              </w:rPr>
              <w:t>可在需要时按方案执行</w:t>
            </w:r>
          </w:p>
        </w:tc>
      </w:tr>
      <w:tr w14:paraId="72B1C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E676323">
            <w:pPr>
              <w:spacing w:before="40" w:after="40" w:line="240" w:lineRule="auto"/>
              <w:jc w:val="center"/>
            </w:pPr>
            <w:r>
              <w:rPr>
                <w:rFonts w:hint="eastAsia" w:ascii="宋体" w:hAnsi="宋体" w:eastAsia="宋体" w:cs="宋体"/>
                <w:b w:val="0"/>
                <w:sz w:val="21"/>
              </w:rPr>
              <w:t>8</w:t>
            </w:r>
          </w:p>
        </w:tc>
        <w:tc>
          <w:tcPr>
            <w:tcW w:w="1587" w:type="dxa"/>
          </w:tcPr>
          <w:p w14:paraId="0CA19FD4">
            <w:pPr>
              <w:spacing w:before="40" w:after="40" w:line="240" w:lineRule="auto"/>
              <w:jc w:val="left"/>
            </w:pPr>
            <w:r>
              <w:rPr>
                <w:rFonts w:hint="eastAsia" w:ascii="宋体" w:hAnsi="宋体" w:eastAsia="宋体" w:cs="宋体"/>
                <w:b w:val="0"/>
                <w:sz w:val="21"/>
              </w:rPr>
              <w:t>文档与培训</w:t>
            </w:r>
          </w:p>
        </w:tc>
        <w:tc>
          <w:tcPr>
            <w:tcW w:w="3742" w:type="dxa"/>
          </w:tcPr>
          <w:p w14:paraId="5DA21CC7">
            <w:pPr>
              <w:spacing w:before="40" w:after="40" w:line="240" w:lineRule="auto"/>
              <w:jc w:val="left"/>
            </w:pPr>
            <w:r>
              <w:rPr>
                <w:rFonts w:hint="eastAsia" w:ascii="宋体" w:hAnsi="宋体" w:eastAsia="宋体" w:cs="宋体"/>
                <w:b w:val="0"/>
                <w:sz w:val="21"/>
              </w:rPr>
              <w:t>版本说明、操作手册、培训材料更新情况</w:t>
            </w:r>
          </w:p>
        </w:tc>
        <w:tc>
          <w:tcPr>
            <w:tcW w:w="2721" w:type="dxa"/>
          </w:tcPr>
          <w:p w14:paraId="17CC0B33">
            <w:pPr>
              <w:spacing w:before="40" w:after="40" w:line="240" w:lineRule="auto"/>
              <w:jc w:val="left"/>
            </w:pPr>
            <w:r>
              <w:rPr>
                <w:rFonts w:hint="eastAsia" w:ascii="宋体" w:hAnsi="宋体" w:eastAsia="宋体" w:cs="宋体"/>
                <w:b w:val="0"/>
                <w:sz w:val="21"/>
              </w:rPr>
              <w:t>已同步更新并完成必要培训</w:t>
            </w:r>
          </w:p>
        </w:tc>
      </w:tr>
    </w:tbl>
    <w:p w14:paraId="59ECE8D3">
      <w:pPr>
        <w:pStyle w:val="5"/>
      </w:pPr>
      <w:r>
        <w:rPr>
          <w:rFonts w:hint="eastAsia"/>
        </w:rPr>
        <w:t>2.8.4 效果不达预期的处置</w:t>
      </w:r>
    </w:p>
    <w:p w14:paraId="4C974D0B">
      <w:pPr>
        <w:spacing w:before="0" w:after="0" w:line="360" w:lineRule="auto"/>
        <w:ind w:firstLine="480"/>
      </w:pPr>
      <w:r>
        <w:rPr>
          <w:rFonts w:hint="eastAsia" w:ascii="宋体" w:hAnsi="宋体" w:eastAsia="宋体" w:cs="宋体"/>
          <w:b w:val="0"/>
          <w:sz w:val="24"/>
        </w:rPr>
        <w:t>升级完成后效果不达预期，按严重程度分三种处置方式，不允许“带病运行”。</w:t>
      </w:r>
    </w:p>
    <w:p w14:paraId="7133399E">
      <w:pPr>
        <w:spacing w:before="0" w:after="0" w:line="360" w:lineRule="auto"/>
        <w:ind w:firstLine="480"/>
      </w:pPr>
      <w:r>
        <w:rPr>
          <w:rFonts w:hint="eastAsia" w:ascii="宋体" w:hAnsi="宋体" w:eastAsia="宋体" w:cs="宋体"/>
          <w:b w:val="0"/>
          <w:sz w:val="24"/>
        </w:rPr>
        <w:t>轻微不达预期，表现为个别场景的输出质量略有下降、个别表述不合本院习惯。处置方式为优化提示词、补充知识、调整规则，通过配置级变更解决，不推翻本次升级。</w:t>
      </w:r>
    </w:p>
    <w:p w14:paraId="2C982E0E">
      <w:pPr>
        <w:spacing w:before="0" w:after="0" w:line="360" w:lineRule="auto"/>
        <w:ind w:firstLine="480"/>
      </w:pPr>
      <w:r>
        <w:rPr>
          <w:rFonts w:hint="eastAsia" w:ascii="宋体" w:hAnsi="宋体" w:eastAsia="宋体" w:cs="宋体"/>
          <w:b w:val="0"/>
          <w:sz w:val="24"/>
        </w:rPr>
        <w:t>中度不达预期，表现为某类文书的质量明显下降、某场景的采纳率显著降低。处置方式为更换模型、调整编排、回退该场景至旧版本，其他场景保持新版本，做到“按场景回退”而非全盘回退。</w:t>
      </w:r>
    </w:p>
    <w:p w14:paraId="587526FD">
      <w:pPr>
        <w:spacing w:before="0" w:after="0" w:line="360" w:lineRule="auto"/>
        <w:ind w:firstLine="480"/>
      </w:pPr>
      <w:r>
        <w:rPr>
          <w:rFonts w:hint="eastAsia" w:ascii="宋体" w:hAnsi="宋体" w:eastAsia="宋体" w:cs="宋体"/>
          <w:b w:val="0"/>
          <w:sz w:val="24"/>
        </w:rPr>
        <w:t>严重不达预期，表现为出现医学错误、编造内容、与原始数据矛盾且已进入病历。处置方式为立即回退至升级前版本，暂停相关场景使用，全面排查原因，形成专项报告，重新走完验证流程后方可再次升级。</w:t>
      </w:r>
    </w:p>
    <w:p w14:paraId="4B0C50CD">
      <w:pPr>
        <w:pStyle w:val="4"/>
      </w:pPr>
      <w:r>
        <w:rPr>
          <w:rFonts w:hint="eastAsia"/>
        </w:rPr>
        <w:t>2.9 回滚与应急处置</w:t>
      </w:r>
    </w:p>
    <w:p w14:paraId="026AF8C5">
      <w:pPr>
        <w:pStyle w:val="5"/>
      </w:pPr>
      <w:r>
        <w:rPr>
          <w:rFonts w:hint="eastAsia"/>
        </w:rPr>
        <w:t>2.9.1 回滚的触发条件</w:t>
      </w:r>
    </w:p>
    <w:p w14:paraId="04CAC7D1">
      <w:pPr>
        <w:spacing w:before="0" w:after="0" w:line="360" w:lineRule="auto"/>
        <w:ind w:firstLine="480"/>
      </w:pPr>
      <w:r>
        <w:rPr>
          <w:rFonts w:hint="eastAsia" w:ascii="宋体" w:hAnsi="宋体" w:eastAsia="宋体" w:cs="宋体"/>
          <w:b w:val="0"/>
          <w:sz w:val="24"/>
        </w:rPr>
        <w:t>出现以下情形之一，应启动回滚：生成内容出现医学错误或事实性错误；数据回写错误或数据不一致；核心功能不可用或性能严重下降；安全事件或权限异常；临床集中反映无法正常使用。</w:t>
      </w:r>
    </w:p>
    <w:p w14:paraId="662B12EE">
      <w:pPr>
        <w:spacing w:before="0" w:after="0" w:line="360" w:lineRule="auto"/>
        <w:ind w:firstLine="480"/>
      </w:pPr>
      <w:r>
        <w:rPr>
          <w:rFonts w:hint="eastAsia" w:ascii="宋体" w:hAnsi="宋体" w:eastAsia="宋体" w:cs="宋体"/>
          <w:b w:val="0"/>
          <w:sz w:val="24"/>
        </w:rPr>
        <w:t>触发条件应当写入升级方案，并在升级前与院方确认。避免出现“出了问题还在争论要不要回退”的局面，回退决策的时间成本往往比回退本身更高。</w:t>
      </w:r>
    </w:p>
    <w:p w14:paraId="02646FDA">
      <w:pPr>
        <w:pStyle w:val="5"/>
      </w:pPr>
      <w:r>
        <w:rPr>
          <w:rFonts w:hint="eastAsia"/>
        </w:rPr>
        <w:t>2.9.2 回滚的对象与顺序</w:t>
      </w:r>
    </w:p>
    <w:p w14:paraId="51A0718E">
      <w:pPr>
        <w:spacing w:before="0" w:after="0" w:line="360" w:lineRule="auto"/>
        <w:ind w:firstLine="480"/>
      </w:pPr>
      <w:r>
        <w:rPr>
          <w:rFonts w:hint="eastAsia" w:ascii="宋体" w:hAnsi="宋体" w:eastAsia="宋体" w:cs="宋体"/>
          <w:b w:val="0"/>
          <w:sz w:val="24"/>
        </w:rPr>
        <w:t>回滚不是单一动作，而是按对象分层执行。正确的顺序是：先回流量，再回配置，再回模型，再回程序，最后才考虑数据。</w:t>
      </w:r>
    </w:p>
    <w:p w14:paraId="01FCA78F">
      <w:pPr>
        <w:spacing w:before="0" w:after="0" w:line="360" w:lineRule="auto"/>
        <w:ind w:firstLine="480"/>
      </w:pPr>
      <w:r>
        <w:rPr>
          <w:rFonts w:hint="eastAsia" w:ascii="宋体" w:hAnsi="宋体" w:eastAsia="宋体" w:cs="宋体"/>
          <w:b w:val="0"/>
          <w:sz w:val="24"/>
        </w:rPr>
        <w:t>先回流量，是指把业务流量切回旧版本实例，这是最快、最安全的止血手段，通常在分钟级完成，且不影响数据。</w:t>
      </w:r>
    </w:p>
    <w:p w14:paraId="0B07957C">
      <w:pPr>
        <w:spacing w:before="0" w:after="0" w:line="360" w:lineRule="auto"/>
        <w:ind w:firstLine="480"/>
      </w:pPr>
      <w:r>
        <w:rPr>
          <w:rFonts w:hint="eastAsia" w:ascii="宋体" w:hAnsi="宋体" w:eastAsia="宋体" w:cs="宋体"/>
          <w:b w:val="0"/>
          <w:sz w:val="24"/>
        </w:rPr>
        <w:t>再回配置，是指把提示词、规则、开关、路由策略恢复到升级前的基线。</w:t>
      </w:r>
    </w:p>
    <w:p w14:paraId="7A55C39A">
      <w:pPr>
        <w:spacing w:before="0" w:after="0" w:line="360" w:lineRule="auto"/>
        <w:ind w:firstLine="480"/>
      </w:pPr>
      <w:r>
        <w:rPr>
          <w:rFonts w:hint="eastAsia" w:ascii="宋体" w:hAnsi="宋体" w:eastAsia="宋体" w:cs="宋体"/>
          <w:b w:val="0"/>
          <w:sz w:val="24"/>
        </w:rPr>
        <w:t>再回模型，是指把模型注册表中的权重与状态恢复到旧版本。</w:t>
      </w:r>
    </w:p>
    <w:p w14:paraId="46249470">
      <w:pPr>
        <w:spacing w:before="0" w:after="0" w:line="360" w:lineRule="auto"/>
        <w:ind w:firstLine="480"/>
      </w:pPr>
      <w:r>
        <w:rPr>
          <w:rFonts w:hint="eastAsia" w:ascii="宋体" w:hAnsi="宋体" w:eastAsia="宋体" w:cs="宋体"/>
          <w:b w:val="0"/>
          <w:sz w:val="24"/>
        </w:rPr>
        <w:t>再回程序，是指通过回退包把平台程序恢复到上一稳定版本，这一步可能需要重启服务，属于有感的回滚。</w:t>
      </w:r>
    </w:p>
    <w:p w14:paraId="0DC28154">
      <w:pPr>
        <w:spacing w:before="0" w:after="0" w:line="360" w:lineRule="auto"/>
        <w:ind w:firstLine="480"/>
      </w:pPr>
      <w:r>
        <w:rPr>
          <w:rFonts w:hint="eastAsia" w:ascii="宋体" w:hAnsi="宋体" w:eastAsia="宋体" w:cs="宋体"/>
          <w:b w:val="0"/>
          <w:sz w:val="24"/>
        </w:rPr>
        <w:t>数据回滚放在最后，且原则上不做。原因见下节。</w:t>
      </w:r>
    </w:p>
    <w:p w14:paraId="7E5FF4DC">
      <w:pPr>
        <w:pStyle w:val="5"/>
      </w:pPr>
      <w:r>
        <w:rPr>
          <w:rFonts w:hint="eastAsia"/>
        </w:rPr>
        <w:t>2.9.3 数据回滚的处理原则</w:t>
      </w:r>
    </w:p>
    <w:p w14:paraId="6C0CF694">
      <w:pPr>
        <w:spacing w:before="0" w:after="0" w:line="360" w:lineRule="auto"/>
        <w:ind w:firstLine="480"/>
      </w:pPr>
      <w:r>
        <w:rPr>
          <w:rFonts w:hint="eastAsia" w:ascii="宋体" w:hAnsi="宋体" w:eastAsia="宋体" w:cs="宋体"/>
          <w:b w:val="0"/>
          <w:sz w:val="24"/>
        </w:rPr>
        <w:t>数据只前滚，不轻退。这是本方案的一条硬原则，原因有三：一是逆向迁移脚本本身可能引入新的错误；二是回滚会丢失升级期间产生的真实业务数据；三是病历数据受病历管理规范约束，已签署的病历不能通过数据库操作回改。</w:t>
      </w:r>
    </w:p>
    <w:p w14:paraId="4BFF93AC">
      <w:pPr>
        <w:spacing w:before="0" w:after="0" w:line="360" w:lineRule="auto"/>
        <w:ind w:firstLine="480"/>
      </w:pPr>
      <w:r>
        <w:rPr>
          <w:rFonts w:hint="eastAsia" w:ascii="宋体" w:hAnsi="宋体" w:eastAsia="宋体" w:cs="宋体"/>
          <w:b w:val="0"/>
          <w:sz w:val="24"/>
        </w:rPr>
        <w:t>因此，对于升级期间产生的数据问题，采用三种方式处理。</w:t>
      </w:r>
    </w:p>
    <w:p w14:paraId="1089FC98">
      <w:pPr>
        <w:spacing w:before="0" w:after="0" w:line="360" w:lineRule="auto"/>
        <w:ind w:firstLine="480"/>
      </w:pPr>
      <w:r>
        <w:rPr>
          <w:rFonts w:hint="eastAsia" w:ascii="宋体" w:hAnsi="宋体" w:eastAsia="宋体" w:cs="宋体"/>
          <w:b w:val="0"/>
          <w:sz w:val="24"/>
        </w:rPr>
        <w:t>第一，补偿而非删除。新增一条冲正或更正记录，说明原记录的问题与更正内容，保留原始痕迹。</w:t>
      </w:r>
    </w:p>
    <w:p w14:paraId="5B9745A3">
      <w:pPr>
        <w:spacing w:before="0" w:after="0" w:line="360" w:lineRule="auto"/>
        <w:ind w:firstLine="480"/>
      </w:pPr>
      <w:r>
        <w:rPr>
          <w:rFonts w:hint="eastAsia" w:ascii="宋体" w:hAnsi="宋体" w:eastAsia="宋体" w:cs="宋体"/>
          <w:b w:val="0"/>
          <w:sz w:val="24"/>
        </w:rPr>
        <w:t>第二，走病历修改流程。已经医师签署的病历，按医院病历修改管理规定处理，保留修改痕迹、修改人与修改时间，不通过后台直接改写。</w:t>
      </w:r>
    </w:p>
    <w:p w14:paraId="78DF44FE">
      <w:pPr>
        <w:spacing w:before="0" w:after="0" w:line="360" w:lineRule="auto"/>
        <w:ind w:firstLine="480"/>
      </w:pPr>
      <w:r>
        <w:rPr>
          <w:rFonts w:hint="eastAsia" w:ascii="宋体" w:hAnsi="宋体" w:eastAsia="宋体" w:cs="宋体"/>
          <w:b w:val="0"/>
          <w:sz w:val="24"/>
        </w:rPr>
        <w:t>第三，隔离而非覆盖。对于受影响的异常数据，先行标记隔离、停止使用，待原因查清后统一处理，避免在处理过程中产生二次污染。</w:t>
      </w:r>
    </w:p>
    <w:p w14:paraId="7C0DD26B">
      <w:pPr>
        <w:pStyle w:val="5"/>
      </w:pPr>
      <w:r>
        <w:rPr>
          <w:rFonts w:hint="eastAsia"/>
        </w:rPr>
        <w:t>2.9.4 回滚演练</w:t>
      </w:r>
    </w:p>
    <w:p w14:paraId="1097B15D">
      <w:pPr>
        <w:spacing w:before="0" w:after="0" w:line="360" w:lineRule="auto"/>
        <w:ind w:firstLine="480"/>
      </w:pPr>
      <w:r>
        <w:rPr>
          <w:rFonts w:hint="eastAsia" w:ascii="宋体" w:hAnsi="宋体" w:eastAsia="宋体" w:cs="宋体"/>
          <w:b w:val="0"/>
          <w:sz w:val="24"/>
        </w:rPr>
        <w:t>回滚能力不能停留在文档上，必须经过演练验证。本方案规定：四级升级前必须完成一次回滚演练，确认回退包可用、回退步骤可行、回退耗时可控；每年至少组织一次综合回滚演练，覆盖程序、模型、配置三类对象；演练结果纳入升级评审材料，演练中发现的问题在正式升级前解决。</w:t>
      </w:r>
    </w:p>
    <w:p w14:paraId="4D651B27">
      <w:pPr>
        <w:spacing w:before="0" w:after="0" w:line="360" w:lineRule="auto"/>
        <w:ind w:firstLine="480"/>
      </w:pPr>
      <w:r>
        <w:rPr>
          <w:rFonts w:hint="eastAsia" w:ascii="宋体" w:hAnsi="宋体" w:eastAsia="宋体" w:cs="宋体"/>
          <w:b w:val="0"/>
          <w:sz w:val="24"/>
        </w:rPr>
        <w:t>演练应尽量逼近真实：在预生产环境使用与生产同构的配置，由实际执行人按方案操作，不跳步、不简化。演练中“大概能行”的判断，在真实故障中往往会变成“确实不行”。</w:t>
      </w:r>
    </w:p>
    <w:p w14:paraId="267097CD">
      <w:pPr>
        <w:pStyle w:val="5"/>
      </w:pPr>
      <w:r>
        <w:rPr>
          <w:rFonts w:hint="eastAsia"/>
        </w:rPr>
        <w:t>2.9.5 升级失败时的业务连续性保障</w:t>
      </w:r>
    </w:p>
    <w:p w14:paraId="582DEA6C">
      <w:pPr>
        <w:spacing w:before="0" w:after="0" w:line="360" w:lineRule="auto"/>
        <w:ind w:firstLine="480"/>
      </w:pPr>
      <w:r>
        <w:rPr>
          <w:rFonts w:hint="eastAsia" w:ascii="宋体" w:hAnsi="宋体" w:eastAsia="宋体" w:cs="宋体"/>
          <w:b w:val="0"/>
          <w:sz w:val="24"/>
        </w:rPr>
        <w:t>升级失败或升级过程中出现异常，业务不能停。本方案设置三层保障。</w:t>
      </w:r>
    </w:p>
    <w:p w14:paraId="401A9209">
      <w:pPr>
        <w:spacing w:before="0" w:after="0" w:line="360" w:lineRule="auto"/>
        <w:ind w:firstLine="480"/>
      </w:pPr>
      <w:r>
        <w:rPr>
          <w:rFonts w:hint="eastAsia" w:ascii="宋体" w:hAnsi="宋体" w:eastAsia="宋体" w:cs="宋体"/>
          <w:b w:val="0"/>
          <w:sz w:val="24"/>
        </w:rPr>
        <w:t>第一层，功能降级。AI 服务不可用时，医师工作站回到原有手工书写流程，系统界面明确提示“AI 辅助暂不可用，请手工完成”，避免医师在等待中反复尝试。这一提示看似简单，却是避免临床焦虑的关键。</w:t>
      </w:r>
    </w:p>
    <w:p w14:paraId="2940C033">
      <w:pPr>
        <w:spacing w:before="0" w:after="0" w:line="360" w:lineRule="auto"/>
        <w:ind w:firstLine="480"/>
      </w:pPr>
      <w:r>
        <w:rPr>
          <w:rFonts w:hint="eastAsia" w:ascii="宋体" w:hAnsi="宋体" w:eastAsia="宋体" w:cs="宋体"/>
          <w:b w:val="0"/>
          <w:sz w:val="24"/>
        </w:rPr>
        <w:t>第二层，只读兜底。平台部分不可用时，保留历史记录的查询入口，医师仍可查阅既往生成内容与质控意见，不影响诊疗决策。</w:t>
      </w:r>
    </w:p>
    <w:p w14:paraId="66B3AEC8">
      <w:pPr>
        <w:spacing w:before="0" w:after="0" w:line="360" w:lineRule="auto"/>
        <w:ind w:firstLine="480"/>
      </w:pPr>
      <w:r>
        <w:rPr>
          <w:rFonts w:hint="eastAsia" w:ascii="宋体" w:hAnsi="宋体" w:eastAsia="宋体" w:cs="宋体"/>
          <w:b w:val="0"/>
          <w:sz w:val="24"/>
        </w:rPr>
        <w:t>第三层，人工支援。升级窗口内安排供方技术人员与院方信息科人员同时在线，出现问题时能够第一时间响应；重大升级安排现场值守，避免远程沟通延误处置。</w:t>
      </w:r>
    </w:p>
    <w:p w14:paraId="68AB1A89">
      <w:pPr>
        <w:pStyle w:val="4"/>
      </w:pPr>
      <w:r>
        <w:rPr>
          <w:rFonts w:hint="eastAsia"/>
        </w:rPr>
        <w:t>2.10 升级窗口与业务影响控制</w:t>
      </w:r>
    </w:p>
    <w:p w14:paraId="5B06B57F">
      <w:pPr>
        <w:pStyle w:val="5"/>
      </w:pPr>
      <w:r>
        <w:rPr>
          <w:rFonts w:hint="eastAsia"/>
        </w:rPr>
        <w:t>2.10.1 窗口选择原则</w:t>
      </w:r>
    </w:p>
    <w:p w14:paraId="4418F7E5">
      <w:pPr>
        <w:spacing w:before="0" w:after="0" w:line="360" w:lineRule="auto"/>
        <w:ind w:firstLine="480"/>
      </w:pPr>
      <w:r>
        <w:rPr>
          <w:rFonts w:hint="eastAsia" w:ascii="宋体" w:hAnsi="宋体" w:eastAsia="宋体" w:cs="宋体"/>
          <w:b w:val="0"/>
          <w:sz w:val="24"/>
        </w:rPr>
        <w:t>升级窗口的选择直接影响临床感受。本方案遵循四条原则。</w:t>
      </w:r>
    </w:p>
    <w:p w14:paraId="043E232E">
      <w:pPr>
        <w:spacing w:before="0" w:after="0" w:line="360" w:lineRule="auto"/>
        <w:ind w:firstLine="480"/>
      </w:pPr>
      <w:r>
        <w:rPr>
          <w:rFonts w:hint="eastAsia" w:ascii="宋体" w:hAnsi="宋体" w:eastAsia="宋体" w:cs="宋体"/>
          <w:b w:val="0"/>
          <w:sz w:val="24"/>
        </w:rPr>
        <w:t>第一，避开门诊高峰。工作日上午是门诊接诊最集中的时段，此时任何中断都会被放大，原则上不安排有感的升级操作。</w:t>
      </w:r>
    </w:p>
    <w:p w14:paraId="138928DF">
      <w:pPr>
        <w:spacing w:before="0" w:after="0" w:line="360" w:lineRule="auto"/>
        <w:ind w:firstLine="480"/>
      </w:pPr>
      <w:r>
        <w:rPr>
          <w:rFonts w:hint="eastAsia" w:ascii="宋体" w:hAnsi="宋体" w:eastAsia="宋体" w:cs="宋体"/>
          <w:b w:val="0"/>
          <w:sz w:val="24"/>
        </w:rPr>
        <w:t>第二，避开管理节点。月末结算、医保对账、绩效核算、等级医院评审与各类检查期间，系统负荷高、容错空间小，不安排升级。</w:t>
      </w:r>
    </w:p>
    <w:p w14:paraId="28F3094C">
      <w:pPr>
        <w:spacing w:before="0" w:after="0" w:line="360" w:lineRule="auto"/>
        <w:ind w:firstLine="480"/>
      </w:pPr>
      <w:r>
        <w:rPr>
          <w:rFonts w:hint="eastAsia" w:ascii="宋体" w:hAnsi="宋体" w:eastAsia="宋体" w:cs="宋体"/>
          <w:b w:val="0"/>
          <w:sz w:val="24"/>
        </w:rPr>
        <w:t>第三，优先夜间与周末。需要停机的升级安排在周末夜间，尽可能减少对业务的影响；窗口时长按实际操作步骤估算并预留缓冲，不以“上次用了多久”作为依据。</w:t>
      </w:r>
    </w:p>
    <w:p w14:paraId="0B1BE131">
      <w:pPr>
        <w:spacing w:before="0" w:after="0" w:line="360" w:lineRule="auto"/>
        <w:ind w:firstLine="480"/>
      </w:pPr>
      <w:r>
        <w:rPr>
          <w:rFonts w:hint="eastAsia" w:ascii="宋体" w:hAnsi="宋体" w:eastAsia="宋体" w:cs="宋体"/>
          <w:b w:val="0"/>
          <w:sz w:val="24"/>
        </w:rPr>
        <w:t>第四，与值班安排匹配。窗口时间须与信息科值班表、供方值守安排对应，避免出现“系统停了、没人能处理”的情况。</w:t>
      </w:r>
    </w:p>
    <w:p w14:paraId="40006E04">
      <w:pPr>
        <w:pStyle w:val="5"/>
      </w:pPr>
      <w:r>
        <w:rPr>
          <w:rFonts w:hint="eastAsia"/>
        </w:rPr>
        <w:t>2.10.2 停机升级与不停机升级的划分</w:t>
      </w:r>
    </w:p>
    <w:p w14:paraId="4E1C3AD4">
      <w:pPr>
        <w:spacing w:before="0" w:after="0" w:line="360" w:lineRule="auto"/>
        <w:ind w:firstLine="480"/>
      </w:pPr>
      <w:r>
        <w:rPr>
          <w:rFonts w:hint="eastAsia" w:ascii="宋体" w:hAnsi="宋体" w:eastAsia="宋体" w:cs="宋体"/>
          <w:b w:val="0"/>
          <w:sz w:val="24"/>
        </w:rPr>
        <w:t>明确哪些升级必须停机，可以避免把可以不停机完成的事情做成停机，也可以避免把必须停机的操作强行在线执行。</w:t>
      </w:r>
    </w:p>
    <w:p w14:paraId="5AB8DB19">
      <w:pPr>
        <w:spacing w:before="0" w:after="0" w:line="360" w:lineRule="auto"/>
        <w:ind w:firstLine="480"/>
      </w:pPr>
      <w:r>
        <w:rPr>
          <w:rFonts w:hint="eastAsia" w:ascii="宋体" w:hAnsi="宋体" w:eastAsia="宋体" w:cs="宋体"/>
          <w:b w:val="0"/>
          <w:sz w:val="24"/>
        </w:rPr>
        <w:t>需要停机的典型情形：操作系统、驱动、推理引擎的大版本升级；数据库大版本升级或涉及大表结构变更；网关协议不兼容的替换；需要重启推理服务且无冗余节点的场景；涉及权限体系与认证方式调整的变更。</w:t>
      </w:r>
    </w:p>
    <w:p w14:paraId="339A0CDC">
      <w:pPr>
        <w:spacing w:before="0" w:after="0" w:line="360" w:lineRule="auto"/>
        <w:ind w:firstLine="480"/>
      </w:pPr>
      <w:r>
        <w:rPr>
          <w:rFonts w:hint="eastAsia" w:ascii="宋体" w:hAnsi="宋体" w:eastAsia="宋体" w:cs="宋体"/>
          <w:b w:val="0"/>
          <w:sz w:val="24"/>
        </w:rPr>
        <w:t>可以不停机的典型情形：模型灰度切换（多实例并存）；提示词、规则、知识库的配置级升级；不涉及破坏性结构变更的接口扩展；支持滚动重启的应用程序升级；静态资源与前端版本更新。</w:t>
      </w:r>
    </w:p>
    <w:p w14:paraId="489143C0">
      <w:pPr>
        <w:spacing w:before="0" w:after="0" w:line="360" w:lineRule="auto"/>
        <w:ind w:firstLine="480"/>
      </w:pPr>
      <w:r>
        <w:rPr>
          <w:rFonts w:hint="eastAsia" w:ascii="宋体" w:hAnsi="宋体" w:eastAsia="宋体" w:cs="宋体"/>
          <w:b w:val="0"/>
          <w:sz w:val="24"/>
        </w:rPr>
        <w:t>划分并非绝对，取决于平台当时的冗余度。同一类升级在有冗余节点时可以滚动完成，在单节点环境下则可能需要停机。因此每次升级前都要重新评估，而不是照搬历史结论。</w:t>
      </w:r>
    </w:p>
    <w:p w14:paraId="0DBCD477">
      <w:pPr>
        <w:pStyle w:val="5"/>
      </w:pPr>
      <w:r>
        <w:rPr>
          <w:rFonts w:hint="eastAsia"/>
        </w:rPr>
        <w:t>2.10.3 升级期间的在途业务处理</w:t>
      </w:r>
    </w:p>
    <w:p w14:paraId="7C0C0A6E">
      <w:pPr>
        <w:spacing w:before="0" w:after="0" w:line="360" w:lineRule="auto"/>
        <w:ind w:firstLine="480"/>
      </w:pPr>
      <w:r>
        <w:rPr>
          <w:rFonts w:hint="eastAsia" w:ascii="宋体" w:hAnsi="宋体" w:eastAsia="宋体" w:cs="宋体"/>
          <w:b w:val="0"/>
          <w:sz w:val="24"/>
        </w:rPr>
        <w:t>升级窗口内的在途业务，是容易被忽略的风险点。一份正在生成中的病程记录，如果恰逢服务重启，可能出现内容不完整、回写状态不明的情况。</w:t>
      </w:r>
    </w:p>
    <w:p w14:paraId="1E0FDCF6">
      <w:pPr>
        <w:spacing w:before="0" w:after="0" w:line="360" w:lineRule="auto"/>
        <w:ind w:firstLine="480"/>
      </w:pPr>
      <w:r>
        <w:rPr>
          <w:rFonts w:hint="eastAsia" w:ascii="宋体" w:hAnsi="宋体" w:eastAsia="宋体" w:cs="宋体"/>
          <w:b w:val="0"/>
          <w:sz w:val="24"/>
        </w:rPr>
        <w:t>本方案规定三项处理规则。第一，升级前对在途任务做快照，记录任务标识与状态；第二，升级期间对新的生成请求采取排队或明确提示，不返回半成品内容；第三，升级完成后按快照核对在途任务，未完成的重新执行或作废，避免出现“看不见的半成品”被医师误用。</w:t>
      </w:r>
    </w:p>
    <w:p w14:paraId="3B4585CD">
      <w:pPr>
        <w:spacing w:before="0" w:after="0" w:line="360" w:lineRule="auto"/>
        <w:ind w:firstLine="480"/>
      </w:pPr>
      <w:r>
        <w:rPr>
          <w:rFonts w:hint="eastAsia" w:ascii="宋体" w:hAnsi="宋体" w:eastAsia="宋体" w:cs="宋体"/>
          <w:b w:val="0"/>
          <w:sz w:val="24"/>
        </w:rPr>
        <w:t>接口设计上采用幂等机制，同一请求重复提交不产生重复回写，避免升级重试导致病历中出现重复段落。</w:t>
      </w:r>
    </w:p>
    <w:p w14:paraId="0ED1DA38">
      <w:pPr>
        <w:pStyle w:val="5"/>
      </w:pPr>
      <w:r>
        <w:rPr>
          <w:rFonts w:hint="eastAsia"/>
        </w:rPr>
        <w:t>2.10.4 告知与协同机制</w:t>
      </w:r>
    </w:p>
    <w:p w14:paraId="78E33892">
      <w:pPr>
        <w:spacing w:before="0" w:after="0" w:line="360" w:lineRule="auto"/>
        <w:ind w:firstLine="480"/>
      </w:pPr>
      <w:r>
        <w:rPr>
          <w:rFonts w:hint="eastAsia" w:ascii="宋体" w:hAnsi="宋体" w:eastAsia="宋体" w:cs="宋体"/>
          <w:b w:val="0"/>
          <w:sz w:val="24"/>
        </w:rPr>
        <w:t>升级不是技术部门的单方面行动，需要提前让使用者知情。</w:t>
      </w:r>
    </w:p>
    <w:p w14:paraId="687A4604">
      <w:pPr>
        <w:spacing w:before="0" w:after="0" w:line="360" w:lineRule="auto"/>
        <w:ind w:firstLine="480"/>
      </w:pPr>
      <w:r>
        <w:rPr>
          <w:rFonts w:hint="eastAsia" w:ascii="宋体" w:hAnsi="宋体" w:eastAsia="宋体" w:cs="宋体"/>
          <w:b w:val="0"/>
          <w:sz w:val="24"/>
        </w:rPr>
        <w:t>常规升级提前发布通知，内容包括升级内容、影响范围、时间窗口、升级期间的操作建议、联系方式。涉及操作变化的升级，通知中说明变化点，并附简短的对照说明。</w:t>
      </w:r>
    </w:p>
    <w:p w14:paraId="79C8648B">
      <w:pPr>
        <w:spacing w:before="0" w:after="0" w:line="360" w:lineRule="auto"/>
        <w:ind w:firstLine="480"/>
      </w:pPr>
      <w:r>
        <w:rPr>
          <w:rFonts w:hint="eastAsia" w:ascii="宋体" w:hAnsi="宋体" w:eastAsia="宋体" w:cs="宋体"/>
          <w:b w:val="0"/>
          <w:sz w:val="24"/>
        </w:rPr>
        <w:t>重大升级提前组织沟通会，向使用科室说明升级的必要性、预期效果与可能的不适应，听取意见。沟通的意义不只是通知，更在于让临床理解“为什么变”，减少推行阻力。</w:t>
      </w:r>
    </w:p>
    <w:p w14:paraId="1E5D3043">
      <w:pPr>
        <w:spacing w:before="0" w:after="0" w:line="360" w:lineRule="auto"/>
        <w:ind w:firstLine="480"/>
      </w:pPr>
      <w:r>
        <w:rPr>
          <w:rFonts w:hint="eastAsia" w:ascii="宋体" w:hAnsi="宋体" w:eastAsia="宋体" w:cs="宋体"/>
          <w:b w:val="0"/>
          <w:sz w:val="24"/>
        </w:rPr>
        <w:t>升级完成后发布恢复通知，说明实际完成情况与遗留问题。遗留问题要如实说明，不隐瞒、不淡化，否则下一次升级的通知将不再被认真对待。</w:t>
      </w:r>
    </w:p>
    <w:p w14:paraId="7E8339F3">
      <w:pPr>
        <w:pStyle w:val="5"/>
      </w:pPr>
      <w:r>
        <w:rPr>
          <w:rFonts w:hint="eastAsia"/>
        </w:rPr>
        <w:t>2.10.5 升级窗口内的协同分工</w:t>
      </w:r>
    </w:p>
    <w:p w14:paraId="6583C3B7">
      <w:pPr>
        <w:spacing w:before="0" w:after="0" w:line="360" w:lineRule="auto"/>
        <w:ind w:firstLine="480"/>
      </w:pPr>
      <w:r>
        <w:rPr>
          <w:rFonts w:hint="eastAsia" w:ascii="宋体" w:hAnsi="宋体" w:eastAsia="宋体" w:cs="宋体"/>
          <w:b w:val="0"/>
          <w:sz w:val="24"/>
        </w:rPr>
        <w:t>窗口期内，供需双方按分工各司其职。供方负责技术操作、验证与回退执行；院方信息科负责院内协调、权限开放、与其他系统厂商的联络；业务部门负责升级后的业务验证与确认。</w:t>
      </w:r>
    </w:p>
    <w:p w14:paraId="1EC1931A">
      <w:pPr>
        <w:spacing w:before="0" w:after="0" w:line="360" w:lineRule="auto"/>
        <w:ind w:firstLine="480"/>
      </w:pPr>
      <w:r>
        <w:rPr>
          <w:rFonts w:hint="eastAsia" w:ascii="宋体" w:hAnsi="宋体" w:eastAsia="宋体" w:cs="宋体"/>
          <w:b w:val="0"/>
          <w:sz w:val="24"/>
        </w:rPr>
        <w:t>三方在同一联络渠道内同步进展，关键节点（开始、完成主要步骤、验证通过、恢复业务）逐一通报。出现异常时，由院方信息科负责人与供方项目经理共同决定继续、暂停或回退，决策过程记录在案。</w:t>
      </w:r>
    </w:p>
    <w:p w14:paraId="5FD7FC4E">
      <w:pPr>
        <w:pStyle w:val="4"/>
      </w:pPr>
      <w:r>
        <w:rPr>
          <w:rFonts w:hint="eastAsia"/>
        </w:rPr>
        <w:t>2.11 兼容性与生命周期管理</w:t>
      </w:r>
    </w:p>
    <w:p w14:paraId="18016A37">
      <w:pPr>
        <w:pStyle w:val="5"/>
      </w:pPr>
      <w:r>
        <w:rPr>
          <w:rFonts w:hint="eastAsia"/>
        </w:rPr>
        <w:t>2.11.1 接口兼容策略</w:t>
      </w:r>
    </w:p>
    <w:p w14:paraId="4E4F6AC4">
      <w:pPr>
        <w:spacing w:before="0" w:after="0" w:line="360" w:lineRule="auto"/>
        <w:ind w:firstLine="480"/>
      </w:pPr>
      <w:r>
        <w:rPr>
          <w:rFonts w:hint="eastAsia" w:ascii="宋体" w:hAnsi="宋体" w:eastAsia="宋体" w:cs="宋体"/>
          <w:b w:val="0"/>
          <w:sz w:val="24"/>
        </w:rPr>
        <w:t>本系统与医院多个业务系统对接，接口的稳定性直接决定 AI 能力能否持续可用。接口管理遵循四条策略。</w:t>
      </w:r>
    </w:p>
    <w:p w14:paraId="5D39C23F">
      <w:pPr>
        <w:spacing w:before="0" w:after="0" w:line="360" w:lineRule="auto"/>
        <w:ind w:firstLine="480"/>
      </w:pPr>
      <w:r>
        <w:rPr>
          <w:rFonts w:hint="eastAsia" w:ascii="宋体" w:hAnsi="宋体" w:eastAsia="宋体" w:cs="宋体"/>
          <w:b w:val="0"/>
          <w:sz w:val="24"/>
        </w:rPr>
        <w:t>第一，接口版本化。对外提供的接口带版本标识，新版本上线时旧版本并行保留，给调用方留出改造时间。</w:t>
      </w:r>
    </w:p>
    <w:p w14:paraId="46206569">
      <w:pPr>
        <w:spacing w:before="0" w:after="0" w:line="360" w:lineRule="auto"/>
        <w:ind w:firstLine="480"/>
      </w:pPr>
      <w:r>
        <w:rPr>
          <w:rFonts w:hint="eastAsia" w:ascii="宋体" w:hAnsi="宋体" w:eastAsia="宋体" w:cs="宋体"/>
          <w:b w:val="0"/>
          <w:sz w:val="24"/>
        </w:rPr>
        <w:t>第二，字段只增不删。接口字段扩展采用新增方式，不修改既有字段的含义与类型；确需变更的，新老字段并行一段时间后再逐步下线。</w:t>
      </w:r>
    </w:p>
    <w:p w14:paraId="63E2C772">
      <w:pPr>
        <w:spacing w:before="0" w:after="0" w:line="360" w:lineRule="auto"/>
        <w:ind w:firstLine="480"/>
      </w:pPr>
      <w:r>
        <w:rPr>
          <w:rFonts w:hint="eastAsia" w:ascii="宋体" w:hAnsi="宋体" w:eastAsia="宋体" w:cs="宋体"/>
          <w:b w:val="0"/>
          <w:sz w:val="24"/>
        </w:rPr>
        <w:t>第三，弃用提前公告。接口或字段的停用提前公告，公告期覆盖调用方的改造周期，公告期内保持可用并在日志中提示。</w:t>
      </w:r>
    </w:p>
    <w:p w14:paraId="696CA0E8">
      <w:pPr>
        <w:spacing w:before="0" w:after="0" w:line="360" w:lineRule="auto"/>
        <w:ind w:firstLine="480"/>
      </w:pPr>
      <w:r>
        <w:rPr>
          <w:rFonts w:hint="eastAsia" w:ascii="宋体" w:hAnsi="宋体" w:eastAsia="宋体" w:cs="宋体"/>
          <w:b w:val="0"/>
          <w:sz w:val="24"/>
        </w:rPr>
        <w:t>第四，灰度期双版本并行。接口协议变更时，新老协议并行运行，通过灰度切流验证，确认无问题后下线旧协议。</w:t>
      </w:r>
    </w:p>
    <w:p w14:paraId="58822BD3">
      <w:pPr>
        <w:pStyle w:val="5"/>
      </w:pPr>
      <w:r>
        <w:rPr>
          <w:rFonts w:hint="eastAsia"/>
        </w:rPr>
        <w:t>2.11.2 上游系统变更的适配</w:t>
      </w:r>
    </w:p>
    <w:p w14:paraId="1E3DA189">
      <w:pPr>
        <w:spacing w:before="0" w:after="0" w:line="360" w:lineRule="auto"/>
        <w:ind w:firstLine="480"/>
      </w:pPr>
      <w:r>
        <w:rPr>
          <w:rFonts w:hint="eastAsia" w:ascii="宋体" w:hAnsi="宋体" w:eastAsia="宋体" w:cs="宋体"/>
          <w:b w:val="0"/>
          <w:sz w:val="24"/>
        </w:rPr>
        <w:t>AI 系统的取数依赖医院原有业务系统。当 HIS、EMR、LIS、PACS 等系统升级，视图结构、字段含义、字典编码、消息格式都可能变化，直接后果是 AI 取数失败或取到错误数据，表现为“生成内容缺项”“质控误报”这类看似与 AI 无关的问题。</w:t>
      </w:r>
    </w:p>
    <w:p w14:paraId="606E5F54">
      <w:pPr>
        <w:spacing w:before="0" w:after="0" w:line="360" w:lineRule="auto"/>
        <w:ind w:firstLine="480"/>
      </w:pPr>
      <w:r>
        <w:rPr>
          <w:rFonts w:hint="eastAsia" w:ascii="宋体" w:hAnsi="宋体" w:eastAsia="宋体" w:cs="宋体"/>
          <w:b w:val="0"/>
          <w:sz w:val="24"/>
        </w:rPr>
        <w:t>为此建立两项机制。一是变更告知机制，医院侧核心系统升级前告知供方，供方评估对本系统的影响并给出适配建议；具体告知时限与方式在实施阶段与信息科约定，写入运维协同细则。二是适配验证机制，上游变更完成后，对本系统的取数接口做回归验证，确认字段映射、字典对照、数据完整性均正常，再恢复 AI 服务的正常使用。</w:t>
      </w:r>
    </w:p>
    <w:p w14:paraId="75C97239">
      <w:pPr>
        <w:spacing w:before="0" w:after="0" w:line="360" w:lineRule="auto"/>
        <w:ind w:firstLine="480"/>
      </w:pPr>
      <w:r>
        <w:rPr>
          <w:rFonts w:hint="eastAsia" w:ascii="宋体" w:hAnsi="宋体" w:eastAsia="宋体" w:cs="宋体"/>
          <w:b w:val="0"/>
          <w:sz w:val="24"/>
        </w:rPr>
        <w:t>同时在平台侧建立数据质量监控：对关键字段的空值率、异常值比例、接口失败率设置监测，出现异常时自动告警。这类监控能在上游变更后第一时间发现问题，比等临床反馈要快得多。</w:t>
      </w:r>
    </w:p>
    <w:p w14:paraId="5A3D905F">
      <w:pPr>
        <w:pStyle w:val="5"/>
      </w:pPr>
      <w:r>
        <w:rPr>
          <w:rFonts w:hint="eastAsia"/>
        </w:rPr>
        <w:t>2.11.3 模型与组件的生命周期管理</w:t>
      </w:r>
    </w:p>
    <w:p w14:paraId="25AEF642">
      <w:pPr>
        <w:spacing w:before="0" w:after="0" w:line="360" w:lineRule="auto"/>
        <w:ind w:firstLine="480"/>
      </w:pPr>
      <w:r>
        <w:rPr>
          <w:rFonts w:hint="eastAsia" w:ascii="宋体" w:hAnsi="宋体" w:eastAsia="宋体" w:cs="宋体"/>
          <w:b w:val="0"/>
          <w:sz w:val="24"/>
        </w:rPr>
        <w:t>基座模型有生命周期，供应商可能停止维护某个版本、调整许可条件、下线旧模型；推理引擎、向量数据库、中间件同样如此。如果不提前规划，某一天会发现“系统还在跑，但已经没人维护底层组件”。</w:t>
      </w:r>
    </w:p>
    <w:p w14:paraId="10327749">
      <w:pPr>
        <w:spacing w:before="0" w:after="0" w:line="360" w:lineRule="auto"/>
        <w:ind w:firstLine="480"/>
      </w:pPr>
      <w:r>
        <w:rPr>
          <w:rFonts w:hint="eastAsia" w:ascii="宋体" w:hAnsi="宋体" w:eastAsia="宋体" w:cs="宋体"/>
          <w:b w:val="0"/>
          <w:sz w:val="24"/>
        </w:rPr>
        <w:t>本方案的处理方式有三条。第一，建立组件清单，记录每个模型与组件的版本、来源、许可方式、支持期限、替代方案，每年复核一次。第二，对临近停止维护的组件提前规划替换路径，替换纳入年度路线图，不等到被迫迁移。第三，优先选择接口标准统一、可替换性强的组件，降低单一供应商依赖，为国产化替代预留空间。</w:t>
      </w:r>
    </w:p>
    <w:p w14:paraId="62C96231">
      <w:pPr>
        <w:pStyle w:val="5"/>
      </w:pPr>
      <w:r>
        <w:rPr>
          <w:rFonts w:hint="eastAsia"/>
        </w:rPr>
        <w:t>2.11.4 版本支持策略</w:t>
      </w:r>
    </w:p>
    <w:p w14:paraId="694E519E">
      <w:pPr>
        <w:spacing w:before="0" w:after="0" w:line="360" w:lineRule="auto"/>
        <w:ind w:firstLine="480"/>
      </w:pPr>
      <w:r>
        <w:rPr>
          <w:rFonts w:hint="eastAsia" w:ascii="宋体" w:hAnsi="宋体" w:eastAsia="宋体" w:cs="宋体"/>
          <w:b w:val="0"/>
          <w:sz w:val="24"/>
        </w:rPr>
        <w:t>为避免版本碎片化带来的维护成本，本方案规定版本支持策略：在役版本及其前两个版本提供完整支持，包括缺陷修复、安全补丁与技术支持；更早的版本仅提供安全类修复，不再增加新功能；版本停服提前公告，并协助院方完成升级迁移。</w:t>
      </w:r>
    </w:p>
    <w:p w14:paraId="04DB696C">
      <w:pPr>
        <w:spacing w:before="0" w:after="0" w:line="360" w:lineRule="auto"/>
        <w:ind w:firstLine="480"/>
      </w:pPr>
      <w:r>
        <w:rPr>
          <w:rFonts w:hint="eastAsia" w:ascii="宋体" w:hAnsi="宋体" w:eastAsia="宋体" w:cs="宋体"/>
          <w:b w:val="0"/>
          <w:sz w:val="24"/>
        </w:rPr>
        <w:t>这一策略对院方同样有约束：不宜长期停留在过旧版本上，否则既无法获得新能力，也难以在出现安全问题时得到及时修复。版本支持策略的具体版本数量与期限，在实施阶段结合医院实际情况确认。</w:t>
      </w:r>
    </w:p>
    <w:p w14:paraId="793B5AF8">
      <w:pPr>
        <w:pStyle w:val="4"/>
        <w:bidi w:val="0"/>
        <w:rPr>
          <w:rFonts w:hint="eastAsia" w:ascii="宋体" w:hAnsi="宋体" w:eastAsia="宋体" w:cs="宋体"/>
          <w:lang w:val="en-US" w:eastAsia="zh-CN"/>
        </w:rPr>
      </w:pPr>
      <w:r>
        <w:rPr>
          <w:rFonts w:hint="eastAsia" w:ascii="宋体" w:hAnsi="宋体" w:eastAsia="宋体" w:cs="宋体"/>
          <w:lang w:val="en-US" w:eastAsia="zh-CN"/>
        </w:rPr>
        <w:t>2.</w:t>
      </w:r>
      <w:r>
        <w:rPr>
          <w:rFonts w:hint="eastAsia" w:cs="宋体"/>
          <w:lang w:val="en-US" w:eastAsia="zh-CN"/>
        </w:rPr>
        <w:t>1</w:t>
      </w:r>
      <w:r>
        <w:rPr>
          <w:rFonts w:hint="eastAsia" w:ascii="宋体" w:hAnsi="宋体" w:eastAsia="宋体" w:cs="宋体"/>
          <w:lang w:val="en-US" w:eastAsia="zh-CN"/>
        </w:rPr>
        <w:t>2日常维护方案</w:t>
      </w:r>
    </w:p>
    <w:p w14:paraId="1EDB8ADC">
      <w:pPr>
        <w:pStyle w:val="5"/>
        <w:bidi w:val="0"/>
        <w:rPr>
          <w:rFonts w:hint="eastAsia" w:ascii="宋体" w:hAnsi="宋体" w:eastAsia="宋体" w:cs="宋体"/>
        </w:rPr>
      </w:pPr>
      <w:r>
        <w:rPr>
          <w:rFonts w:hint="eastAsia" w:ascii="宋体" w:hAnsi="宋体" w:eastAsia="宋体" w:cs="宋体"/>
          <w:lang w:val="en-US" w:eastAsia="zh-CN"/>
        </w:rPr>
        <w:t>2.12.1.售后服务响应流程</w:t>
      </w:r>
    </w:p>
    <w:p w14:paraId="498F383E">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bidi="ar"/>
        </w:rPr>
        <w:t>当客服中心接收到报障信息时，工作人员会详细记录下故障的具体信息以及联系人的相关资料。随后，他们会根据故障所涉及的产品情况，将相应的售后要求和信息传递给负责的小组长。小组长在接收到这些信息之后，会迅速与使用方取得联系，以便更深入地了解故障的具体情况。在了解了详细情况之后，小组长会决定采取何种故障处理办法，并确定参与处理的人员数量。处理办法可以包括多种方式，例如远程指导处理，这可能包括语音、视频、文字等多种形式的指导；或者选择赶赴现场处理，直接在使用方所在地解决问题；另外，也可以采取备品备件替换原件返修处理的方式，将故障部件替换后进行返厂维修；最后，如果需要，还可以安排厂家的技术人员上门服务，以确保问题能够得到及时和有效的解决。</w:t>
      </w:r>
    </w:p>
    <w:p w14:paraId="68000C41">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bidi="ar"/>
        </w:rPr>
        <w:t>在接到现场故障的通知后，</w:t>
      </w:r>
      <w:r>
        <w:rPr>
          <w:rFonts w:hint="eastAsia" w:ascii="宋体" w:hAnsi="宋体" w:eastAsia="宋体" w:cs="宋体"/>
          <w:color w:val="000000"/>
          <w:kern w:val="0"/>
          <w:sz w:val="24"/>
          <w:szCs w:val="24"/>
          <w:lang w:val="en-US" w:eastAsia="zh-CN" w:bidi="ar"/>
        </w:rPr>
        <w:t>对于需要赶往现场处理相关问题的项目，</w:t>
      </w:r>
      <w:r>
        <w:rPr>
          <w:rFonts w:hint="eastAsia" w:ascii="宋体" w:hAnsi="宋体" w:eastAsia="宋体" w:cs="宋体"/>
          <w:color w:val="000000"/>
          <w:kern w:val="0"/>
          <w:sz w:val="24"/>
          <w:szCs w:val="24"/>
          <w:lang w:bidi="ar"/>
        </w:rPr>
        <w:t>相关人员应立即动身前往现场，以最快的速度对出现的问题进行诊断和处理。一旦故障处理完毕，确保系统恢复正常运行状态，使用方或客户需填写满意度调查表，以便对服务质量和响应速度进行评估。</w:t>
      </w:r>
    </w:p>
    <w:p w14:paraId="06DC1C91">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bidi="ar"/>
        </w:rPr>
        <w:t>在故障被彻底解决之后，需要详细记录故障的具体情况以及处理流程，这些记录应当包括故障发生的时间、地点、性质、影响范围以及采取的解决措施等关键信息。随后，将这些记录与项目相关的资料、客户的相关资料以及项目售后的记录等文档资料整理在一起，进行归档处理，确保所有信息都被妥善保存，便于未来查询和参考。</w:t>
      </w:r>
    </w:p>
    <w:p w14:paraId="718221D2">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bidi="ar"/>
        </w:rPr>
        <w:t>如果您在使用过程中遇到了任何问题或故障，使用方也可以选择直接拨打华信公司技术支持团队的电话进行报障，以便及时获得专业的技术支持和帮助</w:t>
      </w:r>
      <w:r>
        <w:rPr>
          <w:rFonts w:hint="eastAsia" w:ascii="宋体" w:hAnsi="宋体" w:eastAsia="宋体" w:cs="宋体"/>
          <w:color w:val="000000"/>
          <w:kern w:val="0"/>
          <w:sz w:val="24"/>
          <w:szCs w:val="24"/>
          <w:lang w:eastAsia="zh-CN" w:bidi="ar"/>
        </w:rPr>
        <w:t>，</w:t>
      </w:r>
      <w:r>
        <w:rPr>
          <w:rFonts w:hint="eastAsia" w:ascii="宋体" w:hAnsi="宋体" w:eastAsia="宋体" w:cs="宋体"/>
          <w:color w:val="000000"/>
          <w:kern w:val="0"/>
          <w:sz w:val="24"/>
          <w:szCs w:val="24"/>
          <w:lang w:val="en-US" w:eastAsia="zh-CN" w:bidi="ar"/>
        </w:rPr>
        <w:t>我们支持24小时全天候在线，三分钟极速响应</w:t>
      </w:r>
      <w:r>
        <w:rPr>
          <w:rFonts w:hint="eastAsia" w:ascii="宋体" w:hAnsi="宋体" w:eastAsia="宋体" w:cs="宋体"/>
          <w:color w:val="000000"/>
          <w:kern w:val="0"/>
          <w:sz w:val="24"/>
          <w:szCs w:val="24"/>
          <w:lang w:val="en-US" w:eastAsia="zh-CN" w:bidi="ar"/>
        </w:rPr>
        <w:t>。</w:t>
      </w:r>
    </w:p>
    <w:p w14:paraId="25399521">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项目档案管理</w:t>
      </w:r>
    </w:p>
    <w:p w14:paraId="6D293370">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bidi="ar"/>
        </w:rPr>
        <w:t>售后服务部门采取以项目为基本单位的管理方式，对每一个独立的项目进行详细的档案建立工作。这些档案内容全面，不仅包括了项目的名称、业主信息、使用方的详细资料，还涵盖了产品本身的详细情况、售后服务的记录、客户回访的记录以及项目的主要经办人员等关键信息。通过这样的方式，售后服务部能够有效地追踪和管理每个项目的进展情况，确保客户能够获得及时和高质量的售后服务。</w:t>
      </w:r>
    </w:p>
    <w:p w14:paraId="52C97D00">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bidi="ar"/>
        </w:rPr>
        <w:t>在故障处理的过程中，务必详细记录所有相关信息，这包括但不限于故障的受理时间、处理完毕的具体时间点、参与处理的技术人员姓名、所采用的处理方法、使用的配件和器材等。为了确保信息的完整性和可追溯性，每次故障处理完毕之后，应当将这些详尽的处理记录资料整理好，并交由售后服务部门的相关负责人进行存档管理，以便于未来查询和分析。</w:t>
      </w:r>
      <w:r>
        <w:rPr>
          <w:rFonts w:hint="eastAsia" w:ascii="宋体" w:hAnsi="宋体" w:eastAsia="宋体" w:cs="宋体"/>
          <w:color w:val="000000"/>
          <w:kern w:val="0"/>
          <w:sz w:val="24"/>
          <w:szCs w:val="24"/>
          <w:lang w:val="en-US" w:eastAsia="zh-CN" w:bidi="ar"/>
        </w:rPr>
        <w:t>。</w:t>
      </w:r>
    </w:p>
    <w:p w14:paraId="07868B3A">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bidi="ar"/>
        </w:rPr>
        <w:t>对于那些规模庞大、设备众多、维护工作难度较高的项目，我们采取了多级建档、重点跟踪以及定期整理等一系列有效措施，以确保我们的售后服务能够全面覆盖，没有任何遗漏之处。</w:t>
      </w:r>
    </w:p>
    <w:p w14:paraId="0429C3F2">
      <w:pPr>
        <w:pStyle w:val="5"/>
        <w:bidi w:val="0"/>
        <w:rPr>
          <w:rFonts w:hint="eastAsia" w:ascii="宋体" w:hAnsi="宋体" w:eastAsia="宋体" w:cs="宋体"/>
          <w:lang w:val="en-US" w:eastAsia="zh-CN"/>
        </w:rPr>
      </w:pPr>
      <w:r>
        <w:rPr>
          <w:rFonts w:hint="eastAsia" w:ascii="宋体" w:hAnsi="宋体" w:eastAsia="宋体" w:cs="宋体"/>
          <w:lang w:val="en-US" w:eastAsia="zh-CN"/>
        </w:rPr>
        <w:t>2.12.2.故障及维保处理措施</w:t>
      </w:r>
    </w:p>
    <w:p w14:paraId="39CB7A1D">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（1）故障处理流程（硬件）</w:t>
      </w:r>
    </w:p>
    <w:p w14:paraId="353CB634">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sz w:val="24"/>
          <w:szCs w:val="24"/>
        </w:rPr>
        <w:drawing>
          <wp:inline distT="0" distB="0" distL="114300" distR="114300">
            <wp:extent cx="4381500" cy="4415155"/>
            <wp:effectExtent l="0" t="0" r="762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4381500" cy="4415155"/>
                    </a:xfrm>
                    <a:prstGeom prst="rect">
                      <a:avLst/>
                    </a:prstGeom>
                    <a:noFill/>
                    <a:ln>
                      <a:noFill/>
                    </a:ln>
                  </pic:spPr>
                </pic:pic>
              </a:graphicData>
            </a:graphic>
          </wp:inline>
        </w:drawing>
      </w:r>
    </w:p>
    <w:p w14:paraId="24DE7B41">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b/>
          <w:bCs/>
          <w:color w:val="000000"/>
          <w:kern w:val="0"/>
          <w:sz w:val="24"/>
          <w:szCs w:val="24"/>
          <w:lang w:val="en-US" w:eastAsia="zh-CN" w:bidi="ar"/>
        </w:rPr>
        <w:t>（2）处理流程（软件）</w:t>
      </w:r>
    </w:p>
    <w:p w14:paraId="6B857A8A">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b/>
          <w:bCs/>
          <w:color w:val="000000"/>
          <w:kern w:val="0"/>
          <w:sz w:val="24"/>
          <w:szCs w:val="24"/>
          <w:lang w:val="en-US" w:eastAsia="zh-CN" w:bidi="ar"/>
        </w:rPr>
      </w:pPr>
      <w:r>
        <w:rPr>
          <w:rFonts w:hint="eastAsia" w:ascii="宋体" w:hAnsi="宋体" w:eastAsia="宋体" w:cs="宋体"/>
          <w:sz w:val="24"/>
          <w:szCs w:val="24"/>
        </w:rPr>
        <w:drawing>
          <wp:inline distT="0" distB="0" distL="114300" distR="114300">
            <wp:extent cx="4381500" cy="3514725"/>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4381500" cy="3514725"/>
                    </a:xfrm>
                    <a:prstGeom prst="rect">
                      <a:avLst/>
                    </a:prstGeom>
                    <a:noFill/>
                    <a:ln>
                      <a:noFill/>
                    </a:ln>
                  </pic:spPr>
                </pic:pic>
              </a:graphicData>
            </a:graphic>
          </wp:inline>
        </w:drawing>
      </w:r>
    </w:p>
    <w:p w14:paraId="53612F97">
      <w:pPr>
        <w:pStyle w:val="5"/>
        <w:bidi w:val="0"/>
        <w:rPr>
          <w:rFonts w:hint="eastAsia"/>
          <w:lang w:val="en-US" w:eastAsia="zh-CN"/>
        </w:rPr>
      </w:pPr>
      <w:r>
        <w:rPr>
          <w:rFonts w:hint="eastAsia"/>
          <w:lang w:val="en-US" w:eastAsia="zh-CN"/>
        </w:rPr>
        <w:t>2.12.3.修复及维保措施</w:t>
      </w:r>
    </w:p>
    <w:p w14:paraId="0E94BE41">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bidi="ar"/>
        </w:rPr>
        <w:t>我们致力于为各类业务系统、操作系统以及防病毒软件、数据库和其他软硬件设备提供全面的技术支持和优质的售后服务。无论是安装、配置、故障排查还是性能优化，我们的专业团队都将确保您的系统运行稳定，满足业务需求。</w:t>
      </w:r>
    </w:p>
    <w:p w14:paraId="045A4BAC">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3.1.业务系统</w:t>
      </w:r>
    </w:p>
    <w:p w14:paraId="79D3D225">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bidi="ar"/>
        </w:rPr>
        <w:t>业务系统的运维服务，它涉及一系列的主动管理措施，旨在通过预防和及时的干预，确保系统中的应用能够稳定运行，避免因故障或问题而中断服务。这种服务的核心目的是保障业务连续性，确保系统能够持续提供完成管理职能所需的操作，从而支持组织的日常运营和长期战略目标。</w:t>
      </w:r>
    </w:p>
    <w:p w14:paraId="741A9200">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业务系统的安装过程以及后续的升级工作，确保系统能够满足业务发展的需求。</w:t>
      </w:r>
    </w:p>
    <w:p w14:paraId="5AFC9E39">
      <w:pPr>
        <w:keepNext w:val="0"/>
        <w:keepLines w:val="0"/>
        <w:pageBreakBefore w:val="0"/>
        <w:widowControl w:val="0"/>
        <w:kinsoku/>
        <w:wordWrap/>
        <w:overflowPunct/>
        <w:topLinePunct w:val="0"/>
        <w:autoSpaceDE/>
        <w:autoSpaceDN/>
        <w:bidi w:val="0"/>
        <w:adjustRightInd w:val="0"/>
        <w:spacing w:line="360" w:lineRule="auto"/>
        <w:ind w:firstLine="480" w:firstLineChars="200"/>
        <w:jc w:val="left"/>
        <w:textAlignment w:val="auto"/>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负责业务系统的迁移工作，包括数据的迁移和系统的初始化设置，以适应新的运行环境。</w:t>
      </w:r>
    </w:p>
    <w:p w14:paraId="5766823E">
      <w:pPr>
        <w:keepNext w:val="0"/>
        <w:keepLines w:val="0"/>
        <w:pageBreakBefore w:val="0"/>
        <w:widowControl w:val="0"/>
        <w:kinsoku/>
        <w:wordWrap/>
        <w:overflowPunct/>
        <w:topLinePunct w:val="0"/>
        <w:autoSpaceDE/>
        <w:autoSpaceDN/>
        <w:bidi w:val="0"/>
        <w:adjustRightInd w:val="0"/>
        <w:spacing w:line="360" w:lineRule="auto"/>
        <w:ind w:firstLine="480" w:firstLineChars="200"/>
        <w:jc w:val="left"/>
        <w:textAlignment w:val="auto"/>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执行业务数据的定期备份，以及在数据丢失或损坏时进行数据恢复，保障数据的安全性和完整性。</w:t>
      </w:r>
    </w:p>
    <w:p w14:paraId="3BE33F7C">
      <w:pPr>
        <w:keepNext w:val="0"/>
        <w:keepLines w:val="0"/>
        <w:pageBreakBefore w:val="0"/>
        <w:widowControl w:val="0"/>
        <w:kinsoku/>
        <w:wordWrap/>
        <w:overflowPunct/>
        <w:topLinePunct w:val="0"/>
        <w:autoSpaceDE/>
        <w:autoSpaceDN/>
        <w:bidi w:val="0"/>
        <w:adjustRightInd w:val="0"/>
        <w:spacing w:line="360" w:lineRule="auto"/>
        <w:ind w:firstLine="480" w:firstLineChars="200"/>
        <w:jc w:val="left"/>
        <w:textAlignment w:val="auto"/>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对业务系统进行必要的升级，以引入新的功能或改进现有功能，提升系统的性能和用户体验。</w:t>
      </w:r>
    </w:p>
    <w:p w14:paraId="226CE2D4">
      <w:pPr>
        <w:keepNext w:val="0"/>
        <w:keepLines w:val="0"/>
        <w:pageBreakBefore w:val="0"/>
        <w:widowControl w:val="0"/>
        <w:kinsoku/>
        <w:wordWrap/>
        <w:overflowPunct/>
        <w:topLinePunct w:val="0"/>
        <w:autoSpaceDE/>
        <w:autoSpaceDN/>
        <w:bidi w:val="0"/>
        <w:adjustRightInd w:val="0"/>
        <w:spacing w:line="360" w:lineRule="auto"/>
        <w:ind w:firstLine="480" w:firstLineChars="200"/>
        <w:jc w:val="left"/>
        <w:textAlignment w:val="auto"/>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根据业务需求的变化，对系统的局部或全部功能进行调整，以适应新的业务流程和规则。</w:t>
      </w:r>
    </w:p>
    <w:p w14:paraId="7E2558E0">
      <w:pPr>
        <w:keepNext w:val="0"/>
        <w:keepLines w:val="0"/>
        <w:pageBreakBefore w:val="0"/>
        <w:widowControl w:val="0"/>
        <w:kinsoku/>
        <w:wordWrap/>
        <w:overflowPunct/>
        <w:topLinePunct w:val="0"/>
        <w:autoSpaceDE/>
        <w:autoSpaceDN/>
        <w:bidi w:val="0"/>
        <w:adjustRightInd w:val="0"/>
        <w:spacing w:line="360" w:lineRule="auto"/>
        <w:ind w:firstLine="480" w:firstLineChars="200"/>
        <w:jc w:val="left"/>
        <w:textAlignment w:val="auto"/>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对系统进行故障判断，通过调试找出问题所在，并采取相应措施进行修复，确保系统的稳定运行。</w:t>
      </w:r>
    </w:p>
    <w:p w14:paraId="4BC935F6">
      <w:pPr>
        <w:keepNext w:val="0"/>
        <w:keepLines w:val="0"/>
        <w:pageBreakBefore w:val="0"/>
        <w:widowControl w:val="0"/>
        <w:kinsoku/>
        <w:wordWrap/>
        <w:overflowPunct/>
        <w:topLinePunct w:val="0"/>
        <w:autoSpaceDE/>
        <w:autoSpaceDN/>
        <w:bidi w:val="0"/>
        <w:adjustRightInd w:val="0"/>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bidi="ar"/>
        </w:rPr>
        <w:t>处理其他未在约定事宜中明确列出的临时性或特殊性任务。</w:t>
      </w:r>
    </w:p>
    <w:p w14:paraId="12F7F312">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3.2.操作系统和防病毒</w:t>
      </w:r>
    </w:p>
    <w:p w14:paraId="3ACC993C">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bidi="ar"/>
        </w:rPr>
        <w:t>在进行操作系统和防病毒软件的运行维护工作时，我们主要关注的是通过一系列的性能调优措施以及定期打补丁的实践，来显著提升业务系统的运行环境安全性。这不仅包括了对系统性能的持续监控和优化，确保系统资源得到合理分配和使用，还包括了对潜在安全漏洞的及时修复，以防止恶意软件和网络攻击对系统造成损害。通过这些综合性的维护措施，可以确保业务系统在高效稳定运行的同时，也具备了抵御外部威胁的能力，从而为整个组织的信息安全提供了坚实的保障。</w:t>
      </w:r>
    </w:p>
    <w:p w14:paraId="09C848AD">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对操作系统和防病毒软件进行细致的调优工作，确保系统运行效率和安全性得到最大化的提升。</w:t>
      </w:r>
    </w:p>
    <w:p w14:paraId="142F8DDD">
      <w:pPr>
        <w:keepNext w:val="0"/>
        <w:keepLines w:val="0"/>
        <w:pageBreakBefore w:val="0"/>
        <w:widowControl w:val="0"/>
        <w:kinsoku/>
        <w:wordWrap/>
        <w:overflowPunct/>
        <w:topLinePunct w:val="0"/>
        <w:autoSpaceDE/>
        <w:autoSpaceDN/>
        <w:bidi w:val="0"/>
        <w:adjustRightInd w:val="0"/>
        <w:spacing w:line="360" w:lineRule="auto"/>
        <w:ind w:firstLine="480" w:firstLineChars="200"/>
        <w:jc w:val="left"/>
        <w:textAlignment w:val="auto"/>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定期进行操作系统和防病毒软件的补丁更新，以修补已知的安全漏洞，保障系统和数据的安全。</w:t>
      </w:r>
    </w:p>
    <w:p w14:paraId="1EBAA500">
      <w:pPr>
        <w:keepNext w:val="0"/>
        <w:keepLines w:val="0"/>
        <w:pageBreakBefore w:val="0"/>
        <w:widowControl w:val="0"/>
        <w:kinsoku/>
        <w:wordWrap/>
        <w:overflowPunct/>
        <w:topLinePunct w:val="0"/>
        <w:autoSpaceDE/>
        <w:autoSpaceDN/>
        <w:bidi w:val="0"/>
        <w:adjustRightInd w:val="0"/>
        <w:spacing w:line="360" w:lineRule="auto"/>
        <w:ind w:firstLine="480" w:firstLineChars="200"/>
        <w:jc w:val="left"/>
        <w:textAlignment w:val="auto"/>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负责操作系统的安装、备份、升级以及恢复工作，确保在遇到系统故障时能够迅速恢复正常运行。</w:t>
      </w:r>
    </w:p>
    <w:p w14:paraId="699212FC">
      <w:pPr>
        <w:keepNext w:val="0"/>
        <w:keepLines w:val="0"/>
        <w:pageBreakBefore w:val="0"/>
        <w:widowControl w:val="0"/>
        <w:kinsoku/>
        <w:wordWrap/>
        <w:overflowPunct/>
        <w:topLinePunct w:val="0"/>
        <w:autoSpaceDE/>
        <w:autoSpaceDN/>
        <w:bidi w:val="0"/>
        <w:adjustRightInd w:val="0"/>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bidi="ar"/>
        </w:rPr>
        <w:t>处理其他未在约定事宜中明确列出的相关技术问题和任务。</w:t>
      </w:r>
    </w:p>
    <w:p w14:paraId="5C74A7EB">
      <w:pPr>
        <w:pStyle w:val="5"/>
        <w:bidi w:val="0"/>
        <w:rPr>
          <w:rFonts w:hint="eastAsia"/>
          <w:lang w:val="en-US" w:eastAsia="zh-CN"/>
        </w:rPr>
      </w:pPr>
      <w:r>
        <w:rPr>
          <w:rFonts w:hint="eastAsia"/>
          <w:lang w:val="en-US" w:eastAsia="zh-CN"/>
        </w:rPr>
        <w:t>2.12.4.售后服务管理及质量监控等</w:t>
      </w:r>
    </w:p>
    <w:p w14:paraId="53AD91E7">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4.1.售后服务管理</w:t>
      </w:r>
    </w:p>
    <w:p w14:paraId="7E8F1657">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4.1.1.遵守承诺</w:t>
      </w:r>
    </w:p>
    <w:p w14:paraId="3092AB01">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（1）对客户提出的报修案件要快速响应，并且每件事情要有确切的答复，不能含糊其辞、敷衍了事。</w:t>
      </w:r>
    </w:p>
    <w:p w14:paraId="10BD6853">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（2）对承诺客户的上门维护时间、地点、工作内容以及其他长诺的事情需要严格执行，不能言而不信。</w:t>
      </w:r>
    </w:p>
    <w:p w14:paraId="64BCFB2D">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（3）若因故变更，不能完成答应客户的事情时要尽快通知客户，向客户说明情况。</w:t>
      </w:r>
    </w:p>
    <w:p w14:paraId="2B7F642D">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（4）对把握不准的问题，需要自行调查清楚后再去答复客户，不可随意承诺。</w:t>
      </w:r>
    </w:p>
    <w:p w14:paraId="3E9D3FD6">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4.1.2.尽职敬业</w:t>
      </w:r>
    </w:p>
    <w:p w14:paraId="6D7579DC">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（1）熟练掌握专业技术，高质量地完成维护工作。</w:t>
      </w:r>
    </w:p>
    <w:p w14:paraId="6AD65768">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（2）能设身处地为客户着想，尽力为客户提供方便。</w:t>
      </w:r>
    </w:p>
    <w:p w14:paraId="18427DD9">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（3）合理安排交通，减少开支，提高效率。</w:t>
      </w:r>
    </w:p>
    <w:p w14:paraId="14504EAF">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4.1.3.统一调度</w:t>
      </w:r>
    </w:p>
    <w:p w14:paraId="7E945B62">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（1）各项目维护组的主管调度组内人员。</w:t>
      </w:r>
    </w:p>
    <w:p w14:paraId="2F2568A0">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（2）部门领导可协调跨组安排人员。</w:t>
      </w:r>
    </w:p>
    <w:p w14:paraId="12705ED6">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（3）维护人员服从调度听指挥。</w:t>
      </w:r>
    </w:p>
    <w:p w14:paraId="19E94633">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4.1.4.准备充分</w:t>
      </w:r>
    </w:p>
    <w:p w14:paraId="4380F6D2">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（1）上门服务前，与客户约定好上门时间。</w:t>
      </w:r>
    </w:p>
    <w:p w14:paraId="1D947E0D">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（2）遇到特殊情况失约时，应提前向客户说明原因并道歉。</w:t>
      </w:r>
    </w:p>
    <w:p w14:paraId="7609AE23">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（3）外出之前，对案件情况进行研讨。</w:t>
      </w:r>
    </w:p>
    <w:p w14:paraId="01DC7824">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（4）根据故障情况，有针对性地备齐工具、软件等。</w:t>
      </w:r>
    </w:p>
    <w:p w14:paraId="1DB131F1">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（5）身边备齐常用的软件，以应对突发情况。</w:t>
      </w:r>
    </w:p>
    <w:p w14:paraId="39E03C4C">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（6）在部门的模拟环境上操练，为解决问题积累经验。</w:t>
      </w:r>
    </w:p>
    <w:p w14:paraId="00C558D9">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4.1.5.正式着装</w:t>
      </w:r>
    </w:p>
    <w:p w14:paraId="2D61049F">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（1）如衬衫、长裤，佩戴胸卡等。</w:t>
      </w:r>
    </w:p>
    <w:p w14:paraId="33F607BE">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4.1.6.谨慎用语</w:t>
      </w:r>
    </w:p>
    <w:p w14:paraId="741EB426">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（1）初次见面时，主动自我介绍。</w:t>
      </w:r>
    </w:p>
    <w:p w14:paraId="513E313A">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（2）避免使用造成误解的语言。</w:t>
      </w:r>
    </w:p>
    <w:p w14:paraId="0D57610B">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（3）当客户有不满时，虚心听取客户意见，不允许与客户发生正面冲突。</w:t>
      </w:r>
    </w:p>
    <w:p w14:paraId="64EF9C1B">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（4）根据客户现场的管理规则行事。</w:t>
      </w:r>
    </w:p>
    <w:p w14:paraId="1D97AFBA">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（5）使用客户的电话，应向客户打招呼。</w:t>
      </w:r>
    </w:p>
    <w:p w14:paraId="500C4B19">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4.1.7.尊重客户</w:t>
      </w:r>
    </w:p>
    <w:p w14:paraId="590CE14C">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（1）耐心听取客户反映问题，对故障现象进行检查。</w:t>
      </w:r>
    </w:p>
    <w:p w14:paraId="68CCD5C6">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（2）对需要采取的措施，要向客户解释其后果。</w:t>
      </w:r>
    </w:p>
    <w:p w14:paraId="54405F02">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（3）如客户有不同的意见，应该认真听取，研究决定，不要孤注而行。</w:t>
      </w:r>
    </w:p>
    <w:p w14:paraId="4A4F79FD">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（4）对发生的分歧意见，在暂时无法说服时，可通过部门、公司以及客户的上级方协调解决。</w:t>
      </w:r>
    </w:p>
    <w:p w14:paraId="7B79F7EC">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（5）故障解决后，要给客户提出防止再次发生故障的建议。</w:t>
      </w:r>
    </w:p>
    <w:p w14:paraId="001395B6">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（6）一时无法查明原因或无法排除故障，应向客户说明情况并道歉，同时立即与有关各方联系，寻求技术支持。</w:t>
      </w:r>
    </w:p>
    <w:p w14:paraId="4F156D0D">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（7）必须当客户面复验机器，以确认原故障排除并能正常使用。</w:t>
      </w:r>
    </w:p>
    <w:p w14:paraId="6C963F72">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4.1.8.总结交流</w:t>
      </w:r>
    </w:p>
    <w:p w14:paraId="4337F177">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（1）对故障的排除办法进行总结。</w:t>
      </w:r>
    </w:p>
    <w:p w14:paraId="3D8161B3">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（2）广泛查阅报告，交流技术经验。</w:t>
      </w:r>
    </w:p>
    <w:p w14:paraId="1DEC8405">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4.1.9.规范行事</w:t>
      </w:r>
    </w:p>
    <w:p w14:paraId="1946A53E">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（1）按要求填写《维护记录表》，请客户填写相应内容及签字。</w:t>
      </w:r>
    </w:p>
    <w:p w14:paraId="3A75F10F">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（2）严禁接受客户馈赠。</w:t>
      </w:r>
    </w:p>
    <w:p w14:paraId="7ACEB0AE">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4.1.10.计算机操作制度</w:t>
      </w:r>
    </w:p>
    <w:p w14:paraId="44613354">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（1）专机专用，允许授权用户登入系统，严禁无关人员上机。</w:t>
      </w:r>
    </w:p>
    <w:p w14:paraId="11BEBB7C">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（2）值班时要思想集中，操作正确，确保安全。</w:t>
      </w:r>
    </w:p>
    <w:p w14:paraId="5DF9F3DC">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（3）严格按规定程序开启和关闭的电脑系统，严禁非法关机。</w:t>
      </w:r>
    </w:p>
    <w:p w14:paraId="14C4F182">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（4）不得使用他人口令，在权限内进行任务操作，严禁泄漏密码。</w:t>
      </w:r>
    </w:p>
    <w:p w14:paraId="1595E67C">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（5）严禁使用来历不明的光盘或软盘，以防计算机病毒的传染。</w:t>
      </w:r>
    </w:p>
    <w:p w14:paraId="54DD6DA1">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（6）外借的软件返还时，应进行病毒检查。</w:t>
      </w:r>
    </w:p>
    <w:p w14:paraId="32381DB8">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（7）凡需带入使用的软件，均须首先查杀病毒。</w:t>
      </w:r>
    </w:p>
    <w:p w14:paraId="0E38FFF5">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（8）运行相关应用软件，严禁私自更改系统配置和安装或卸载软件。</w:t>
      </w:r>
    </w:p>
    <w:p w14:paraId="7BD0CAE9">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（9）不得随意增删机内文件及有关数据。</w:t>
      </w:r>
    </w:p>
    <w:p w14:paraId="04DDC755">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（10）机房严禁乱接电源，以防造成短路或失火。</w:t>
      </w:r>
    </w:p>
    <w:p w14:paraId="2826DED9">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（11）对特定终端设备，应限定操作人员，并采用口令、身份识别等措施。</w:t>
      </w:r>
    </w:p>
    <w:p w14:paraId="02E46930">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（12）大型计算机系统的操作应由多名专职操作人员执行。</w:t>
      </w:r>
    </w:p>
    <w:p w14:paraId="7D459458">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（13）值班人员对保密信息严加看管，不得遗失或私自传播。</w:t>
      </w:r>
    </w:p>
    <w:p w14:paraId="695570CB">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（14）禁止使用、传播、编制、复制电脑游戏，严禁上班时间打游戏。</w:t>
      </w:r>
    </w:p>
    <w:p w14:paraId="2CC400AA">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（15）禁止执行不知来源的程序。</w:t>
      </w:r>
    </w:p>
    <w:p w14:paraId="62116C4A">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（16）保持监控中心主机、配套设备及周围环境的整齐和清洁。</w:t>
      </w:r>
    </w:p>
    <w:p w14:paraId="1A4F113B">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4.1.11.运行监控制度</w:t>
      </w:r>
    </w:p>
    <w:p w14:paraId="3D40693E">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（1）建立系统运行记录，掌握每日运行情况。</w:t>
      </w:r>
    </w:p>
    <w:p w14:paraId="6D097C59">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（2）及时、准确、完整地填写各种规定的记录。</w:t>
      </w:r>
    </w:p>
    <w:p w14:paraId="43111E05">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（3）随时注意观察设备的运行情况，并且注意机房供电的状况。</w:t>
      </w:r>
    </w:p>
    <w:p w14:paraId="1D9F2911">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（4）系统各设备应定期检查维护。</w:t>
      </w:r>
    </w:p>
    <w:p w14:paraId="446F3A72">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（5）准确迅速地处理各类故障，不得以任何理由和借口推诿、拖延处理故障时间。</w:t>
      </w:r>
    </w:p>
    <w:p w14:paraId="7D8C5A43">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（6）严禁任意关闭告警信号。</w:t>
      </w:r>
    </w:p>
    <w:p w14:paraId="50AF724C">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（7）及时更新病毒码。</w:t>
      </w:r>
    </w:p>
    <w:p w14:paraId="2F96ABBB">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4.2.服务质量的监控</w:t>
      </w:r>
    </w:p>
    <w:p w14:paraId="77370574">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为了提供满意、周到的服务，欢迎对项目建设质量及售后服务进行监督、批评，我们将及时向意见的反映者回复，迅速改变不足之处和弥补由此而带来的损失。对提供的技术支持与售后服务，执行严格的监督管理机制，用户可以依照监督的管理层级，向被监督对象的上级管理者直接反映。</w:t>
      </w:r>
    </w:p>
    <w:p w14:paraId="30566664">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4.2.1.对实施质量的监控</w:t>
      </w:r>
    </w:p>
    <w:p w14:paraId="52AE84A7">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用户对设计和开发的业务系统，对功能、承载等不满意的，可以向项目组的上级管理部门或分管领导反映，由其进行情况核实和后续工作安排。</w:t>
      </w:r>
    </w:p>
    <w:p w14:paraId="6C431C2A">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2.2.</w:t>
      </w:r>
      <w:r>
        <w:rPr>
          <w:rFonts w:hint="eastAsia" w:ascii="宋体" w:hAnsi="宋体" w:eastAsia="宋体" w:cs="宋体"/>
          <w:b/>
          <w:bCs/>
          <w:color w:val="000000"/>
          <w:kern w:val="0"/>
          <w:sz w:val="24"/>
          <w:szCs w:val="24"/>
          <w:lang w:val="en-US" w:eastAsia="zh-CN" w:bidi="ar"/>
        </w:rPr>
        <w:t>4.2.2.对项目经理的职能监控</w:t>
      </w:r>
    </w:p>
    <w:p w14:paraId="0D8AC395">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用户对项目经理本人不满的，可以直接向其上级管理部门或分管领导反映，由其进行情况核实和后续工作安排。</w:t>
      </w:r>
    </w:p>
    <w:p w14:paraId="56613A04">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2" w:firstLineChars="200"/>
        <w:jc w:val="left"/>
        <w:textAlignment w:val="auto"/>
        <w:rPr>
          <w:rFonts w:hint="eastAsia" w:ascii="宋体" w:hAnsi="宋体" w:eastAsia="宋体" w:cs="宋体"/>
          <w:sz w:val="24"/>
          <w:szCs w:val="24"/>
        </w:rPr>
      </w:pPr>
      <w:r>
        <w:rPr>
          <w:rFonts w:hint="eastAsia" w:ascii="宋体" w:hAnsi="宋体" w:eastAsia="宋体" w:cs="宋体"/>
          <w:b/>
          <w:bCs/>
          <w:color w:val="000000"/>
          <w:kern w:val="0"/>
          <w:sz w:val="24"/>
          <w:szCs w:val="24"/>
          <w:lang w:val="en-US" w:eastAsia="zh-CN" w:bidi="ar"/>
        </w:rPr>
        <w:t>2.12.</w:t>
      </w:r>
      <w:r>
        <w:rPr>
          <w:rFonts w:hint="eastAsia" w:ascii="宋体" w:hAnsi="宋体" w:eastAsia="宋体" w:cs="宋体"/>
          <w:b/>
          <w:bCs/>
          <w:color w:val="000000"/>
          <w:kern w:val="0"/>
          <w:sz w:val="24"/>
          <w:szCs w:val="24"/>
          <w:lang w:val="en-US" w:eastAsia="zh-CN" w:bidi="ar"/>
        </w:rPr>
        <w:t>4.2.3.对项目成员的监控</w:t>
      </w:r>
    </w:p>
    <w:p w14:paraId="6DF94855">
      <w:pPr>
        <w:keepNext w:val="0"/>
        <w:keepLines w:val="0"/>
        <w:pageBreakBefore w:val="0"/>
        <w:widowControl w:val="0"/>
        <w:suppressLineNumbers w:val="0"/>
        <w:kinsoku/>
        <w:wordWrap/>
        <w:overflowPunct/>
        <w:topLinePunct w:val="0"/>
        <w:autoSpaceDE/>
        <w:autoSpaceDN/>
        <w:bidi w:val="0"/>
        <w:adjustRightInd w:val="0"/>
        <w:snapToGrid w:val="0"/>
        <w:spacing w:line="360" w:lineRule="auto"/>
        <w:ind w:firstLine="480" w:firstLineChars="200"/>
        <w:jc w:val="left"/>
        <w:textAlignment w:val="auto"/>
        <w:rPr>
          <w:rFonts w:hint="eastAsia" w:ascii="宋体" w:hAnsi="宋体" w:eastAsia="宋体" w:cs="宋体"/>
          <w:lang w:val="en-US" w:eastAsia="zh-CN"/>
        </w:rPr>
      </w:pPr>
      <w:r>
        <w:rPr>
          <w:rFonts w:hint="eastAsia" w:ascii="宋体" w:hAnsi="宋体" w:eastAsia="宋体" w:cs="宋体"/>
          <w:color w:val="000000"/>
          <w:kern w:val="0"/>
          <w:sz w:val="24"/>
          <w:szCs w:val="24"/>
          <w:lang w:val="en-US" w:eastAsia="zh-CN" w:bidi="ar"/>
        </w:rPr>
        <w:t>如果对项目组成员不满意的，可以直接向项目经理反映，由项目经理对服务的过程进行追踪和回溯，绝不因为私人情面而对服务工程师进行姑息。</w:t>
      </w:r>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1906" w:h="16838"/>
      <w:pgMar w:top="1587" w:right="1474" w:bottom="147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auto"/>
    <w:pitch w:val="default"/>
    <w:sig w:usb0="E0002A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panose1 w:val="02010609030101010101"/>
    <w:charset w:val="86"/>
    <w:family w:val="auto"/>
    <w:pitch w:val="default"/>
    <w:sig w:usb0="00000001" w:usb1="080E0000" w:usb2="00000000" w:usb3="00000000" w:csb0="0004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15C39">
    <w:pPr>
      <w:pStyle w:val="24"/>
      <w:jc w:val="center"/>
    </w:pPr>
    <w:r>
      <w:rPr>
        <w:rFonts w:ascii="Times New Roman" w:hAnsi="Times New Roman" w:eastAsia="仿宋_GB2312"/>
        <w:b w:val="0"/>
        <w:sz w:val="18"/>
      </w:rPr>
      <w:fldChar w:fldCharType="begin"/>
    </w:r>
    <w:r>
      <w:rPr>
        <w:rFonts w:ascii="Times New Roman" w:hAnsi="Times New Roman" w:eastAsia="仿宋_GB2312"/>
        <w:b w:val="0"/>
        <w:sz w:val="18"/>
      </w:rPr>
      <w:instrText xml:space="preserve">PAGE</w:instrText>
    </w:r>
    <w:r>
      <w:rPr>
        <w:rFonts w:ascii="Times New Roman" w:hAnsi="Times New Roman" w:eastAsia="仿宋_GB2312"/>
        <w:b w:val="0"/>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5B9D"/>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8B70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08D5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23F4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AE65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FD6D41"/>
    <w:multiLevelType w:val="singleLevel"/>
    <w:tmpl w:val="C4FD6D41"/>
    <w:lvl w:ilvl="0" w:tentative="0">
      <w:start w:val="2"/>
      <w:numFmt w:val="decimal"/>
      <w:suff w:val="nothing"/>
      <w:lvlText w:val="（%1）"/>
      <w:lvlJc w:val="left"/>
    </w:lvl>
  </w:abstractNum>
  <w:abstractNum w:abstractNumId="1">
    <w:nsid w:val="C54D52FE"/>
    <w:multiLevelType w:val="singleLevel"/>
    <w:tmpl w:val="C54D52FE"/>
    <w:lvl w:ilvl="0" w:tentative="0">
      <w:start w:val="1"/>
      <w:numFmt w:val="bullet"/>
      <w:lvlText w:val=""/>
      <w:lvlJc w:val="left"/>
      <w:pPr>
        <w:tabs>
          <w:tab w:val="left" w:pos="420"/>
        </w:tabs>
        <w:ind w:left="840" w:hanging="420"/>
      </w:pPr>
      <w:rPr>
        <w:rFonts w:hint="default" w:ascii="Wingdings" w:hAnsi="Wingdings"/>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3AB9E16E"/>
    <w:multiLevelType w:val="singleLevel"/>
    <w:tmpl w:val="3AB9E16E"/>
    <w:lvl w:ilvl="0" w:tentative="0">
      <w:start w:val="1"/>
      <w:numFmt w:val="bullet"/>
      <w:lvlText w:val=""/>
      <w:lvlJc w:val="left"/>
      <w:pPr>
        <w:tabs>
          <w:tab w:val="left" w:pos="420"/>
        </w:tabs>
        <w:ind w:left="840" w:hanging="420"/>
      </w:pPr>
      <w:rPr>
        <w:rFonts w:hint="default" w:ascii="Wingdings" w:hAnsi="Wingdings"/>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35CA"/>
    <w:rsid w:val="0029639D"/>
    <w:rsid w:val="00326F90"/>
    <w:rsid w:val="00AA1D8D"/>
    <w:rsid w:val="00B47730"/>
    <w:rsid w:val="00CB0664"/>
    <w:rsid w:val="00FC693F"/>
    <w:rsid w:val="00FE7B94"/>
    <w:rsid w:val="018C33F1"/>
    <w:rsid w:val="0361440A"/>
    <w:rsid w:val="039E565E"/>
    <w:rsid w:val="03AD764F"/>
    <w:rsid w:val="04D37589"/>
    <w:rsid w:val="05257DE5"/>
    <w:rsid w:val="072440CC"/>
    <w:rsid w:val="07462294"/>
    <w:rsid w:val="08AA1390"/>
    <w:rsid w:val="0BE25C20"/>
    <w:rsid w:val="0BEF6A57"/>
    <w:rsid w:val="0C2A5CE1"/>
    <w:rsid w:val="0C2A7A8F"/>
    <w:rsid w:val="0C686072"/>
    <w:rsid w:val="0C871385"/>
    <w:rsid w:val="0CA21D1B"/>
    <w:rsid w:val="0D0F4ED6"/>
    <w:rsid w:val="0D162709"/>
    <w:rsid w:val="0DA375B0"/>
    <w:rsid w:val="0E651252"/>
    <w:rsid w:val="0F7E33C3"/>
    <w:rsid w:val="10611EED"/>
    <w:rsid w:val="11625F1D"/>
    <w:rsid w:val="11BC6404"/>
    <w:rsid w:val="13973E82"/>
    <w:rsid w:val="14B7657F"/>
    <w:rsid w:val="15F70344"/>
    <w:rsid w:val="16146821"/>
    <w:rsid w:val="167D1103"/>
    <w:rsid w:val="1686445B"/>
    <w:rsid w:val="169F72CB"/>
    <w:rsid w:val="17DA4A5F"/>
    <w:rsid w:val="184D598D"/>
    <w:rsid w:val="18A64941"/>
    <w:rsid w:val="18F33745"/>
    <w:rsid w:val="192439E8"/>
    <w:rsid w:val="195720DF"/>
    <w:rsid w:val="1ADE4866"/>
    <w:rsid w:val="1B722614"/>
    <w:rsid w:val="1BBE4697"/>
    <w:rsid w:val="1C281B11"/>
    <w:rsid w:val="1D6572FE"/>
    <w:rsid w:val="1E933496"/>
    <w:rsid w:val="1E967206"/>
    <w:rsid w:val="1F8A7B3D"/>
    <w:rsid w:val="1FCE68BD"/>
    <w:rsid w:val="20250841"/>
    <w:rsid w:val="219F63D1"/>
    <w:rsid w:val="231F3C6E"/>
    <w:rsid w:val="240B1FE9"/>
    <w:rsid w:val="249B37C8"/>
    <w:rsid w:val="25837E9C"/>
    <w:rsid w:val="25AE3087"/>
    <w:rsid w:val="27054F28"/>
    <w:rsid w:val="270E6BE2"/>
    <w:rsid w:val="276A5A12"/>
    <w:rsid w:val="28B36DC2"/>
    <w:rsid w:val="29FD282F"/>
    <w:rsid w:val="2B3B716B"/>
    <w:rsid w:val="2CD23AFF"/>
    <w:rsid w:val="2D0A14C6"/>
    <w:rsid w:val="2D915768"/>
    <w:rsid w:val="2DED5686"/>
    <w:rsid w:val="2EB86D24"/>
    <w:rsid w:val="2EFF2A16"/>
    <w:rsid w:val="301B3A0F"/>
    <w:rsid w:val="310F3573"/>
    <w:rsid w:val="312B1A2F"/>
    <w:rsid w:val="321B7CF6"/>
    <w:rsid w:val="32943604"/>
    <w:rsid w:val="353A1C80"/>
    <w:rsid w:val="35A65B28"/>
    <w:rsid w:val="36427103"/>
    <w:rsid w:val="375A12C0"/>
    <w:rsid w:val="3810197F"/>
    <w:rsid w:val="38683569"/>
    <w:rsid w:val="38B11ED3"/>
    <w:rsid w:val="3AC316DC"/>
    <w:rsid w:val="3B4A33FA"/>
    <w:rsid w:val="3CB13731"/>
    <w:rsid w:val="3D3E1F4C"/>
    <w:rsid w:val="3EAF3CA0"/>
    <w:rsid w:val="3EDA0AA2"/>
    <w:rsid w:val="3F035D9A"/>
    <w:rsid w:val="3F121A47"/>
    <w:rsid w:val="40C33A32"/>
    <w:rsid w:val="41780CC1"/>
    <w:rsid w:val="420E242B"/>
    <w:rsid w:val="42100EF9"/>
    <w:rsid w:val="43454BD3"/>
    <w:rsid w:val="43DD305D"/>
    <w:rsid w:val="44295E15"/>
    <w:rsid w:val="482E032B"/>
    <w:rsid w:val="48A028AB"/>
    <w:rsid w:val="48BA2B9D"/>
    <w:rsid w:val="48FF75D2"/>
    <w:rsid w:val="49BA2BF9"/>
    <w:rsid w:val="4A0D5D1E"/>
    <w:rsid w:val="4A2320D7"/>
    <w:rsid w:val="4A4450A2"/>
    <w:rsid w:val="4B1318D7"/>
    <w:rsid w:val="4B46598C"/>
    <w:rsid w:val="4C8D6FAC"/>
    <w:rsid w:val="4D21045F"/>
    <w:rsid w:val="4E5E123E"/>
    <w:rsid w:val="4EB946C7"/>
    <w:rsid w:val="4FA26F09"/>
    <w:rsid w:val="50854B05"/>
    <w:rsid w:val="50B60EBE"/>
    <w:rsid w:val="50D15CF8"/>
    <w:rsid w:val="50D2381E"/>
    <w:rsid w:val="513D513B"/>
    <w:rsid w:val="52723BA8"/>
    <w:rsid w:val="532C5467"/>
    <w:rsid w:val="543C792C"/>
    <w:rsid w:val="55540CA5"/>
    <w:rsid w:val="58D42829"/>
    <w:rsid w:val="5B5A1190"/>
    <w:rsid w:val="5B841BB9"/>
    <w:rsid w:val="5C0779F3"/>
    <w:rsid w:val="5DCE7E16"/>
    <w:rsid w:val="5FF55532"/>
    <w:rsid w:val="60DF7FBD"/>
    <w:rsid w:val="61630BEE"/>
    <w:rsid w:val="61F77840"/>
    <w:rsid w:val="61F82B6D"/>
    <w:rsid w:val="62410803"/>
    <w:rsid w:val="63377A7A"/>
    <w:rsid w:val="65F433F2"/>
    <w:rsid w:val="676246D1"/>
    <w:rsid w:val="689E250C"/>
    <w:rsid w:val="69A63044"/>
    <w:rsid w:val="6A152CA1"/>
    <w:rsid w:val="6AF92D5E"/>
    <w:rsid w:val="6CA976D1"/>
    <w:rsid w:val="6CCB3AEB"/>
    <w:rsid w:val="6CD209D6"/>
    <w:rsid w:val="6D013069"/>
    <w:rsid w:val="6DEF55B7"/>
    <w:rsid w:val="6FCD1928"/>
    <w:rsid w:val="70B054D2"/>
    <w:rsid w:val="71AF27E9"/>
    <w:rsid w:val="72556331"/>
    <w:rsid w:val="727B566C"/>
    <w:rsid w:val="72CE5543"/>
    <w:rsid w:val="72F53670"/>
    <w:rsid w:val="74017DF2"/>
    <w:rsid w:val="746960C4"/>
    <w:rsid w:val="74A35CD7"/>
    <w:rsid w:val="74A40C7B"/>
    <w:rsid w:val="74C67434"/>
    <w:rsid w:val="76B850E0"/>
    <w:rsid w:val="76EA40E5"/>
    <w:rsid w:val="78B463A8"/>
    <w:rsid w:val="792B67B7"/>
    <w:rsid w:val="79436D97"/>
    <w:rsid w:val="7A073509"/>
    <w:rsid w:val="7A3B7132"/>
    <w:rsid w:val="7A51367E"/>
    <w:rsid w:val="7A8C48BA"/>
    <w:rsid w:val="7B5B0227"/>
    <w:rsid w:val="7C7F0961"/>
    <w:rsid w:val="7CB60F13"/>
    <w:rsid w:val="7D8A1DEA"/>
    <w:rsid w:val="7E9B16A2"/>
    <w:rsid w:val="7F4A4D43"/>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63"/>
    <w:qFormat/>
    <w:uiPriority w:val="9"/>
    <w:pPr>
      <w:keepNext/>
      <w:keepLines/>
      <w:adjustRightInd w:val="0"/>
      <w:snapToGrid w:val="0"/>
      <w:spacing w:after="0" w:line="360" w:lineRule="auto"/>
      <w:outlineLvl w:val="0"/>
    </w:pPr>
    <w:rPr>
      <w:rFonts w:eastAsia="宋体" w:asciiTheme="majorAscii" w:hAnsiTheme="majorAscii" w:cstheme="majorBidi"/>
      <w:b/>
      <w:bCs/>
      <w:color w:val="000000" w:themeColor="text1"/>
      <w:sz w:val="28"/>
      <w:szCs w:val="28"/>
      <w14:textFill>
        <w14:solidFill>
          <w14:schemeClr w14:val="tx1"/>
        </w14:solidFill>
      </w14:textFill>
    </w:rPr>
  </w:style>
  <w:style w:type="paragraph" w:styleId="4">
    <w:name w:val="heading 2"/>
    <w:basedOn w:val="1"/>
    <w:next w:val="1"/>
    <w:link w:val="143"/>
    <w:unhideWhenUsed/>
    <w:qFormat/>
    <w:uiPriority w:val="9"/>
    <w:pPr>
      <w:keepNext/>
      <w:keepLines/>
      <w:adjustRightInd w:val="0"/>
      <w:snapToGrid w:val="0"/>
      <w:spacing w:after="0" w:line="360" w:lineRule="auto"/>
      <w:outlineLvl w:val="1"/>
    </w:pPr>
    <w:rPr>
      <w:rFonts w:ascii="宋体" w:hAnsi="宋体" w:eastAsia="宋体" w:cs="宋体"/>
      <w:b/>
      <w:bCs/>
      <w:color w:val="000000" w:themeColor="text1"/>
      <w:sz w:val="28"/>
      <w:szCs w:val="28"/>
      <w14:textFill>
        <w14:solidFill>
          <w14:schemeClr w14:val="tx1"/>
        </w14:solidFill>
      </w14:textFill>
    </w:rPr>
  </w:style>
  <w:style w:type="paragraph" w:styleId="5">
    <w:name w:val="heading 3"/>
    <w:basedOn w:val="1"/>
    <w:next w:val="1"/>
    <w:link w:val="140"/>
    <w:unhideWhenUsed/>
    <w:qFormat/>
    <w:uiPriority w:val="9"/>
    <w:pPr>
      <w:keepNext/>
      <w:keepLines/>
      <w:adjustRightInd w:val="0"/>
      <w:snapToGrid w:val="0"/>
      <w:spacing w:after="0" w:line="360" w:lineRule="auto"/>
      <w:outlineLvl w:val="2"/>
    </w:pPr>
    <w:rPr>
      <w:rFonts w:ascii="宋体" w:hAnsi="宋体" w:eastAsia="宋体" w:cs="宋体"/>
      <w:b/>
      <w:bCs/>
      <w:color w:val="000000" w:themeColor="text1"/>
      <w:sz w:val="28"/>
      <w14:textFill>
        <w14:solidFill>
          <w14:schemeClr w14:val="tx1"/>
        </w14:solidFill>
      </w14:textFill>
    </w:rPr>
  </w:style>
  <w:style w:type="paragraph" w:styleId="6">
    <w:name w:val="heading 4"/>
    <w:basedOn w:val="1"/>
    <w:next w:val="1"/>
    <w:link w:val="14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4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4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1"/>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4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5"/>
    <w:unhideWhenUsed/>
    <w:qFormat/>
    <w:uiPriority w:val="99"/>
    <w:pPr>
      <w:tabs>
        <w:tab w:val="center" w:pos="4680"/>
        <w:tab w:val="right" w:pos="9360"/>
      </w:tabs>
      <w:spacing w:after="0" w:line="240" w:lineRule="auto"/>
    </w:pPr>
  </w:style>
  <w:style w:type="paragraph" w:styleId="25">
    <w:name w:val="header"/>
    <w:basedOn w:val="1"/>
    <w:link w:val="162"/>
    <w:unhideWhenUsed/>
    <w:qFormat/>
    <w:uiPriority w:val="99"/>
    <w:pPr>
      <w:tabs>
        <w:tab w:val="center" w:pos="4680"/>
        <w:tab w:val="right" w:pos="9360"/>
      </w:tabs>
      <w:spacing w:after="0" w:line="240" w:lineRule="auto"/>
    </w:pPr>
  </w:style>
  <w:style w:type="paragraph" w:styleId="26">
    <w:name w:val="Subtitle"/>
    <w:basedOn w:val="1"/>
    <w:next w:val="1"/>
    <w:link w:val="1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59"/>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Footer Char"/>
    <w:basedOn w:val="132"/>
    <w:link w:val="24"/>
    <w:qFormat/>
    <w:uiPriority w:val="99"/>
  </w:style>
  <w:style w:type="character" w:customStyle="1" w:styleId="136">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37">
    <w:name w:val="Intense Emphasis"/>
    <w:basedOn w:val="132"/>
    <w:qFormat/>
    <w:uiPriority w:val="21"/>
    <w:rPr>
      <w:b/>
      <w:bCs/>
      <w:i/>
      <w:iCs/>
      <w:color w:val="4F81BD" w:themeColor="accent1"/>
      <w14:textFill>
        <w14:solidFill>
          <w14:schemeClr w14:val="accent1"/>
        </w14:solidFill>
      </w14:textFill>
    </w:rPr>
  </w:style>
  <w:style w:type="character" w:customStyle="1" w:styleId="138">
    <w:name w:val="Intense Reference"/>
    <w:basedOn w:val="132"/>
    <w:qFormat/>
    <w:uiPriority w:val="32"/>
    <w:rPr>
      <w:b/>
      <w:bCs/>
      <w:smallCaps/>
      <w:color w:val="C0504D" w:themeColor="accent2"/>
      <w:spacing w:val="5"/>
      <w:u w:val="single"/>
      <w14:textFill>
        <w14:solidFill>
          <w14:schemeClr w14:val="accent2"/>
        </w14:solidFill>
      </w14:textFill>
    </w:rPr>
  </w:style>
  <w:style w:type="paragraph" w:styleId="139">
    <w:name w:val="Intense Quote"/>
    <w:basedOn w:val="1"/>
    <w:next w:val="1"/>
    <w:link w:val="15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40">
    <w:name w:val="Heading 3 Char"/>
    <w:basedOn w:val="132"/>
    <w:link w:val="5"/>
    <w:qFormat/>
    <w:uiPriority w:val="9"/>
    <w:rPr>
      <w:rFonts w:ascii="宋体" w:hAnsi="宋体" w:eastAsia="宋体" w:cs="宋体"/>
      <w:b/>
      <w:bCs/>
      <w:color w:val="000000" w:themeColor="text1"/>
      <w:sz w:val="28"/>
      <w14:textFill>
        <w14:solidFill>
          <w14:schemeClr w14:val="tx1"/>
        </w14:solidFill>
      </w14:textFill>
    </w:rPr>
  </w:style>
  <w:style w:type="character" w:customStyle="1" w:styleId="14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42">
    <w:name w:val="Book Title"/>
    <w:basedOn w:val="132"/>
    <w:qFormat/>
    <w:uiPriority w:val="33"/>
    <w:rPr>
      <w:b/>
      <w:bCs/>
      <w:smallCaps/>
      <w:spacing w:val="5"/>
    </w:rPr>
  </w:style>
  <w:style w:type="character" w:customStyle="1" w:styleId="143">
    <w:name w:val="Heading 2 Char"/>
    <w:basedOn w:val="132"/>
    <w:link w:val="4"/>
    <w:qFormat/>
    <w:uiPriority w:val="9"/>
    <w:rPr>
      <w:rFonts w:ascii="宋体" w:hAnsi="宋体" w:eastAsia="宋体" w:cs="宋体"/>
      <w:b/>
      <w:bCs/>
      <w:color w:val="000000" w:themeColor="text1"/>
      <w:sz w:val="28"/>
      <w:szCs w:val="28"/>
      <w14:textFill>
        <w14:solidFill>
          <w14:schemeClr w14:val="tx1"/>
        </w14:solidFill>
      </w14:textFill>
    </w:rPr>
  </w:style>
  <w:style w:type="character" w:customStyle="1" w:styleId="14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45">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46">
    <w:name w:val="Body Text 2 Char"/>
    <w:basedOn w:val="132"/>
    <w:link w:val="28"/>
    <w:qFormat/>
    <w:uiPriority w:val="99"/>
  </w:style>
  <w:style w:type="character" w:customStyle="1" w:styleId="14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48">
    <w:name w:val="Macro Text Char"/>
    <w:basedOn w:val="132"/>
    <w:link w:val="2"/>
    <w:qFormat/>
    <w:uiPriority w:val="99"/>
    <w:rPr>
      <w:rFonts w:ascii="Courier" w:hAnsi="Courier"/>
      <w:sz w:val="20"/>
      <w:szCs w:val="20"/>
    </w:rPr>
  </w:style>
  <w:style w:type="character" w:customStyle="1" w:styleId="149">
    <w:name w:val="Body Text Char"/>
    <w:basedOn w:val="132"/>
    <w:link w:val="19"/>
    <w:qFormat/>
    <w:uiPriority w:val="99"/>
  </w:style>
  <w:style w:type="paragraph" w:customStyle="1" w:styleId="150">
    <w:name w:val="TOC Heading"/>
    <w:basedOn w:val="3"/>
    <w:next w:val="1"/>
    <w:semiHidden/>
    <w:unhideWhenUsed/>
    <w:qFormat/>
    <w:uiPriority w:val="39"/>
    <w:pPr>
      <w:outlineLvl w:val="9"/>
    </w:pPr>
  </w:style>
  <w:style w:type="character" w:customStyle="1" w:styleId="151">
    <w:name w:val="Body Text 3 Char"/>
    <w:basedOn w:val="132"/>
    <w:link w:val="17"/>
    <w:qFormat/>
    <w:uiPriority w:val="99"/>
    <w:rPr>
      <w:sz w:val="16"/>
      <w:szCs w:val="16"/>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2"/>
    <w:link w:val="152"/>
    <w:qFormat/>
    <w:uiPriority w:val="29"/>
    <w:rPr>
      <w:i/>
      <w:iCs/>
      <w:color w:val="000000" w:themeColor="text1"/>
      <w14:textFill>
        <w14:solidFill>
          <w14:schemeClr w14:val="tx1"/>
        </w14:solidFill>
      </w14:textFill>
    </w:rPr>
  </w:style>
  <w:style w:type="paragraph" w:styleId="154">
    <w:name w:val="List Paragraph"/>
    <w:basedOn w:val="1"/>
    <w:qFormat/>
    <w:uiPriority w:val="34"/>
    <w:pPr>
      <w:ind w:left="720"/>
      <w:contextualSpacing/>
    </w:pPr>
  </w:style>
  <w:style w:type="character" w:customStyle="1" w:styleId="155">
    <w:name w:val="Subtle Reference"/>
    <w:basedOn w:val="132"/>
    <w:qFormat/>
    <w:uiPriority w:val="31"/>
    <w:rPr>
      <w:smallCaps/>
      <w:color w:val="C0504D" w:themeColor="accent2"/>
      <w:u w:val="single"/>
      <w14:textFill>
        <w14:solidFill>
          <w14:schemeClr w14:val="accent2"/>
        </w14:solidFill>
      </w14:textFill>
    </w:rPr>
  </w:style>
  <w:style w:type="character" w:customStyle="1" w:styleId="156">
    <w:name w:val="Intense Quote Char"/>
    <w:basedOn w:val="132"/>
    <w:link w:val="139"/>
    <w:qFormat/>
    <w:uiPriority w:val="30"/>
    <w:rPr>
      <w:b/>
      <w:bCs/>
      <w:i/>
      <w:iCs/>
      <w:color w:val="4F81BD" w:themeColor="accent1"/>
      <w14:textFill>
        <w14:solidFill>
          <w14:schemeClr w14:val="accent1"/>
        </w14:solidFill>
      </w14:textFill>
    </w:rPr>
  </w:style>
  <w:style w:type="paragraph" w:styleId="15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60">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2">
    <w:name w:val="Header Char"/>
    <w:basedOn w:val="132"/>
    <w:link w:val="25"/>
    <w:qFormat/>
    <w:uiPriority w:val="99"/>
  </w:style>
  <w:style w:type="character" w:customStyle="1" w:styleId="163">
    <w:name w:val="Heading 1 Char"/>
    <w:basedOn w:val="132"/>
    <w:link w:val="3"/>
    <w:qFormat/>
    <w:uiPriority w:val="9"/>
    <w:rPr>
      <w:rFonts w:eastAsia="宋体" w:asciiTheme="majorAscii" w:hAnsiTheme="majorAscii" w:cstheme="majorBidi"/>
      <w:b/>
      <w:bCs/>
      <w:color w:val="000000" w:themeColor="text1"/>
      <w:sz w:val="28"/>
      <w:szCs w:val="28"/>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58</Pages>
  <Words>906</Words>
  <Characters>937</Characters>
  <TotalTime>5</TotalTime>
  <ScaleCrop>false</ScaleCrop>
  <LinksUpToDate>false</LinksUpToDate>
  <CharactersWithSpaces>940</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2026-10-22T09:20:00Z</dcterms:created>
  <dc:creator>leaf</dc:creator>
  <cp:lastModifiedBy>叶钦</cp:lastModifiedBy>
  <dcterms:modified xsi:type="dcterms:W3CDTF">2026-10-26T07:32:23Z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eyJoZGlkIjoiYmRmMjA5ZjE2NTg0NTJiZmE2ZmY1MTQ5MzMwMzRiNGYiLCJ1c2VySWQiOiIyNTM3MzMyMjkifQ==</vt:lpwstr>
  </property>
  <property fmtid="{D5CDD505-2E9C-101B-9397-08002B2CF9AE}" pid="3" name="KSOProductBuildVer">
    <vt:lpwstr>2052-12.1.0.29161</vt:lpwstr>
  </property>
  <property fmtid="{D5CDD505-2E9C-101B-9397-08002B2CF9AE}" pid="4" name="ICV">
    <vt:lpwstr>F6C4F3AC96A847E5A89108358AE18123_12</vt:lpwstr>
  </property>
</Properties>
</file>