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员工培训与晋升管理规定</w:t>
      </w:r>
    </w:p>
    <w:p>
      <w:r>
        <w:t>文档编号：HR-TRN-2025-005    版本：V1.1    密级：内部公开</w:t>
      </w:r>
    </w:p>
    <w:p/>
    <w:p>
      <w:pPr>
        <w:pStyle w:val="Heading1"/>
      </w:pPr>
      <w:r>
        <w:t>一、总则</w:t>
      </w:r>
    </w:p>
    <w:p>
      <w:r>
        <w:t>为建设学习型组织，规范员工培训与晋升管理，帮助员工持续提升专业能力并明确职业发展路径，依据公司人力资源管理制度，特制定本规定。</w:t>
      </w:r>
    </w:p>
    <w:p>
      <w:r>
        <w:t>本规定适用于公司全体正式员工，试用期员工与劳务派遣人员参照执行。人力资源部是培训与晋升工作的归口管理部门。</w:t>
      </w:r>
    </w:p>
    <w:p>
      <w:pPr>
        <w:pStyle w:val="Heading1"/>
      </w:pPr>
      <w:r>
        <w:t>二、培训体系</w:t>
      </w:r>
    </w:p>
    <w:p>
      <w:r>
        <w:t>公司培训分为入职培训、岗位技能培训、管理能力培训与外部深造四类，员工每年参加培训的总时长不得少于 24 学时。</w:t>
      </w:r>
    </w:p>
    <w:p>
      <w:r>
        <w:t>公司为每位员工提供年度培训预算 1500 元，用于购买书籍、在线课程及外部公开课，超出部分需经部门总监特批。</w:t>
      </w:r>
    </w:p>
    <w:p>
      <w:r>
        <w:t>内部讲师由业务骨干兼任，经评审聘任后发放课时津贴，津贴标准为 200 元每课时，年度授课满 30 学时另授予金牌讲师荣誉。</w:t>
      </w:r>
    </w:p>
    <w:p>
      <w:pPr>
        <w:pStyle w:val="Heading1"/>
      </w:pPr>
      <w:r>
        <w:t>三、培训纪律</w:t>
      </w:r>
    </w:p>
    <w:p>
      <w:r>
        <w:t>员工报名培训后无故缺席的，取消其本年度剩余培训的报名资格，并将缺席记录纳入年度考核。</w:t>
      </w:r>
    </w:p>
    <w:p>
      <w:r>
        <w:t>外部深造费用超过 5000 元的，须与公司签订服务期协议，服务期为两年，提前离职按比例退还培训费用。</w:t>
      </w:r>
    </w:p>
    <w:p>
      <w:pPr>
        <w:pStyle w:val="Heading1"/>
      </w:pPr>
      <w:r>
        <w:t>四、晋升机制</w:t>
      </w:r>
    </w:p>
    <w:p>
      <w:r>
        <w:t>公司每年组织两次晋升答辩，分别在 4 月与 10 月举行，符合条件者由部门负责人提名或本人自主申报。</w:t>
      </w:r>
    </w:p>
    <w:p>
      <w:r>
        <w:t>晋升答辩采取述职加评审的形式，评审组由分管副总、部门总监及跨部门专家组成，得分 80 分及以上方可通过。</w:t>
      </w:r>
    </w:p>
    <w:p>
      <w:r>
        <w:t>晋升至管理岗位的，另须通过 360 度管理与领导力测评；连续两次答辩未通过的，半年内不得再次申报。</w:t>
      </w:r>
    </w:p>
    <w:p>
      <w:pPr>
        <w:pStyle w:val="Heading1"/>
      </w:pPr>
      <w:r>
        <w:t>五、附则</w:t>
      </w:r>
    </w:p>
    <w:p>
      <w:r>
        <w:t>本规定由人力资源部负责解释与修订，自发布之日起施行。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