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4"/>
          <w:szCs w:val="24"/>
          <w:lang w:val="en-US" w:eastAsia="zh-CN"/>
        </w:rPr>
      </w:pPr>
      <w:r>
        <w:rPr>
          <w:rFonts w:hint="eastAsia"/>
          <w:sz w:val="24"/>
          <w:szCs w:val="24"/>
          <w:lang w:val="en-US" w:eastAsia="zh-CN"/>
        </w:rPr>
        <w:t>第二十八章</w:t>
      </w:r>
    </w:p>
    <w:p>
      <w:pPr>
        <w:numPr>
          <w:ilvl w:val="0"/>
          <w:numId w:val="1"/>
        </w:numPr>
        <w:jc w:val="both"/>
        <w:rPr>
          <w:rFonts w:hint="eastAsia"/>
          <w:sz w:val="24"/>
          <w:szCs w:val="24"/>
          <w:lang w:val="en-US" w:eastAsia="zh-CN"/>
        </w:rPr>
      </w:pPr>
      <w:r>
        <w:rPr>
          <w:rFonts w:hint="eastAsia"/>
          <w:sz w:val="24"/>
          <w:szCs w:val="24"/>
          <w:lang w:val="en-US" w:eastAsia="zh-CN"/>
        </w:rPr>
        <w:t>进程记账：</w:t>
      </w:r>
    </w:p>
    <w:p>
      <w:pPr>
        <w:numPr>
          <w:ilvl w:val="0"/>
          <w:numId w:val="0"/>
        </w:numPr>
        <w:jc w:val="both"/>
        <w:rPr>
          <w:rFonts w:hint="eastAsia"/>
          <w:sz w:val="24"/>
          <w:szCs w:val="24"/>
          <w:lang w:val="en-US" w:eastAsia="zh-CN"/>
        </w:rPr>
      </w:pPr>
      <w:r>
        <w:rPr>
          <w:rFonts w:hint="eastAsia"/>
          <w:sz w:val="24"/>
          <w:szCs w:val="24"/>
          <w:lang w:val="en-US" w:eastAsia="zh-CN"/>
        </w:rPr>
        <w:t>打开进程记账功能后，内核会在每个进程终止的时候将一条记账信息写入系统级的记账文件。这条账单记录包含了内核为该进程所维护的多种信息。包括终止状态以及进程消耗的CPU时间。</w:t>
      </w:r>
    </w:p>
    <w:p>
      <w:pPr>
        <w:numPr>
          <w:ilvl w:val="0"/>
          <w:numId w:val="0"/>
        </w:numPr>
        <w:jc w:val="both"/>
        <w:rPr>
          <w:rFonts w:hint="eastAsia"/>
          <w:sz w:val="24"/>
          <w:szCs w:val="24"/>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打开和关闭记账功能：</w:t>
      </w:r>
    </w:p>
    <w:p>
      <w:pPr>
        <w:numPr>
          <w:ilvl w:val="0"/>
          <w:numId w:val="0"/>
        </w:numPr>
        <w:jc w:val="both"/>
      </w:pPr>
      <w:r>
        <w:drawing>
          <wp:inline distT="0" distB="0" distL="114300" distR="114300">
            <wp:extent cx="5266690" cy="1374775"/>
            <wp:effectExtent l="0" t="0" r="1016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1374775"/>
                    </a:xfrm>
                    <a:prstGeom prst="rect">
                      <a:avLst/>
                    </a:prstGeom>
                    <a:noFill/>
                    <a:ln>
                      <a:noFill/>
                    </a:ln>
                  </pic:spPr>
                </pic:pic>
              </a:graphicData>
            </a:graphic>
          </wp:inline>
        </w:drawing>
      </w:r>
    </w:p>
    <w:p>
      <w:pPr>
        <w:numPr>
          <w:ilvl w:val="0"/>
          <w:numId w:val="0"/>
        </w:numPr>
        <w:jc w:val="both"/>
        <w:rPr>
          <w:rFonts w:hint="eastAsia"/>
          <w:sz w:val="24"/>
          <w:szCs w:val="24"/>
          <w:lang w:val="en-US" w:eastAsia="zh-CN"/>
        </w:rPr>
      </w:pPr>
      <w:r>
        <w:rPr>
          <w:rFonts w:hint="eastAsia"/>
          <w:sz w:val="24"/>
          <w:szCs w:val="24"/>
          <w:lang w:val="en-US" w:eastAsia="zh-CN"/>
        </w:rPr>
        <w:t>Linux下的进程账单记录：</w:t>
      </w:r>
    </w:p>
    <w:p>
      <w:pPr>
        <w:numPr>
          <w:ilvl w:val="0"/>
          <w:numId w:val="0"/>
        </w:numPr>
        <w:jc w:val="both"/>
      </w:pPr>
      <w:r>
        <w:drawing>
          <wp:inline distT="0" distB="0" distL="114300" distR="114300">
            <wp:extent cx="5270500" cy="1838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1838960"/>
                    </a:xfrm>
                    <a:prstGeom prst="rect">
                      <a:avLst/>
                    </a:prstGeom>
                    <a:noFill/>
                    <a:ln>
                      <a:noFill/>
                    </a:ln>
                  </pic:spPr>
                </pic:pic>
              </a:graphicData>
            </a:graphic>
          </wp:inline>
        </w:drawing>
      </w:r>
    </w:p>
    <w:p>
      <w:pPr>
        <w:numPr>
          <w:ilvl w:val="0"/>
          <w:numId w:val="0"/>
        </w:numPr>
        <w:jc w:val="both"/>
      </w:pPr>
      <w:r>
        <w:drawing>
          <wp:inline distT="0" distB="0" distL="114300" distR="114300">
            <wp:extent cx="5266055" cy="2653665"/>
            <wp:effectExtent l="0" t="0" r="1079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055" cy="265366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sz w:val="24"/>
          <w:szCs w:val="24"/>
          <w:lang w:val="en-US" w:eastAsia="zh-CN"/>
        </w:rPr>
      </w:pPr>
      <w:r>
        <w:rPr>
          <w:rFonts w:hint="eastAsia"/>
          <w:sz w:val="24"/>
          <w:szCs w:val="24"/>
          <w:lang w:val="en-US" w:eastAsia="zh-CN"/>
        </w:rPr>
        <w:t>具体含义查看手册。</w:t>
      </w:r>
    </w:p>
    <w:p>
      <w:pPr>
        <w:numPr>
          <w:ilvl w:val="0"/>
          <w:numId w:val="0"/>
        </w:numPr>
        <w:jc w:val="both"/>
        <w:rPr>
          <w:rFonts w:hint="eastAsia"/>
          <w:sz w:val="24"/>
          <w:szCs w:val="24"/>
          <w:lang w:val="en-US" w:eastAsia="zh-CN"/>
        </w:rPr>
      </w:pPr>
      <w:r>
        <w:rPr>
          <w:rFonts w:hint="eastAsia"/>
          <w:sz w:val="24"/>
          <w:szCs w:val="24"/>
          <w:lang w:val="en-US" w:eastAsia="zh-CN"/>
        </w:rPr>
        <w:t>此外还有另一版本的结构以备选用，是struct acct_v3。具体查看手册。</w:t>
      </w:r>
    </w:p>
    <w:p>
      <w:pPr>
        <w:numPr>
          <w:ilvl w:val="0"/>
          <w:numId w:val="0"/>
        </w:numPr>
        <w:jc w:val="both"/>
        <w:rPr>
          <w:rFonts w:hint="eastAsia"/>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系统调用clone：</w:t>
      </w:r>
    </w:p>
    <w:p>
      <w:pPr>
        <w:jc w:val="both"/>
        <w:rPr>
          <w:rFonts w:hint="eastAsia"/>
          <w:sz w:val="24"/>
          <w:szCs w:val="24"/>
          <w:lang w:val="en-US" w:eastAsia="zh-CN"/>
        </w:rPr>
      </w:pPr>
      <w:r>
        <w:rPr>
          <w:rFonts w:hint="eastAsia"/>
          <w:sz w:val="24"/>
          <w:szCs w:val="24"/>
          <w:lang w:val="en-US" w:eastAsia="zh-CN"/>
        </w:rPr>
        <w:t>Clone在创建进程期间对进程的控制更为精确。主要用于线程库的使用。因为这个系统调用有损于程序的可移植性，所以应该避免在程序中使用。</w:t>
      </w:r>
    </w:p>
    <w:p>
      <w:pPr>
        <w:jc w:val="both"/>
      </w:pPr>
      <w:r>
        <w:drawing>
          <wp:inline distT="0" distB="0" distL="114300" distR="114300">
            <wp:extent cx="5266690" cy="1230630"/>
            <wp:effectExtent l="0" t="0" r="1016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6690" cy="12306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这里有一个细节问题：很多时候，都是通过c函数库发起对内核的系统调用。这里所说的clone是glibc（Linux 标准c库）为sys_clone提供的封装函数。sys_clone返回的也是调用点，而在clone里发起了对func的调用。</w:t>
      </w:r>
    </w:p>
    <w:p>
      <w:pPr>
        <w:jc w:val="both"/>
        <w:rPr>
          <w:rFonts w:hint="eastAsia"/>
          <w:lang w:val="en-US" w:eastAsia="zh-CN"/>
        </w:rPr>
      </w:pPr>
    </w:p>
    <w:p>
      <w:pPr>
        <w:jc w:val="both"/>
        <w:rPr>
          <w:rFonts w:hint="eastAsia"/>
          <w:lang w:val="en-US" w:eastAsia="zh-CN"/>
        </w:rPr>
      </w:pPr>
      <w:r>
        <w:rPr>
          <w:rFonts w:hint="eastAsia"/>
          <w:lang w:val="en-US" w:eastAsia="zh-CN"/>
        </w:rPr>
        <w:t>child_stack指定了供子进程使用的栈空间，因为有可能父子进程共用内存，所以不能使用父进程的栈，相反，必须另外分配空间。这里假设栈是向下生长的，所以此参数指定的是分配块的高端。这也是这个函数的缺陷。</w:t>
      </w:r>
    </w:p>
    <w:p>
      <w:pPr>
        <w:jc w:val="both"/>
        <w:rPr>
          <w:rFonts w:hint="eastAsia"/>
          <w:lang w:val="en-US" w:eastAsia="zh-CN"/>
        </w:rPr>
      </w:pPr>
    </w:p>
    <w:p>
      <w:pPr>
        <w:jc w:val="both"/>
        <w:rPr>
          <w:rFonts w:hint="eastAsia"/>
          <w:lang w:val="en-US" w:eastAsia="zh-CN"/>
        </w:rPr>
      </w:pPr>
      <w:r>
        <w:rPr>
          <w:rFonts w:hint="eastAsia"/>
          <w:lang w:val="en-US" w:eastAsia="zh-CN"/>
        </w:rPr>
        <w:t>flags有两层作用：低字节存放着子进程终止的信号，剩余字节存放着位掩码，控制着子进程。</w:t>
      </w:r>
    </w:p>
    <w:p>
      <w:pPr>
        <w:jc w:val="both"/>
        <w:rPr>
          <w:rFonts w:hint="eastAsia"/>
          <w:lang w:val="en-US" w:eastAsia="zh-CN"/>
        </w:rPr>
      </w:pPr>
    </w:p>
    <w:p>
      <w:pPr>
        <w:jc w:val="both"/>
        <w:rPr>
          <w:rFonts w:hint="eastAsia"/>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Flags参数：</w:t>
      </w:r>
    </w:p>
    <w:p>
      <w:pPr>
        <w:numPr>
          <w:ilvl w:val="0"/>
          <w:numId w:val="0"/>
        </w:numPr>
        <w:jc w:val="both"/>
        <w:rPr>
          <w:rFonts w:hint="eastAsia"/>
          <w:sz w:val="24"/>
          <w:szCs w:val="24"/>
          <w:lang w:val="en-US" w:eastAsia="zh-CN"/>
        </w:rPr>
      </w:pPr>
      <w:r>
        <w:rPr>
          <w:rFonts w:hint="eastAsia"/>
          <w:sz w:val="24"/>
          <w:szCs w:val="24"/>
          <w:lang w:val="en-US" w:eastAsia="zh-CN"/>
        </w:rPr>
        <w:t>这里需要说明一下“进程”和“线程”这两个概念：</w:t>
      </w:r>
    </w:p>
    <w:p>
      <w:pPr>
        <w:numPr>
          <w:ilvl w:val="0"/>
          <w:numId w:val="0"/>
        </w:numPr>
        <w:jc w:val="both"/>
      </w:pPr>
      <w:r>
        <w:drawing>
          <wp:inline distT="0" distB="0" distL="114300" distR="114300">
            <wp:extent cx="5266690" cy="1113155"/>
            <wp:effectExtent l="0" t="0" r="1016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6690" cy="1113155"/>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p>
    <w:p>
      <w:pPr>
        <w:numPr>
          <w:ilvl w:val="0"/>
          <w:numId w:val="0"/>
        </w:numPr>
        <w:jc w:val="both"/>
        <w:rPr>
          <w:rFonts w:hint="eastAsia"/>
          <w:lang w:val="en-US" w:eastAsia="zh-CN"/>
        </w:rPr>
      </w:pPr>
      <w:r>
        <w:rPr>
          <w:rFonts w:hint="eastAsia"/>
          <w:lang w:val="en-US" w:eastAsia="zh-CN"/>
        </w:rPr>
        <w:t>着重介绍一些重要的，具体看手册或者书本。</w:t>
      </w:r>
    </w:p>
    <w:p>
      <w:pPr>
        <w:numPr>
          <w:ilvl w:val="0"/>
          <w:numId w:val="0"/>
        </w:numPr>
        <w:jc w:val="both"/>
      </w:pPr>
      <w:r>
        <w:drawing>
          <wp:inline distT="0" distB="0" distL="114300" distR="114300">
            <wp:extent cx="5273040" cy="508635"/>
            <wp:effectExtent l="0" t="0" r="3810" b="571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3040" cy="508635"/>
                    </a:xfrm>
                    <a:prstGeom prst="rect">
                      <a:avLst/>
                    </a:prstGeom>
                    <a:noFill/>
                    <a:ln>
                      <a:noFill/>
                    </a:ln>
                  </pic:spPr>
                </pic:pic>
              </a:graphicData>
            </a:graphic>
          </wp:inline>
        </w:drawing>
      </w:r>
    </w:p>
    <w:p>
      <w:pPr>
        <w:numPr>
          <w:ilvl w:val="0"/>
          <w:numId w:val="0"/>
        </w:numPr>
        <w:jc w:val="both"/>
      </w:pPr>
      <w:r>
        <w:drawing>
          <wp:inline distT="0" distB="0" distL="114300" distR="114300">
            <wp:extent cx="5273040" cy="469900"/>
            <wp:effectExtent l="0" t="0" r="3810"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469900"/>
                    </a:xfrm>
                    <a:prstGeom prst="rect">
                      <a:avLst/>
                    </a:prstGeom>
                    <a:noFill/>
                    <a:ln>
                      <a:noFill/>
                    </a:ln>
                  </pic:spPr>
                </pic:pic>
              </a:graphicData>
            </a:graphic>
          </wp:inline>
        </w:drawing>
      </w:r>
    </w:p>
    <w:p>
      <w:pPr>
        <w:numPr>
          <w:ilvl w:val="0"/>
          <w:numId w:val="0"/>
        </w:numPr>
        <w:jc w:val="both"/>
      </w:pPr>
      <w:r>
        <w:drawing>
          <wp:inline distT="0" distB="0" distL="114300" distR="114300">
            <wp:extent cx="5270500" cy="498475"/>
            <wp:effectExtent l="0" t="0" r="6350" b="158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0500" cy="49847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注意，这个共享父子进程的信号处置表，即使用signal或者sigaction设置的。但是这个不会影响信号掩码和挂起信号的集合。</w:t>
      </w:r>
    </w:p>
    <w:p>
      <w:pPr>
        <w:numPr>
          <w:ilvl w:val="0"/>
          <w:numId w:val="0"/>
        </w:numPr>
        <w:jc w:val="both"/>
        <w:rPr>
          <w:rFonts w:hint="eastAsia"/>
          <w:lang w:val="en-US" w:eastAsia="zh-CN"/>
        </w:rPr>
      </w:pPr>
    </w:p>
    <w:p>
      <w:pPr>
        <w:numPr>
          <w:ilvl w:val="0"/>
          <w:numId w:val="0"/>
        </w:numPr>
        <w:jc w:val="both"/>
      </w:pPr>
      <w:r>
        <w:drawing>
          <wp:inline distT="0" distB="0" distL="114300" distR="114300">
            <wp:extent cx="5274310" cy="520700"/>
            <wp:effectExtent l="0" t="0" r="2540"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4310" cy="520700"/>
                    </a:xfrm>
                    <a:prstGeom prst="rect">
                      <a:avLst/>
                    </a:prstGeom>
                    <a:noFill/>
                    <a:ln>
                      <a:noFill/>
                    </a:ln>
                  </pic:spPr>
                </pic:pic>
              </a:graphicData>
            </a:graphic>
          </wp:inline>
        </w:drawing>
      </w:r>
    </w:p>
    <w:p>
      <w:pPr>
        <w:numPr>
          <w:ilvl w:val="0"/>
          <w:numId w:val="0"/>
        </w:numPr>
        <w:jc w:val="both"/>
      </w:pPr>
      <w:r>
        <w:drawing>
          <wp:inline distT="0" distB="0" distL="114300" distR="114300">
            <wp:extent cx="4514850" cy="74295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4514850" cy="7429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这个的确要聊一聊，线程组这个。先上个图：</w:t>
      </w:r>
    </w:p>
    <w:p>
      <w:pPr>
        <w:numPr>
          <w:ilvl w:val="0"/>
          <w:numId w:val="0"/>
        </w:numPr>
        <w:jc w:val="both"/>
      </w:pPr>
      <w:r>
        <w:drawing>
          <wp:inline distT="0" distB="0" distL="114300" distR="114300">
            <wp:extent cx="5265420" cy="2463165"/>
            <wp:effectExtent l="0" t="0" r="11430" b="1333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65420" cy="24631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线程组这个概念是为了满足进程里的所有线程共享同一个进程ID提出的。线程组就是共享同一线程组标识TGID的一组KSE。TGID和进程ID是一回事。</w:t>
      </w:r>
    </w:p>
    <w:p>
      <w:pPr>
        <w:numPr>
          <w:ilvl w:val="0"/>
          <w:numId w:val="0"/>
        </w:numPr>
        <w:jc w:val="both"/>
      </w:pPr>
      <w:r>
        <w:drawing>
          <wp:inline distT="0" distB="0" distL="114300" distR="114300">
            <wp:extent cx="5270500" cy="1878965"/>
            <wp:effectExtent l="0" t="0" r="635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70500" cy="18789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注意，这个gettid没有相应的glibc函数，要使用syscall直接系统调用。</w:t>
      </w:r>
    </w:p>
    <w:p>
      <w:pPr>
        <w:numPr>
          <w:ilvl w:val="0"/>
          <w:numId w:val="0"/>
        </w:numPr>
        <w:jc w:val="both"/>
        <w:rPr>
          <w:rFonts w:hint="eastAsia"/>
          <w:lang w:val="en-US" w:eastAsia="zh-CN"/>
        </w:rPr>
      </w:pPr>
      <w:r>
        <w:rPr>
          <w:rFonts w:hint="eastAsia"/>
          <w:lang w:val="en-US" w:eastAsia="zh-CN"/>
        </w:rPr>
        <w:t>线程终止不能使用wait去等待。而是调用pthread_join。这里使用了一种同步原语futex，下文介绍。</w:t>
      </w:r>
    </w:p>
    <w:p>
      <w:pPr>
        <w:numPr>
          <w:ilvl w:val="0"/>
          <w:numId w:val="0"/>
        </w:numPr>
        <w:jc w:val="both"/>
      </w:pPr>
      <w:r>
        <w:drawing>
          <wp:inline distT="0" distB="0" distL="114300" distR="114300">
            <wp:extent cx="5266690" cy="1104900"/>
            <wp:effectExtent l="0" t="0" r="1016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6690" cy="110490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5266055" cy="475615"/>
            <wp:effectExtent l="0" t="0" r="10795"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66055" cy="47561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这些标志会影响glibc里clone中的ptid和ctid的处理。如果设置了CLONE_PARENT_SETTID，那么在进程复制之前，将线程ID复制到ptid避免竞争。如果设置了CLONE_CHILD_SETTID，那么会将子线程ID复制到子进程的</w:t>
      </w:r>
      <w:bookmarkStart w:id="0" w:name="_GoBack"/>
      <w:bookmarkEnd w:id="0"/>
      <w:r>
        <w:rPr>
          <w:rFonts w:hint="eastAsia"/>
          <w:lang w:val="en-US" w:eastAsia="zh-CN"/>
        </w:rPr>
        <w:t>ctid。</w:t>
      </w:r>
    </w:p>
    <w:p>
      <w:pPr>
        <w:numPr>
          <w:ilvl w:val="0"/>
          <w:numId w:val="0"/>
        </w:numPr>
        <w:jc w:val="both"/>
      </w:pPr>
      <w:r>
        <w:drawing>
          <wp:inline distT="0" distB="0" distL="114300" distR="114300">
            <wp:extent cx="5267325" cy="405765"/>
            <wp:effectExtent l="0" t="0" r="9525" b="1333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67325" cy="405765"/>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借助于参数ctid的机制，NPTL线程可以获得线程终止的通知。函数pthread_join需要这样的通知。</w:t>
      </w:r>
    </w:p>
    <w:p>
      <w:pPr>
        <w:numPr>
          <w:ilvl w:val="0"/>
          <w:numId w:val="0"/>
        </w:numPr>
        <w:jc w:val="both"/>
      </w:pPr>
      <w:r>
        <w:drawing>
          <wp:inline distT="0" distB="0" distL="114300" distR="114300">
            <wp:extent cx="5271135" cy="1743710"/>
            <wp:effectExtent l="0" t="0" r="5715" b="889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71135" cy="1743710"/>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Futex是用户空间的快速锁。一般不使用futex函数，因为这是为库函数编写者设计的。涉及到等待与唤醒，具体查看手册。也可以看看如下链接：</w:t>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"https://blog.csdn.net/Javadino/article/details/2891385"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https://blog.csdn.net/Javadino/article/details/2891385</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"https://blog.csdn.net/Javadino/article/details/2891388"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https://blog.csdn.net/Javadino/article/details/2891388</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"https://blog.csdn.net/Javadino/article/details/2891399" </w:instrText>
      </w:r>
      <w:r>
        <w:rPr>
          <w:rFonts w:ascii="宋体" w:hAnsi="宋体" w:eastAsia="宋体" w:cs="宋体"/>
          <w:sz w:val="24"/>
          <w:szCs w:val="24"/>
        </w:rPr>
        <w:fldChar w:fldCharType="separate"/>
      </w:r>
      <w:r>
        <w:rPr>
          <w:rStyle w:val="4"/>
          <w:rFonts w:ascii="宋体" w:hAnsi="宋体" w:eastAsia="宋体" w:cs="宋体"/>
          <w:sz w:val="24"/>
          <w:szCs w:val="24"/>
        </w:rPr>
        <w:t>https://blog.csdn.net/Javadino/article/details/2891399</w:t>
      </w:r>
      <w:r>
        <w:rPr>
          <w:rFonts w:ascii="宋体" w:hAnsi="宋体" w:eastAsia="宋体" w:cs="宋体"/>
          <w:sz w:val="24"/>
          <w:szCs w:val="24"/>
        </w:rPr>
        <w:fldChar w:fldCharType="end"/>
      </w:r>
    </w:p>
    <w:p>
      <w:pPr>
        <w:numPr>
          <w:ilvl w:val="0"/>
          <w:numId w:val="0"/>
        </w:numPr>
        <w:jc w:val="both"/>
        <w:rPr>
          <w:rFonts w:ascii="宋体" w:hAnsi="宋体" w:eastAsia="宋体" w:cs="宋体"/>
          <w:sz w:val="24"/>
          <w:szCs w:val="24"/>
        </w:rPr>
      </w:pP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剩下的那些查看手册与书本。</w:t>
      </w:r>
    </w:p>
    <w:p>
      <w:pPr>
        <w:numPr>
          <w:ilvl w:val="0"/>
          <w:numId w:val="0"/>
        </w:numPr>
        <w:jc w:val="both"/>
        <w:rPr>
          <w:rFonts w:hint="eastAsia" w:ascii="宋体" w:hAnsi="宋体" w:eastAsia="宋体" w:cs="宋体"/>
          <w:sz w:val="24"/>
          <w:szCs w:val="24"/>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Clone标志的使用：</w:t>
      </w:r>
    </w:p>
    <w:p>
      <w:pPr>
        <w:numPr>
          <w:ilvl w:val="0"/>
          <w:numId w:val="0"/>
        </w:numPr>
        <w:jc w:val="both"/>
        <w:rPr>
          <w:rFonts w:hint="eastAsia"/>
          <w:sz w:val="24"/>
          <w:szCs w:val="24"/>
          <w:lang w:val="en-US" w:eastAsia="zh-CN"/>
        </w:rPr>
      </w:pPr>
      <w:r>
        <w:rPr>
          <w:rFonts w:hint="eastAsia"/>
          <w:sz w:val="24"/>
          <w:szCs w:val="24"/>
          <w:lang w:val="en-US" w:eastAsia="zh-CN"/>
        </w:rPr>
        <w:t>Vfork：</w:t>
      </w:r>
    </w:p>
    <w:p>
      <w:pPr>
        <w:numPr>
          <w:ilvl w:val="0"/>
          <w:numId w:val="0"/>
        </w:numPr>
        <w:jc w:val="both"/>
      </w:pPr>
      <w:r>
        <w:drawing>
          <wp:inline distT="0" distB="0" distL="114300" distR="114300">
            <wp:extent cx="4381500" cy="5238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381500" cy="523875"/>
                    </a:xfrm>
                    <a:prstGeom prst="rect">
                      <a:avLst/>
                    </a:prstGeom>
                    <a:noFill/>
                    <a:ln>
                      <a:noFill/>
                    </a:ln>
                  </pic:spPr>
                </pic:pic>
              </a:graphicData>
            </a:graphic>
          </wp:inline>
        </w:drawing>
      </w:r>
    </w:p>
    <w:p>
      <w:pPr>
        <w:numPr>
          <w:ilvl w:val="0"/>
          <w:numId w:val="0"/>
        </w:numPr>
        <w:jc w:val="both"/>
      </w:pPr>
      <w:r>
        <w:drawing>
          <wp:inline distT="0" distB="0" distL="114300" distR="114300">
            <wp:extent cx="5271135" cy="988060"/>
            <wp:effectExtent l="0" t="0" r="5715" b="254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71135" cy="988060"/>
                    </a:xfrm>
                    <a:prstGeom prst="rect">
                      <a:avLst/>
                    </a:prstGeom>
                    <a:noFill/>
                    <a:ln>
                      <a:noFill/>
                    </a:ln>
                  </pic:spPr>
                </pic:pic>
              </a:graphicData>
            </a:graphic>
          </wp:inline>
        </w:drawing>
      </w:r>
    </w:p>
    <w:p>
      <w:pPr>
        <w:numPr>
          <w:ilvl w:val="0"/>
          <w:numId w:val="0"/>
        </w:numPr>
        <w:jc w:val="both"/>
        <w:rPr>
          <w:rFonts w:hint="default" w:eastAsiaTheme="minorEastAsia"/>
          <w:lang w:val="en-US" w:eastAsia="zh-CN"/>
        </w:rPr>
      </w:pPr>
      <w:r>
        <w:rPr>
          <w:rFonts w:hint="eastAsia"/>
          <w:lang w:val="en-US" w:eastAsia="zh-CN"/>
        </w:rPr>
        <w:t>现在Linux fork是走clone调用，而不是使用fork系统调用。</w:t>
      </w:r>
    </w:p>
    <w:p>
      <w:pPr>
        <w:numPr>
          <w:ilvl w:val="0"/>
          <w:numId w:val="0"/>
        </w:numPr>
        <w:jc w:val="both"/>
      </w:pPr>
    </w:p>
    <w:p>
      <w:pPr>
        <w:numPr>
          <w:ilvl w:val="0"/>
          <w:numId w:val="1"/>
        </w:numPr>
        <w:jc w:val="both"/>
        <w:rPr>
          <w:rFonts w:hint="eastAsia"/>
          <w:sz w:val="24"/>
          <w:szCs w:val="24"/>
          <w:lang w:val="en-US" w:eastAsia="zh-CN"/>
        </w:rPr>
      </w:pPr>
      <w:r>
        <w:rPr>
          <w:rFonts w:hint="eastAsia"/>
          <w:sz w:val="24"/>
          <w:szCs w:val="24"/>
          <w:lang w:val="en-US" w:eastAsia="zh-CN"/>
        </w:rPr>
        <w:t>因克隆产生的子进程而对waitpid进行的扩展：</w:t>
      </w:r>
    </w:p>
    <w:p>
      <w:pPr>
        <w:numPr>
          <w:ilvl w:val="0"/>
          <w:numId w:val="0"/>
        </w:numPr>
        <w:jc w:val="both"/>
        <w:rPr>
          <w:rFonts w:hint="eastAsia"/>
          <w:lang w:val="en-US" w:eastAsia="zh-CN"/>
        </w:rPr>
      </w:pPr>
      <w:r>
        <w:rPr>
          <w:rFonts w:hint="eastAsia"/>
          <w:lang w:val="en-US" w:eastAsia="zh-CN"/>
        </w:rPr>
        <w:t>__WCLONE,__WALL,__WNOTHREAD</w:t>
      </w:r>
    </w:p>
    <w:p>
      <w:pPr>
        <w:numPr>
          <w:ilvl w:val="0"/>
          <w:numId w:val="0"/>
        </w:numPr>
        <w:jc w:val="both"/>
        <w:rPr>
          <w:rFonts w:hint="eastAsia"/>
          <w:lang w:val="en-US" w:eastAsia="zh-CN"/>
        </w:rPr>
      </w:pPr>
      <w:r>
        <w:rPr>
          <w:rFonts w:hint="eastAsia"/>
          <w:lang w:val="en-US" w:eastAsia="zh-CN"/>
        </w:rPr>
        <w:t>具体查看手册。</w:t>
      </w:r>
    </w:p>
    <w:p>
      <w:pPr>
        <w:numPr>
          <w:ilvl w:val="0"/>
          <w:numId w:val="1"/>
        </w:numPr>
        <w:jc w:val="both"/>
        <w:rPr>
          <w:rFonts w:hint="default"/>
          <w:sz w:val="24"/>
          <w:szCs w:val="24"/>
          <w:lang w:val="en-US" w:eastAsia="zh-CN"/>
        </w:rPr>
      </w:pPr>
      <w:r>
        <w:rPr>
          <w:rFonts w:hint="eastAsia"/>
          <w:sz w:val="24"/>
          <w:szCs w:val="24"/>
          <w:lang w:val="en-US" w:eastAsia="zh-CN"/>
        </w:rPr>
        <w:t>进程的创建速度：</w:t>
      </w:r>
    </w:p>
    <w:p>
      <w:pPr>
        <w:numPr>
          <w:ilvl w:val="0"/>
          <w:numId w:val="0"/>
        </w:numPr>
        <w:jc w:val="both"/>
      </w:pPr>
      <w:r>
        <w:drawing>
          <wp:inline distT="0" distB="0" distL="114300" distR="114300">
            <wp:extent cx="5269865" cy="2941320"/>
            <wp:effectExtent l="0" t="0" r="6985" b="1143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69865" cy="294132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注意，上表的clone所采用的flags如下：</w:t>
      </w:r>
    </w:p>
    <w:p>
      <w:pPr>
        <w:numPr>
          <w:ilvl w:val="0"/>
          <w:numId w:val="0"/>
        </w:numPr>
        <w:jc w:val="both"/>
      </w:pPr>
      <w:r>
        <w:drawing>
          <wp:inline distT="0" distB="0" distL="114300" distR="114300">
            <wp:extent cx="5272405" cy="563880"/>
            <wp:effectExtent l="0" t="0" r="444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72405" cy="56388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这个表很有意思：</w:t>
      </w:r>
    </w:p>
    <w:p>
      <w:pPr>
        <w:numPr>
          <w:ilvl w:val="0"/>
          <w:numId w:val="0"/>
        </w:numPr>
        <w:jc w:val="both"/>
        <w:rPr>
          <w:rFonts w:hint="eastAsia"/>
          <w:lang w:val="en-US" w:eastAsia="zh-CN"/>
        </w:rPr>
      </w:pPr>
      <w:r>
        <w:rPr>
          <w:rFonts w:hint="eastAsia"/>
          <w:lang w:val="en-US" w:eastAsia="zh-CN"/>
        </w:rPr>
        <w:t>看行，第一行，进程所占内存越大，时间越多。</w:t>
      </w:r>
    </w:p>
    <w:p>
      <w:pPr>
        <w:numPr>
          <w:ilvl w:val="0"/>
          <w:numId w:val="0"/>
        </w:numPr>
        <w:jc w:val="both"/>
      </w:pPr>
      <w:r>
        <w:drawing>
          <wp:inline distT="0" distB="0" distL="114300" distR="114300">
            <wp:extent cx="5266055" cy="601980"/>
            <wp:effectExtent l="0" t="0" r="10795"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66055" cy="6019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第二行vfork时间几乎不变，原因是vfork调用时是直接复制父进程的页表指针，没有复制其内容。</w:t>
      </w:r>
    </w:p>
    <w:p>
      <w:pPr>
        <w:numPr>
          <w:ilvl w:val="0"/>
          <w:numId w:val="0"/>
        </w:numPr>
        <w:jc w:val="both"/>
      </w:pPr>
      <w:r>
        <w:drawing>
          <wp:inline distT="0" distB="0" distL="114300" distR="114300">
            <wp:extent cx="5262880" cy="659130"/>
            <wp:effectExtent l="0" t="0" r="13970" b="762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5262880" cy="65913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第三行clone和vfork之间的差值代表了将系统文件权限掩码，根目录当前工作目录，信号处置表以及打开文件描述符表之间复制到子进程所需要的额外的操作。文件属性和信号处置表是固定的，文件描述符开销取决于打开的数量。</w:t>
      </w:r>
    </w:p>
    <w:p>
      <w:pPr>
        <w:numPr>
          <w:ilvl w:val="0"/>
          <w:numId w:val="0"/>
        </w:numPr>
        <w:jc w:val="both"/>
        <w:rPr>
          <w:rFonts w:hint="eastAsia"/>
          <w:lang w:val="en-US" w:eastAsia="zh-CN"/>
        </w:rPr>
      </w:pPr>
    </w:p>
    <w:p>
      <w:pPr>
        <w:numPr>
          <w:ilvl w:val="0"/>
          <w:numId w:val="0"/>
        </w:numPr>
        <w:jc w:val="both"/>
      </w:pPr>
      <w:r>
        <w:drawing>
          <wp:inline distT="0" distB="0" distL="114300" distR="114300">
            <wp:extent cx="5270500" cy="1405255"/>
            <wp:effectExtent l="0" t="0" r="6350" b="444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5270500" cy="1405255"/>
                    </a:xfrm>
                    <a:prstGeom prst="rect">
                      <a:avLst/>
                    </a:prstGeom>
                    <a:noFill/>
                    <a:ln>
                      <a:noFill/>
                    </a:ln>
                  </pic:spPr>
                </pic:pic>
              </a:graphicData>
            </a:graphic>
          </wp:inline>
        </w:drawing>
      </w:r>
    </w:p>
    <w:p>
      <w:pPr>
        <w:numPr>
          <w:ilvl w:val="0"/>
          <w:numId w:val="0"/>
        </w:numPr>
        <w:jc w:val="both"/>
      </w:pPr>
      <w:r>
        <w:drawing>
          <wp:inline distT="0" distB="0" distL="114300" distR="114300">
            <wp:extent cx="5269230" cy="881380"/>
            <wp:effectExtent l="0" t="0" r="7620" b="139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269230" cy="88138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注意，这里内核缓冲区可以理解为内存里，结合文件那一章理解。</w:t>
      </w:r>
    </w:p>
    <w:p>
      <w:pPr>
        <w:numPr>
          <w:ilvl w:val="0"/>
          <w:numId w:val="0"/>
        </w:numPr>
        <w:jc w:val="both"/>
        <w:rPr>
          <w:rFonts w:hint="eastAsia"/>
          <w:lang w:val="en-US" w:eastAsia="zh-CN"/>
        </w:rPr>
      </w:pPr>
    </w:p>
    <w:p>
      <w:pPr>
        <w:numPr>
          <w:ilvl w:val="0"/>
          <w:numId w:val="1"/>
        </w:numPr>
        <w:jc w:val="both"/>
        <w:rPr>
          <w:rFonts w:hint="default"/>
          <w:sz w:val="24"/>
          <w:szCs w:val="24"/>
          <w:lang w:val="en-US" w:eastAsia="zh-CN"/>
        </w:rPr>
      </w:pPr>
      <w:r>
        <w:rPr>
          <w:rFonts w:hint="eastAsia"/>
          <w:sz w:val="24"/>
          <w:szCs w:val="24"/>
          <w:lang w:val="en-US" w:eastAsia="zh-CN"/>
        </w:rPr>
        <w:t>Exec和fork对进程属性的影响：</w:t>
      </w:r>
    </w:p>
    <w:p>
      <w:pPr>
        <w:numPr>
          <w:ilvl w:val="0"/>
          <w:numId w:val="0"/>
        </w:numPr>
        <w:jc w:val="both"/>
        <w:rPr>
          <w:rFonts w:hint="default"/>
          <w:sz w:val="24"/>
          <w:szCs w:val="24"/>
          <w:lang w:val="en-US" w:eastAsia="zh-CN"/>
        </w:rPr>
      </w:pPr>
      <w:r>
        <w:rPr>
          <w:rFonts w:hint="eastAsia"/>
          <w:sz w:val="24"/>
          <w:szCs w:val="24"/>
          <w:lang w:val="en-US" w:eastAsia="zh-CN"/>
        </w:rPr>
        <w:t>这一章节很重要，记得查看书本。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A44FE2"/>
    <w:multiLevelType w:val="singleLevel"/>
    <w:tmpl w:val="1EA44FE2"/>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FB3703"/>
    <w:rsid w:val="047415FF"/>
    <w:rsid w:val="0705716E"/>
    <w:rsid w:val="0748536C"/>
    <w:rsid w:val="08866853"/>
    <w:rsid w:val="09A01CB8"/>
    <w:rsid w:val="0AD17292"/>
    <w:rsid w:val="0B8839CC"/>
    <w:rsid w:val="0CE27AF6"/>
    <w:rsid w:val="11AD0162"/>
    <w:rsid w:val="12E522D2"/>
    <w:rsid w:val="197F021D"/>
    <w:rsid w:val="1DDE63F8"/>
    <w:rsid w:val="27996EDA"/>
    <w:rsid w:val="29B75218"/>
    <w:rsid w:val="2A597CC7"/>
    <w:rsid w:val="30ED077B"/>
    <w:rsid w:val="35F43A53"/>
    <w:rsid w:val="37964AC3"/>
    <w:rsid w:val="395330F0"/>
    <w:rsid w:val="3D1F622B"/>
    <w:rsid w:val="45642A65"/>
    <w:rsid w:val="474B6C0B"/>
    <w:rsid w:val="47B31FAC"/>
    <w:rsid w:val="489F793C"/>
    <w:rsid w:val="49735383"/>
    <w:rsid w:val="4B5A26D0"/>
    <w:rsid w:val="4DB2374D"/>
    <w:rsid w:val="4DF7627C"/>
    <w:rsid w:val="4E5F274F"/>
    <w:rsid w:val="53DC54AD"/>
    <w:rsid w:val="595B54D0"/>
    <w:rsid w:val="64D51675"/>
    <w:rsid w:val="68153FA9"/>
    <w:rsid w:val="70614221"/>
    <w:rsid w:val="742568E4"/>
    <w:rsid w:val="742642DB"/>
    <w:rsid w:val="7C0801D4"/>
    <w:rsid w:val="7DD41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345</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2020-08-31T07:03:48Z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