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lang w:val="en-US" w:eastAsia="zh-CN"/>
        </w:rPr>
      </w:pPr>
      <w:r>
        <w:rPr>
          <w:rFonts w:hint="eastAsia"/>
          <w:sz w:val="24"/>
          <w:szCs w:val="24"/>
          <w:lang w:val="en-US" w:eastAsia="zh-CN"/>
        </w:rPr>
        <w:t>第十三章</w:t>
      </w:r>
    </w:p>
    <w:p>
      <w:pPr>
        <w:numPr>
          <w:ilvl w:val="0"/>
          <w:numId w:val="1"/>
        </w:numPr>
        <w:jc w:val="both"/>
        <w:rPr>
          <w:rFonts w:hint="eastAsia"/>
          <w:sz w:val="24"/>
          <w:szCs w:val="24"/>
          <w:lang w:val="en-US" w:eastAsia="zh-CN"/>
        </w:rPr>
      </w:pPr>
      <w:r>
        <w:rPr>
          <w:rFonts w:hint="eastAsia"/>
          <w:sz w:val="24"/>
          <w:szCs w:val="24"/>
          <w:lang w:val="en-US" w:eastAsia="zh-CN"/>
        </w:rPr>
        <w:t>文件IO的内核缓冲：内核缓冲区高速缓存（kernel buffer cache）：read或read系统调用在操作磁盘的时候，不会直接发起磁盘访问，而是仅仅在用户空间缓冲区和内核缓冲区高速缓存之间进行数据交换。现在，操作系统不会单独维护一个缓冲区高速缓存，而是将其置于页面中。</w:t>
      </w:r>
    </w:p>
    <w:p>
      <w:pPr>
        <w:numPr>
          <w:ilvl w:val="0"/>
          <w:numId w:val="1"/>
        </w:numPr>
        <w:jc w:val="both"/>
        <w:rPr>
          <w:rFonts w:hint="default"/>
          <w:sz w:val="24"/>
          <w:szCs w:val="24"/>
          <w:lang w:val="en-US" w:eastAsia="zh-CN"/>
        </w:rPr>
      </w:pPr>
      <w:r>
        <w:rPr>
          <w:rFonts w:hint="eastAsia"/>
          <w:sz w:val="24"/>
          <w:szCs w:val="24"/>
          <w:lang w:val="en-US" w:eastAsia="zh-CN"/>
        </w:rPr>
        <w:t>缓冲区大小对IO系统调用性能的影响：</w:t>
      </w:r>
    </w:p>
    <w:p>
      <w:pPr>
        <w:numPr>
          <w:ilvl w:val="0"/>
          <w:numId w:val="0"/>
        </w:numPr>
        <w:jc w:val="both"/>
      </w:pPr>
      <w:r>
        <w:drawing>
          <wp:inline distT="0" distB="0" distL="114300" distR="114300">
            <wp:extent cx="5273675" cy="381635"/>
            <wp:effectExtent l="0" t="0" r="317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8163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通过实验，write系统调用返回时，尚未将内容复制到磁盘，所以，复制文件大部分时间花费在read读取文件上面。</w:t>
      </w:r>
    </w:p>
    <w:p>
      <w:pPr>
        <w:numPr>
          <w:ilvl w:val="0"/>
          <w:numId w:val="1"/>
        </w:numPr>
        <w:jc w:val="both"/>
        <w:rPr>
          <w:rFonts w:hint="default"/>
          <w:sz w:val="24"/>
          <w:szCs w:val="24"/>
          <w:lang w:val="en-US" w:eastAsia="zh-CN"/>
        </w:rPr>
      </w:pPr>
      <w:r>
        <w:rPr>
          <w:rFonts w:hint="eastAsia"/>
          <w:sz w:val="24"/>
          <w:szCs w:val="24"/>
          <w:lang w:val="en-US" w:eastAsia="zh-CN"/>
        </w:rPr>
        <w:t>Stdio库缓冲：缓冲类型有三种：完全不缓冲，行缓冲，块缓冲。使用一些函数可以调整用户缓冲，从而减少write和read的调用次数。</w:t>
      </w:r>
    </w:p>
    <w:p>
      <w:pPr>
        <w:numPr>
          <w:ilvl w:val="0"/>
          <w:numId w:val="0"/>
        </w:numPr>
        <w:jc w:val="both"/>
      </w:pPr>
      <w:r>
        <w:drawing>
          <wp:inline distT="0" distB="0" distL="114300" distR="114300">
            <wp:extent cx="5273040" cy="948055"/>
            <wp:effectExtent l="0" t="0" r="381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948055"/>
                    </a:xfrm>
                    <a:prstGeom prst="rect">
                      <a:avLst/>
                    </a:prstGeom>
                    <a:noFill/>
                    <a:ln>
                      <a:noFill/>
                    </a:ln>
                  </pic:spPr>
                </pic:pic>
              </a:graphicData>
            </a:graphic>
          </wp:inline>
        </w:drawing>
      </w:r>
    </w:p>
    <w:p>
      <w:pPr>
        <w:numPr>
          <w:ilvl w:val="0"/>
          <w:numId w:val="0"/>
        </w:numPr>
        <w:jc w:val="both"/>
      </w:pPr>
      <w:r>
        <w:drawing>
          <wp:inline distT="0" distB="0" distL="114300" distR="114300">
            <wp:extent cx="5264785" cy="2757805"/>
            <wp:effectExtent l="0" t="0" r="1206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4785" cy="2757805"/>
                    </a:xfrm>
                    <a:prstGeom prst="rect">
                      <a:avLst/>
                    </a:prstGeom>
                    <a:noFill/>
                    <a:ln>
                      <a:noFill/>
                    </a:ln>
                  </pic:spPr>
                </pic:pic>
              </a:graphicData>
            </a:graphic>
          </wp:inline>
        </w:drawing>
      </w:r>
    </w:p>
    <w:p>
      <w:pPr>
        <w:numPr>
          <w:ilvl w:val="0"/>
          <w:numId w:val="0"/>
        </w:numPr>
        <w:jc w:val="both"/>
      </w:pPr>
      <w:r>
        <w:drawing>
          <wp:inline distT="0" distB="0" distL="114300" distR="114300">
            <wp:extent cx="5264785" cy="1943100"/>
            <wp:effectExtent l="0" t="0" r="1206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4785" cy="194310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刷新stdio缓冲区：</w:t>
      </w:r>
    </w:p>
    <w:p>
      <w:pPr>
        <w:numPr>
          <w:ilvl w:val="0"/>
          <w:numId w:val="0"/>
        </w:numPr>
        <w:jc w:val="both"/>
      </w:pPr>
      <w:r>
        <w:drawing>
          <wp:inline distT="0" distB="0" distL="114300" distR="114300">
            <wp:extent cx="5273675" cy="953135"/>
            <wp:effectExtent l="0" t="0" r="3175" b="184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3675" cy="953135"/>
                    </a:xfrm>
                    <a:prstGeom prst="rect">
                      <a:avLst/>
                    </a:prstGeom>
                    <a:noFill/>
                    <a:ln>
                      <a:noFill/>
                    </a:ln>
                  </pic:spPr>
                </pic:pic>
              </a:graphicData>
            </a:graphic>
          </wp:inline>
        </w:drawing>
      </w:r>
    </w:p>
    <w:p>
      <w:pPr>
        <w:numPr>
          <w:ilvl w:val="0"/>
          <w:numId w:val="1"/>
        </w:numPr>
        <w:jc w:val="both"/>
        <w:rPr>
          <w:rFonts w:hint="default"/>
          <w:sz w:val="24"/>
          <w:szCs w:val="24"/>
          <w:lang w:val="en-US" w:eastAsia="zh-CN"/>
        </w:rPr>
      </w:pPr>
      <w:r>
        <w:rPr>
          <w:rFonts w:hint="eastAsia"/>
          <w:sz w:val="24"/>
          <w:szCs w:val="24"/>
          <w:lang w:val="en-US" w:eastAsia="zh-CN"/>
        </w:rPr>
        <w:t>控制文件IO内核缓冲</w:t>
      </w:r>
    </w:p>
    <w:p>
      <w:pPr>
        <w:numPr>
          <w:ilvl w:val="0"/>
          <w:numId w:val="0"/>
        </w:numPr>
        <w:jc w:val="both"/>
        <w:rPr>
          <w:rFonts w:hint="eastAsia"/>
          <w:sz w:val="24"/>
          <w:szCs w:val="24"/>
          <w:lang w:val="en-US" w:eastAsia="zh-CN"/>
        </w:rPr>
      </w:pPr>
      <w:r>
        <w:rPr>
          <w:rFonts w:hint="eastAsia"/>
          <w:sz w:val="24"/>
          <w:szCs w:val="24"/>
          <w:lang w:val="en-US" w:eastAsia="zh-CN"/>
        </w:rPr>
        <w:t>定义：同步IO数据完整性和同步IO文件完整性：区别在于数据写入磁盘后是否立即更新文件元数据。</w:t>
      </w:r>
    </w:p>
    <w:p>
      <w:pPr>
        <w:numPr>
          <w:ilvl w:val="0"/>
          <w:numId w:val="0"/>
        </w:numPr>
        <w:jc w:val="both"/>
      </w:pPr>
      <w:r>
        <w:drawing>
          <wp:inline distT="0" distB="0" distL="114300" distR="114300">
            <wp:extent cx="5271135" cy="1572895"/>
            <wp:effectExtent l="0" t="0" r="571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135" cy="1572895"/>
                    </a:xfrm>
                    <a:prstGeom prst="rect">
                      <a:avLst/>
                    </a:prstGeom>
                    <a:noFill/>
                    <a:ln>
                      <a:noFill/>
                    </a:ln>
                  </pic:spPr>
                </pic:pic>
              </a:graphicData>
            </a:graphic>
          </wp:inline>
        </w:drawing>
      </w:r>
    </w:p>
    <w:p>
      <w:pPr>
        <w:numPr>
          <w:ilvl w:val="0"/>
          <w:numId w:val="0"/>
        </w:numPr>
        <w:jc w:val="both"/>
      </w:pPr>
      <w:r>
        <w:drawing>
          <wp:inline distT="0" distB="0" distL="114300" distR="114300">
            <wp:extent cx="5272405" cy="3083560"/>
            <wp:effectExtent l="0" t="0" r="4445"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2405" cy="308356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对性能要求极高的，fdatasync调用比fsync要好。</w:t>
      </w:r>
    </w:p>
    <w:p>
      <w:pPr>
        <w:numPr>
          <w:ilvl w:val="0"/>
          <w:numId w:val="0"/>
        </w:numPr>
        <w:jc w:val="both"/>
      </w:pPr>
      <w:r>
        <w:drawing>
          <wp:inline distT="0" distB="0" distL="114300" distR="114300">
            <wp:extent cx="5271135" cy="1027430"/>
            <wp:effectExtent l="0" t="0" r="571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1135" cy="1027430"/>
                    </a:xfrm>
                    <a:prstGeom prst="rect">
                      <a:avLst/>
                    </a:prstGeom>
                    <a:noFill/>
                    <a:ln>
                      <a:noFill/>
                    </a:ln>
                  </pic:spPr>
                </pic:pic>
              </a:graphicData>
            </a:graphic>
          </wp:inline>
        </w:drawing>
      </w:r>
    </w:p>
    <w:p>
      <w:pPr>
        <w:numPr>
          <w:ilvl w:val="0"/>
          <w:numId w:val="0"/>
        </w:numPr>
        <w:jc w:val="both"/>
      </w:pPr>
      <w:r>
        <w:drawing>
          <wp:inline distT="0" distB="0" distL="114300" distR="114300">
            <wp:extent cx="5266055" cy="1188720"/>
            <wp:effectExtent l="0" t="0" r="1079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6055" cy="1188720"/>
                    </a:xfrm>
                    <a:prstGeom prst="rect">
                      <a:avLst/>
                    </a:prstGeom>
                    <a:noFill/>
                    <a:ln>
                      <a:noFill/>
                    </a:ln>
                  </pic:spPr>
                </pic:pic>
              </a:graphicData>
            </a:graphic>
          </wp:inline>
        </w:drawing>
      </w:r>
    </w:p>
    <w:p>
      <w:pPr>
        <w:numPr>
          <w:ilvl w:val="0"/>
          <w:numId w:val="1"/>
        </w:numPr>
        <w:jc w:val="both"/>
        <w:rPr>
          <w:rFonts w:hint="default"/>
          <w:sz w:val="24"/>
          <w:szCs w:val="24"/>
          <w:lang w:val="en-US" w:eastAsia="zh-CN"/>
        </w:rPr>
      </w:pPr>
      <w:r>
        <w:rPr>
          <w:rFonts w:hint="eastAsia"/>
          <w:sz w:val="24"/>
          <w:szCs w:val="24"/>
          <w:lang w:val="en-US" w:eastAsia="zh-CN"/>
        </w:rPr>
        <w:t>IO缓冲小结</w:t>
      </w:r>
    </w:p>
    <w:p>
      <w:pPr>
        <w:numPr>
          <w:ilvl w:val="0"/>
          <w:numId w:val="0"/>
        </w:numPr>
        <w:jc w:val="both"/>
      </w:pPr>
      <w:r>
        <w:drawing>
          <wp:inline distT="0" distB="0" distL="114300" distR="114300">
            <wp:extent cx="5265420" cy="4850130"/>
            <wp:effectExtent l="0" t="0" r="1143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5420" cy="4850130"/>
                    </a:xfrm>
                    <a:prstGeom prst="rect">
                      <a:avLst/>
                    </a:prstGeom>
                    <a:noFill/>
                    <a:ln>
                      <a:noFill/>
                    </a:ln>
                  </pic:spPr>
                </pic:pic>
              </a:graphicData>
            </a:graphic>
          </wp:inline>
        </w:drawing>
      </w:r>
    </w:p>
    <w:p>
      <w:pPr>
        <w:numPr>
          <w:ilvl w:val="0"/>
          <w:numId w:val="1"/>
        </w:numPr>
        <w:jc w:val="both"/>
        <w:rPr>
          <w:rFonts w:hint="default"/>
          <w:sz w:val="24"/>
          <w:szCs w:val="24"/>
          <w:lang w:val="en-US" w:eastAsia="zh-CN"/>
        </w:rPr>
      </w:pPr>
      <w:r>
        <w:rPr>
          <w:rFonts w:hint="eastAsia"/>
          <w:sz w:val="24"/>
          <w:szCs w:val="24"/>
          <w:lang w:val="en-US" w:eastAsia="zh-CN"/>
        </w:rPr>
        <w:t>就IO模式向内核提出建议：（个人想法，应该是针对内核缓冲区的预读取相关）：</w:t>
      </w:r>
    </w:p>
    <w:p>
      <w:pPr>
        <w:numPr>
          <w:numId w:val="0"/>
        </w:numPr>
        <w:jc w:val="both"/>
      </w:pPr>
      <w:r>
        <w:drawing>
          <wp:inline distT="0" distB="0" distL="114300" distR="114300">
            <wp:extent cx="5269865" cy="1302385"/>
            <wp:effectExtent l="0" t="0" r="698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69865" cy="1302385"/>
                    </a:xfrm>
                    <a:prstGeom prst="rect">
                      <a:avLst/>
                    </a:prstGeom>
                    <a:noFill/>
                    <a:ln>
                      <a:noFill/>
                    </a:ln>
                  </pic:spPr>
                </pic:pic>
              </a:graphicData>
            </a:graphic>
          </wp:inline>
        </w:drawing>
      </w:r>
    </w:p>
    <w:p>
      <w:pPr>
        <w:numPr>
          <w:ilvl w:val="0"/>
          <w:numId w:val="1"/>
        </w:numPr>
        <w:jc w:val="both"/>
        <w:rPr>
          <w:rFonts w:hint="default"/>
          <w:sz w:val="24"/>
          <w:szCs w:val="24"/>
          <w:lang w:val="en-US" w:eastAsia="zh-CN"/>
        </w:rPr>
      </w:pPr>
      <w:r>
        <w:rPr>
          <w:rFonts w:hint="eastAsia"/>
          <w:sz w:val="24"/>
          <w:szCs w:val="24"/>
          <w:lang w:val="en-US" w:eastAsia="zh-CN"/>
        </w:rPr>
        <w:t>绕过缓冲区高速缓存：直接IO：</w:t>
      </w:r>
    </w:p>
    <w:p>
      <w:pPr>
        <w:numPr>
          <w:numId w:val="0"/>
        </w:numPr>
        <w:jc w:val="both"/>
        <w:rPr>
          <w:rFonts w:hint="eastAsia"/>
          <w:sz w:val="24"/>
          <w:szCs w:val="24"/>
          <w:lang w:val="en-US" w:eastAsia="zh-CN"/>
        </w:rPr>
      </w:pPr>
      <w:r>
        <w:rPr>
          <w:rFonts w:hint="eastAsia"/>
          <w:sz w:val="24"/>
          <w:szCs w:val="24"/>
          <w:lang w:val="en-US" w:eastAsia="zh-CN"/>
        </w:rPr>
        <w:t>Open函数的O_DIRECT模式</w:t>
      </w:r>
    </w:p>
    <w:p>
      <w:pPr>
        <w:numPr>
          <w:numId w:val="0"/>
        </w:numPr>
        <w:jc w:val="both"/>
        <w:rPr>
          <w:rFonts w:hint="eastAsia"/>
          <w:sz w:val="24"/>
          <w:szCs w:val="24"/>
          <w:lang w:val="en-US" w:eastAsia="zh-CN"/>
        </w:rPr>
      </w:pPr>
      <w:r>
        <w:rPr>
          <w:rFonts w:hint="eastAsia"/>
          <w:sz w:val="24"/>
          <w:szCs w:val="24"/>
          <w:lang w:val="en-US" w:eastAsia="zh-CN"/>
        </w:rPr>
        <w:t>限制：</w:t>
      </w:r>
    </w:p>
    <w:p>
      <w:pPr>
        <w:numPr>
          <w:numId w:val="0"/>
        </w:numPr>
        <w:jc w:val="both"/>
      </w:pPr>
      <w:r>
        <w:drawing>
          <wp:inline distT="0" distB="0" distL="114300" distR="114300">
            <wp:extent cx="5273675" cy="1203960"/>
            <wp:effectExtent l="0" t="0" r="3175"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3675" cy="1203960"/>
                    </a:xfrm>
                    <a:prstGeom prst="rect">
                      <a:avLst/>
                    </a:prstGeom>
                    <a:noFill/>
                    <a:ln>
                      <a:noFill/>
                    </a:ln>
                  </pic:spPr>
                </pic:pic>
              </a:graphicData>
            </a:graphic>
          </wp:inline>
        </w:drawing>
      </w:r>
    </w:p>
    <w:p>
      <w:pPr>
        <w:numPr>
          <w:ilvl w:val="0"/>
          <w:numId w:val="1"/>
        </w:numPr>
        <w:jc w:val="both"/>
        <w:rPr>
          <w:rFonts w:hint="default"/>
          <w:sz w:val="24"/>
          <w:szCs w:val="24"/>
          <w:lang w:val="en-US" w:eastAsia="zh-CN"/>
        </w:rPr>
      </w:pPr>
      <w:r>
        <w:rPr>
          <w:rFonts w:hint="eastAsia"/>
          <w:sz w:val="24"/>
          <w:szCs w:val="24"/>
          <w:lang w:val="en-US" w:eastAsia="zh-CN"/>
        </w:rPr>
        <w:t>混合使用库函数和系统调用：</w:t>
      </w:r>
    </w:p>
    <w:p>
      <w:pPr>
        <w:numPr>
          <w:numId w:val="0"/>
        </w:numPr>
        <w:jc w:val="both"/>
        <w:rPr>
          <w:rFonts w:hint="default"/>
          <w:sz w:val="24"/>
          <w:szCs w:val="24"/>
          <w:lang w:val="en-US" w:eastAsia="zh-CN"/>
        </w:rPr>
      </w:pPr>
      <w:r>
        <w:drawing>
          <wp:inline distT="0" distB="0" distL="114300" distR="114300">
            <wp:extent cx="5265420" cy="1403350"/>
            <wp:effectExtent l="0" t="0" r="1143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65420" cy="14033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7E22AC"/>
    <w:multiLevelType w:val="singleLevel"/>
    <w:tmpl w:val="D77E22A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8C0482"/>
    <w:rsid w:val="2067274F"/>
    <w:rsid w:val="226A5B02"/>
    <w:rsid w:val="22F85488"/>
    <w:rsid w:val="298B4F39"/>
    <w:rsid w:val="2F0D72E0"/>
    <w:rsid w:val="32147FBE"/>
    <w:rsid w:val="391925DE"/>
    <w:rsid w:val="3A307246"/>
    <w:rsid w:val="3A592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1072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2020-05-13T09:35:39Z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