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Route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实例化think/route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实例化domain extends rulegroup extends rule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$this-&gt;group = new 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Think/route-&gt;get(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think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,closure)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group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,closure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router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(think/route实例)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domain实例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null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（‘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’）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closure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(get)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$pattern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eastAsia="zh-CN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RuleItem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ruleitem是每次都实例化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setRule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-&gt;setRuleName()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//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设置路由标识 用于URL反解生成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Container::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get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'rule_name'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rulename是单例模式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RuleName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public 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-&gt;getDomain()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localhost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-&gt;getMethod()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get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ruleitem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(rulename里有ruleitem)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rulegroup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$this-&gt;rules[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get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][] = $ruleitem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}(domain/group里面有ruleitem)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Route::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'trace'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'index/index/testTrace'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'GET'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)-&gt;middleware(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'Auth:bigGuy'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public function </w:t>
      </w:r>
      <w:r>
        <w:rPr>
          <w:rFonts w:hint="eastAsia" w:cs="宋体"/>
          <w:b/>
          <w:color w:val="000080"/>
          <w:sz w:val="36"/>
          <w:szCs w:val="36"/>
          <w:shd w:val="clear" w:fill="F7FAFF"/>
          <w:lang w:val="en-US" w:eastAsia="zh-CN"/>
        </w:rPr>
        <w:t>think\route\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group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-&gt;addRule(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trace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,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index/index/testTrace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,get)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$ruleItem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router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(think/route实例)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(domain实例)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index/index/testTrace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(trace)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index/index/testTrace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(get)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$pattern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生成路由标识的快捷访问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-&gt;setRuleName();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$value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= 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$vars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parent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-&gt;getDomain(),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$suffix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Container::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get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'rule_name'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)-&gt;set(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$first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注：name=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index/index/testTrace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Value=[trace,0,localhost]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Container::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get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'rule_name'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(trace)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-&gt;getDomain()][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-&gt;getMethod()]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(domain)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(domain)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返回ruleitem实例化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总结一下：每次实例化RuleItem（非单例，一个ruleitem代表一个定义的rule规则）,然后实例化RuleName（单例）,调用setRule(trace,RuleItem实例),然后设置：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-&gt;getDomain()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localhost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’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trace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-&gt;getMethod()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get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即:domain里有RuleItem,RuleName里有RuleItem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Route:check()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Domain-&gt;check()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//插入中间件（这里是域名中间件）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Domain-&gt;getMethodRules();返回的就是上面那个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(domain)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然后调用item的check方法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检查分组路由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$rules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$key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-&gt;check(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$url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$completeMatch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ab/>
        <w:t>$item-&gt;checkrule();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-&gt;match(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$url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$completeMatch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检查是否匹配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解析路由规则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parseRule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发起路由调度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(如果是闭包函数，则执行之)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路由到模块/控制器/操作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-&gt;dispatchModule(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路由到模块/控制器/操作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new 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ModuleDispatch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ruleitem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, 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$module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$action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 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'convert'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false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Module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Dispatch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返回think\route\dispath\module extends dispath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调用init方法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在这里才调用中间件（查看一下中间件怎么添加的）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总结：通过getMethodRules返回各种rules，然后匹配，匹配成功返回dispath类，然后塞进中间件的队列$this-&gt;queue里面，最终实现方法。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下午看看controller方法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分析出类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App/index/controller/Index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并实例化，如果这个时候有中间件属性则注册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调用middleware-&gt;controller();增加一个控制器type中间件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然后再执行middleware-&gt;dispatch(request,type=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controller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返回数据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完成日志写入，等等功能。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drawing>
          <wp:inline distT="0" distB="0" distL="114300" distR="114300">
            <wp:extent cx="5272405" cy="21209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B7C79"/>
    <w:rsid w:val="46FA04A0"/>
    <w:rsid w:val="4D0E308F"/>
    <w:rsid w:val="5CE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2019-01-11T08:23:19Z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