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Route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实例化think/route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实例化domain extends rulegroup extends rule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$this-&gt;group = new 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Think/route-&gt;get(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,closure)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group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,closure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router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(think/route实例)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domain实例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null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（‘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’）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closure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(get)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$pattern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eastAsia="zh-CN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RuleItem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ruleitem是每次都实例化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setRule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-&gt;setRuleName()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//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设置路由标识 用于URL反解生成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Container::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get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rulename是单例模式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RuleName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public 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-&gt;getDomain()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localhost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think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-&gt;getMethod()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get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ruleitem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(rulename里有ruleitem)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rulegroup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$this-&gt;rules[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get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][] = $ruleitem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}(domain/group里面有ruleitem)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Route::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'trace'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'index/index/testTrace'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'GET'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)-&gt;middleware(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'Auth:bigGuy'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public function </w:t>
      </w:r>
      <w:r>
        <w:rPr>
          <w:rFonts w:hint="eastAsia" w:cs="宋体"/>
          <w:b/>
          <w:color w:val="000080"/>
          <w:sz w:val="36"/>
          <w:szCs w:val="36"/>
          <w:shd w:val="clear" w:fill="F7FAFF"/>
          <w:lang w:val="en-US" w:eastAsia="zh-CN"/>
        </w:rPr>
        <w:t>think\route\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group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-&gt;addRule(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trace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,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index/index/testTrace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,get)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$ruleItem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router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(think/route实例)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(domain实例)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index/index/testTrace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(trace)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index/index/testTrace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(get)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$pattern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生成路由标识的快捷访问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-&gt;setRuleName();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$value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= 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$vars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parent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-&gt;getDomain(),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$suffix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Container::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get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)-&gt;set(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$first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注：name=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index/index/testTrace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Value=[trace,0,localhost]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Container::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get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)-&gt;setRule(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(trace)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-&gt;getDomain()][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-&gt;getMethod()]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(domain)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-&gt;addRuleItem(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(domain)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返回ruleitem实例化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总结一下：每次实例化RuleItem（非单例，一个ruleitem代表一个定义的rule规则）,然后实例化RuleName（单例）,调用setRule(trace,RuleItem实例),然后设置：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-&gt;getDomain()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‘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localhost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’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trace</w:t>
      </w:r>
      <w:r>
        <w:rPr>
          <w:rFonts w:hint="default" w:cs="宋体"/>
          <w:color w:val="66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-&gt;getMethod()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get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(ruleItem)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即:domain里有RuleItem,RuleName里有RuleItem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Route:check()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Domain-&gt;check()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b/>
          <w:color w:val="008000"/>
          <w:sz w:val="36"/>
          <w:szCs w:val="36"/>
          <w:shd w:val="clear" w:fill="F7FAFF"/>
          <w:lang w:val="en-US" w:eastAsia="zh-CN"/>
        </w:rPr>
        <w:t>//插入中间件（这里是域名中间件）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Domain-&gt;getMethodRules();返回的就是上面那个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(domain)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rules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$rule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(item)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然后调用item的check方法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检查分组路由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$rules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$key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-&gt;check(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$url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$completeMatch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ab/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$item-&gt;checkrule();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-&gt;match(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$url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$completeMatch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检查是否匹配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解析路由规则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parseRule</w:t>
      </w:r>
      <w:r>
        <w:rPr>
          <w:rFonts w:hint="eastAsia" w:cs="宋体"/>
          <w:color w:val="000000"/>
          <w:sz w:val="36"/>
          <w:szCs w:val="36"/>
          <w:shd w:val="clear" w:fill="F7FAFF"/>
          <w:lang w:eastAsia="zh-CN"/>
        </w:rPr>
        <w:t>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发起路由调度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(如果是闭包函数，则执行之)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路由到模块/控制器/操作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-&gt;dispatchModule(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$route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t>// 路由到模块/控制器/操作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new 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ModuleDispatch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（</w:t>
      </w: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ruleitem</w:t>
      </w:r>
      <w:r>
        <w:rPr>
          <w:rFonts w:hint="eastAsia" w:cs="宋体"/>
          <w:color w:val="660000"/>
          <w:sz w:val="36"/>
          <w:szCs w:val="36"/>
          <w:shd w:val="clear" w:fill="F7FA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, 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$module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$action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 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'convert'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false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Module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Dispatch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返回think\route\dispath\module extends dispath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调用init方法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在这里才调用中间件（查看一下中间件怎么添加的）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总结：通过getMethodRules返回各种rules，然后匹配，匹配成功返回dispath类，然后塞进中间件的队列$this-&gt;queue里面，最终实现方法。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下午看看controller方法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分析出类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App/index/controller/Index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并实例化，如果这个时候有中间件属性则注册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调用middleware-&gt;controller();增加一个控制器type中间件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然后再执行middleware-&gt;dispatch(request,type=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controller</w:t>
      </w: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’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完成日志写入，等等功能。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drawing>
          <wp:inline distT="0" distB="0" distL="114300" distR="114300">
            <wp:extent cx="5272405" cy="21209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路由反解析：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Think/url:build()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里面调用了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$rule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app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'route'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]-&gt;getName(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$checkName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$checkDomain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即：think/route：getName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重点来了: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app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'rule_name'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]-&gt;get(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$domain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$method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Rulename::get()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返回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item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然后就是拼装url了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B7C79"/>
    <w:rsid w:val="3EA754F2"/>
    <w:rsid w:val="46FA04A0"/>
    <w:rsid w:val="4D0E308F"/>
    <w:rsid w:val="5CE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2019-01-14T08:44:29Z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