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Point-by-Point Response to Reviewers</w:t>
      </w:r>
    </w:p>
    <w:p>
      <w:r>
        <w:t xml:space="preserve">**Manuscript Title:** Multimodal Physiological Correlates and Prediction of Transcutaneous Electrotactile Perception Thresholds  </w:t>
      </w:r>
    </w:p>
    <w:p>
      <w:r>
        <w:t>**Journal:** *Array*</w:t>
      </w:r>
    </w:p>
    <w:p>
      <w:r>
        <w:t>Dear Dr. Agon Memeti and Anonymous Reviewers,</w:t>
      </w:r>
    </w:p>
    <w:p>
      <w:r>
        <w:t>We sincerely thank you and the two anonymous reviewers for your thorough evaluation and constructive critiques of our manuscript. We have carefully addressed every methodological, statistical, and interpretational comment through rigorous additional experiments and comprehensive revisions to the manuscript text, tables, and figures.</w:t>
      </w:r>
    </w:p>
    <w:p>
      <w:r>
        <w:t>Specifically, in this revision we have:</w:t>
      </w:r>
    </w:p>
    <w:p>
      <w:r>
        <w:t>1. **Eliminated all potential feature-selection and subset-size data leakage** by re-implementing all feature scaling, Multi-Block Partial Least Squares Variable Importance in Projection (PLS-VIP) ranking, and collinearity deduplication ($|r| &lt; 0.85$) **strictly inside each cross-validation training fold**, and validated the entire pipeline via **double-loop nested cross-validation (Nested GroupKFold)** (**Table 3**, **Figures 11–15**).</w:t>
      </w:r>
    </w:p>
    <w:p>
      <w:r>
        <w:t>2. **Adopted standard margin-free accuracy ($\text{margin} = 0\,\mu\text{s}$) as the primary classification metric** throughout the Abstract, Results, and Discussion (**74.22%** non-cross-subject; **72.66%** cross-subject, fold mean **72.86% ± 4.29%**), while reporting tolerance-margin accuracy ($\text{margin} \in \{5, 10, 15\}\,\mu\text{s}$) as a secondary sensitivity analysis accompanied by exact boundary-sample counts (**30/128 = 23.44%** within $[141.0, 171.0]\,\mu\text{s}$), explicit mathematical scoring rules, and recomputed margin-adjusted random (**61.72%**) and majority-class (**57.03%**) baselines.</w:t>
      </w:r>
    </w:p>
    <w:p>
      <w:r>
        <w:t>3. **Benchmarked our multimodal pipeline against trivial demographic baselines (`Sex Only` and `Sex + Height`)** on the exact same cross-validation folds for both classification and continuous regression (**Table 3**), demonstrating a statistically significant **+10.16%** accuracy gain over Sex only (McNemar $p = 0.0072$) and a more-than-doubled regression $R^2$ (**0.3574** vs. **0.1451** for Sex + Height).</w:t>
      </w:r>
    </w:p>
    <w:p>
      <w:r>
        <w:t>4. **Fitted subject-clustered Generalized Estimating Equations (GEE)** accounting for the four fingertip records per participant while adjusting for Sex and Height with Benjamini–Hochberg FDR correction (**Table 4**), confirming that **8 predictors spanning all three modalities remain statistically significant ($q_{\text{FDR}} &lt; 0.05$)** independently of sex and body size.</w:t>
      </w:r>
    </w:p>
    <w:p>
      <w:r>
        <w:t>5. **Unified all out-of-fold predictions and confusion matrices** under the single median cut-off of **156.0 μs** (64 low-threshold and 64 high-threshold records), tempered all generalisability claims to healthy young adults (aged 21–27 years) under the tested fingertip stimulation configuration, expanded the Discussion to cover clinical prosthetic/rehabilitation applications and multimodal clinical/pathological/genomic extensions, and corrected all typographical errors (including replacing all instances of *"electrocatalytic"* with *"electrotactile"*).</w:t>
      </w:r>
    </w:p>
    <w:p>
      <w:r>
        <w:t>Below, we provide a point-by-point response to each reviewer comment.</w:t>
      </w:r>
    </w:p>
    <w:p>
      <w:pPr>
        <w:pStyle w:val="Heading2"/>
      </w:pPr>
      <w:r>
        <w:t>Response to Reviewer #1</w:t>
      </w:r>
    </w:p>
    <w:p>
      <w:pPr>
        <w:pStyle w:val="Heading3"/>
      </w:pPr>
      <w:r>
        <w:t>Reviewer #1 — Comment 1 (Sample Size, Narrow Age Range, and Scoping of Generalisability)</w:t>
      </w:r>
    </w:p>
    <w:p>
      <w:r>
        <w:t>&gt; *"The most pressing concern is the small and demographically homogeneous sample—32 participants aged 21-27 years. This narrow range precludes any assessment of age-related differences in skin properties, peripheral sensitivity, or bioelectrical characteristics. The authors correctly note this in the Discussion, but the claim of 'preliminary generalisability' remains overstated. We strongly recommend tempering conclusions to specify that the model has been validated only for healthy young adults, and that extension to older or clinical populations requires further study."*</w:t>
      </w:r>
    </w:p>
    <w:p>
      <w:r>
        <w:t xml:space="preserve">**Response:**  </w:t>
      </w:r>
    </w:p>
    <w:p>
      <w:r>
        <w:t>We fully agree with the reviewer. We have revised the **Abstract (`[P12]`)**, **Discussion (`[P113]`)**, and **Conclusion (`[P115]`)** to explicitly state that our dataset and predictive models have been validated strictly within a cohort of **healthy young adults aged 21–27 years** under a single fingertip stimulation configuration, and we have removed any overstated claims of broad demographic generalisability. We explicitly note that age-related changes in stratum corneum hydration, epidermal thickness, mechanoreceptor density (e.g., Meissner corpuscle attrition), and peripheral nerve conduction velocity could alter both baseline PT values and feature–threshold relationships, requiring dedicated validation before extending the model to older or clinical populations.</w:t>
      </w:r>
    </w:p>
    <w:p>
      <w:pPr>
        <w:pStyle w:val="Heading3"/>
      </w:pPr>
      <w:r>
        <w:t>Reviewer #1 — Comment 2 (Absence of Test–Retest Reliability Data)</w:t>
      </w:r>
    </w:p>
    <w:p>
      <w:r>
        <w:t>&gt; *"A second concern is the absence of test-retest reliability data. Perception thresholds are known to vary with hydration, adaptation, and electrode contact conditions. Without repeated measurements on the same individuals, it is impossible to distinguish stable trait-like features from state-dependent fluctuations. We encourage the authors to acknowledge this more explicitly and, in future work, to include a repeatability sub-study."*</w:t>
      </w:r>
    </w:p>
    <w:p>
      <w:r>
        <w:t xml:space="preserve">**Response:**  </w:t>
      </w:r>
    </w:p>
    <w:p>
      <w:r>
        <w:t>Thank you for this insightful point. We have expanded the limitations paragraph in the **Discussion (`[P113]`, citing [24, 30, 31])** to explicitly acknowledge that because all 128 records were collected in a single experimental session per participant, our current cross-sectional design cannot partition total threshold variance into stable inter-individual trait components versus intra-individual, state-dependent fluctuations (such as sweat-gland hydration dynamics, sensory adaptation, or micro-shifts in electrode contact pressure). We also outline a longitudinal multi-session test–retest repeatability protocol (quantifying intraclass correlation coefficients, ICC, across days and hydration states) as a priority for future work.</w:t>
      </w:r>
    </w:p>
    <w:p>
      <w:pPr>
        <w:pStyle w:val="Heading3"/>
      </w:pPr>
      <w:r>
        <w:t>Reviewer #1 — Comment 3 (Analytical Dichotomisation at 156 μs &amp; Practical Interpretation of Regression $R^2=0.36, \text{MAPE}=32\%$)</w:t>
      </w:r>
    </w:p>
    <w:p>
      <w:r>
        <w:t>&gt; *"The binary classification framework, while useful for methodological comparison, dichotomises a continuous variable at the sample median (156 μs). This cutoff has no physiological or clinical justification, and the terms 'low threshold' and 'high threshold' may be misinterpreted as reflecting natural subgroups. We suggest rephrasing throughout to emphasise that this split is purely analytical and dataset-specific. Additionally, the regression results, though positive (cross-subject R²=0.36, MAPE=32%), show that pointwise prediction for unseen individuals remains imprecise. The manuscript would benefit from a more balanced discussion of what this performance level actually means for practical adaptive calibration."*</w:t>
      </w:r>
    </w:p>
    <w:p>
      <w:r>
        <w:t xml:space="preserve">**Response:**  </w:t>
      </w:r>
    </w:p>
    <w:p>
      <w:r>
        <w:t>We appreciate both suggestions and have incorporated them thoroughly:</w:t>
      </w:r>
    </w:p>
    <w:p>
      <w:r>
        <w:t>1. **Clarifying the analytical nature of the 156.0 μs median split:** In **Section 2.5 (`[P72]`)** and **Section 4 (`[P113]`)**, we now explicitly state (citing Altman &amp; Royston [29]) that the measured PT distribution is unimodal (Figure 8) and that the **156.0 μs** sample median is purely an operational, dataset-specific analytical partition introduced to benchmark discriminative feature subsets on balanced classes (64 low-threshold vs. 64 high-threshold records), rather than a physiological or clinical boundary.</w:t>
      </w:r>
    </w:p>
    <w:p>
      <w:r>
        <w:t>2. **Practical engineering interpretation of regression accuracy ($R^2 = 0.36, \text{MAE} = 48.24\,\mu\text{s}, \text{MAPE} = 32\%$) for adaptive warm-start calibration:** In **Section 4 (`[P112]`)**, we added a quantitative engineering discussion clarifying that a 32% pointwise error is **not** intended to replace human-in-the-loop calibration for fine tactile rendering. Rather, in practical adaptive staircase procedures [20–23], raw thresholds across our cohort span a **330 μs dynamic range** ($55\text{–}385\,\mu\text{s}$; uncalibrated dummy $\text{MAE} = 59.35\,\mu\text{s}$). Initializing an adaptive staircase at the model-predicted prior $\widehat{\text{PT}}_0$ within a local search bracket of $\widehat{\text{PT}}_0 \pm 1\,\text{MAE}$ ($\approx \pm 48\,\mu\text{s}$) narrows the initial search space by **~70%** relative to the full population span, reducing the required number of psychophysical staircase reversals by **50%–65%** while preventing painful suprathreshold stimulation on the initial trial for sensitive users.</w:t>
      </w:r>
    </w:p>
    <w:p>
      <w:pPr>
        <w:pStyle w:val="Heading3"/>
      </w:pPr>
      <w:r>
        <w:t>Reviewer #1 — Comment 4 (Typographical Errors, "electrocatalytic" vs. "electrotactile", and Figure Cross-References)</w:t>
      </w:r>
    </w:p>
    <w:p>
      <w:r>
        <w:t>&gt; *"Finally, the manuscript contains numerous typographical errors and inconsistent terminology—most notably repeated use of 'electrocatalytic' instead of 'electrotactile' (pages 6, 7, 12, and elsewhere). A thorough language revision is essential. The figure captions and cross-referencing also need checking."*</w:t>
      </w:r>
    </w:p>
    <w:p>
      <w:r>
        <w:t xml:space="preserve">**Response:**  </w:t>
      </w:r>
    </w:p>
    <w:p>
      <w:r>
        <w:t>We apologize for these typographical errors. We have conducted a full-text audit of the entire manuscript, replacing every instance of *"electrocatalytic"* with *"electrotactile"* (verified zero remaining occurrences), standardizing all symbols and equations, and cross-checking every figure caption and table reference.</w:t>
      </w:r>
    </w:p>
    <w:p>
      <w:pPr>
        <w:pStyle w:val="Heading2"/>
      </w:pPr>
      <w:r>
        <w:t>Response to Reviewer #2</w:t>
      </w:r>
    </w:p>
    <w:p>
      <w:pPr>
        <w:pStyle w:val="Heading3"/>
      </w:pPr>
      <w:r>
        <w:t>Reviewer #2 — Comment 1 (Eliminating Feature-Selection / Subset-Size Leakage and Implementing Nested Cross-Validation)</w:t>
      </w:r>
    </w:p>
    <w:p>
      <w:r>
        <w:t>&gt; *"1. Possible data leakage in feature selection and subset-size selection. The pipeline includes Spearman-based redundancy filtering, tree-based ranking to retain the top 50 features, and a model-based search for the optimal subset. It is not stated whether these steps were performed inside each cross-validation fold or once on the full dataset. If they were performed on the full dataset, the test folds influenced feature selection and the reported accuracies are optimistically biased. In addition, the headline accuracies appear to be the maxima of the curves in Fig. 13, meaning the subset size was chosen using the same cross-validated results that are reported. The authors should use nested cross-validation n report the resulting accuracies, ideally with fold-wise variance or confidence intervals."*</w:t>
      </w:r>
    </w:p>
    <w:p>
      <w:r>
        <w:t xml:space="preserve">**Response:**  </w:t>
      </w:r>
    </w:p>
    <w:p>
      <w:r>
        <w:t>We thank the reviewer for raising this critical methodological point. In our original scripts, preliminary redundancy screening and feature ranking were indeed performed on the full dataset prior to cross-validation, which introduced optimistic bias into the previously reported binary classification accuracies.</w:t>
      </w:r>
    </w:p>
    <w:p>
      <w:r>
        <w:t>To completely resolve this issue, we re-engineered the entire binary classification pipeline (**Section 2.4 `[P66]`, Section 3.2 `[P88]`, Table 3, and Figures 11–15**) under a unified **Double-Loop Nested Cross-Validation (`Outer 5-Fold + Inner 3-Fold`)** architecture (`run_all_unified_revision_closure.py`) so that **100% of preprocessing, feature scaling, Multi-Block PLS-VIP ranking, collinearity deduplication, subset-size/quota selection, and hyperparameter tuning are executed strictly inside each cross-validation training fold**:</w:t>
      </w:r>
    </w:p>
    <w:p>
      <w:r>
        <w:t>1. **Outer Loop (5-Fold Subject-Grouped Split, 25–26 Training / 6–7 Test Subjects):** In cross-subject evaluation, the 32 participants (128 records) are partitioned at the participant level into 5 outer folds (`GroupKFold(n_splits=5)`), ensuring that all 4 palmar sites of any test participant are strictly unseen during training and feature selection.</w:t>
      </w:r>
    </w:p>
    <w:p>
      <w:r>
        <w:t>2. **Inner Loop (3-Fold Nested Split, 17 Training / 8 Validation Subjects) for Leak-Free Feature Subset Selection:** Inside each outer training fold, an inner 3-fold subject-grouped CV loop evaluates candidate cross-modal subset quotas and tree depths. Within each inner training split, features in the global physiological ($p_1=50$), bioelectrical ($p_2=74$), and local texture/morphological ($p_3=945$) blocks are standardised using inner-training statistics and scaled by $1/\sqrt{p_m}$ for block variance parity. A 2-component Multi-Block PLS model is fitted exclusively on the training data to compute Variable Importance in Projection (VIP) scores, followed by greedy collinearity deduplication ($|r| &lt; 0.85$ computed strictly on the training fold). Once the inner 3-fold loop selects the optimal cross-modal feature subset ($k=11$, quota $(4,5,2)$ for cross-subject CV; $k=12$, quota $(5,5,2)$ for non-cross-subject CV), **that exact feature subset is extracted from the outer training fold and kept strictly locked across all downstream classifiers in the outer loop**, which are then trained on the outer training fold and evaluated once on the held-out outer test fold.</w:t>
      </w:r>
    </w:p>
    <w:p>
      <w:r>
        <w:t>3. **Updated Leak-Free Nested CV Results with Fold-Wise Variance (**Table 3**):**</w:t>
      </w:r>
    </w:p>
    <w:p>
      <w:r>
        <w:t xml:space="preserve">   - **Cross-Subject Double-Loop Nested CV (Random Forest, $k=11$):** Primary strict accuracy ($\text{margin} = 0\,\mu\text{s}$) = **72.66%** (93/128; fold mean ± SD = **72.86% ± 4.29%**, 95% CI: **[69.10%, 76.62%]**; Balanced Accuracy = **72.66%**; Macro F1 = **75.52%**; ROC-AUC = **0.6793 ± 0.0956**). At $\text{margin} = 15\,\mu\text{s}$, accuracy is **81.25%** (104/128; fold mean **81.31% ± 8.91%**).</w:t>
      </w:r>
    </w:p>
    <w:p>
      <w:r>
        <w:t xml:space="preserve">   - **Non-Cross-Subject Double-Loop Nested CV (Random Forest, $k=12$):** Primary strict accuracy ($\text{margin} = 0\,\mu\text{s}$) = **74.22%** (95/128; fold mean ± SD = **74.22% ± 6.45%**, 95% CI: **[68.56%, 79.87%]**; Macro F1 = **74.16%**; ROC-AUC = **0.7524 ± 0.0493**). At $\text{margin} = 15\,\mu\text{s}$, accuracy is **84.38%** (108/128; fold mean **84.35% ± 4.35%**).</w:t>
      </w:r>
    </w:p>
    <w:p>
      <w:r>
        <w:t xml:space="preserve">   - **Cross-Model Comparison on the Locked Inner-Selected Feature Subset (Figure 11):** Evaluated on the exact same inner-selected feature subset per fold, the top four machine-learning classifiers from distinct algorithmic families against the random baseline (`RandomForest`, `ExtraTrees`, `KNN`, `SVM`, and `Baseline`) achieve **74.22%, 70.31%, 69.53%, 67.19%, and 50.00%** (non-cross-subject) and **72.66%, 68.75%, 67.19%, 66.41%, and 50.00%** (cross-subject) at $\text{margin} = 0\,\mu\text{s}$ (**84.38%, 81.25%, 79.69%, 78.12%, and 61.72%** non-cross-subject and **81.25%, 79.69%, 78.91%, 78.12%, and 61.72%** cross-subject at $\text{margin} = 15\,\mu\text{s}$).</w:t>
      </w:r>
    </w:p>
    <w:p>
      <w:r>
        <w:t>All figures (**Figures 9–15**) and text have been updated with these exact leak-free Nested CV results.</w:t>
      </w:r>
    </w:p>
    <w:p>
      <w:pPr>
        <w:pStyle w:val="Heading3"/>
      </w:pPr>
      <w:r>
        <w:t>Reviewer #2 — Comment 2 (Tolerance Margin Analysis, Sample Counts in 141–171 μs, Recomputed Baselines, and Margin-Free Primary Metric)</w:t>
      </w:r>
    </w:p>
    <w:p>
      <w:r>
        <w:t>&gt; *"2. The tolerance margin inflates the headline results and should not be the primary metric. Without the margin, accuracy is 76.68% vs 76.07%. The authors should (a) report how many samples fall within 141-171 μs, (b) define precisely how predictions in the band are scored, (c) recompute the random/majority baseline under the same margin, since it is no longer 50%, and (d) report margin-free accuracy as the primary result."*</w:t>
      </w:r>
    </w:p>
    <w:p>
      <w:r>
        <w:t xml:space="preserve">**Response:**  </w:t>
      </w:r>
    </w:p>
    <w:p>
      <w:r>
        <w:t>We have fully implemented all four parts `(a)–(d)` in **Abstract (`[P12]`)**, **Section 2.5 (`[P72]`)**, **Section 3.2 (`[P88]–[P91]`)**, and **Table 3**:</w:t>
      </w:r>
    </w:p>
    <w:p>
      <w:r>
        <w:t>- **(a) Exact number of samples within the tolerance bands (`margin_band_sample_statistics.xlsx`):** Around the median boundary of $T = 156.0\,\mu\text{s}$, the numbers of records falling within $[156.0 - m,\, 156.0 + m]$ across the 128 records are:</w:t>
      </w:r>
    </w:p>
    <w:p>
      <w:r>
        <w:t xml:space="preserve">  - $m = 0\,\mu\text{s}$: **0/128 (0.00%)** (note: 5 records have $\text{PT} = 156.0\,\mu\text{s}$ and are assigned to the low-threshold class $\text{PT} \le 156.0\,\mu\text{s}$ under hard classification)</w:t>
      </w:r>
    </w:p>
    <w:p>
      <w:r>
        <w:t xml:space="preserve">  - $m = 5\,\mu\text{s}$ ($[151.0, 161.0]\,\mu\text{s}$): **10/128 (7.81%)** (9 low-PT, 1 high-PT)</w:t>
      </w:r>
    </w:p>
    <w:p>
      <w:r>
        <w:t xml:space="preserve">  - $m = 10\,\mu\text{s}$ ($[146.0, 166.0]\,\mu\text{s}$): **20/128 (15.62%)** (15 low-PT, 5 high-PT)</w:t>
      </w:r>
    </w:p>
    <w:p>
      <w:r>
        <w:t xml:space="preserve">  - $m = 15\,\mu\text{s}$ ($[141.0, 171.0]\,\mu\text{s}$): **30/128 (23.44%)** (**20 low-PT records** in $[141.0, 156.0]\,\mu\text{s}$ and **10 high-PT records** in $(156.0, 171.0]\,\mu\text{s}$).</w:t>
      </w:r>
    </w:p>
    <w:p>
      <w:r>
        <w:t>- **(b) Precise mathematical scoring rule:** In **Section 2.5 (`[P72]`)**, we explicitly define that for a tolerance margin $m \ge 0$, a binary prediction $\hat{y}_i \in \{0, 1\}$ for record $i$ with continuous threshold $y_{\text{cont},i}$ and true label $y_i = \mathbb{I}(y_{\text{cont},i} &gt; 156.0)$ is scored as:</w:t>
      </w:r>
    </w:p>
    <w:p>
      <w:r>
        <w:t xml:space="preserve">  $$\text{Correct}_m(i) = \mathbb{I}\!\left(\hat{y}_i = y_i \;\lor\; |y_{\text{cont},i} - 156.0| \le m\right)$$</w:t>
      </w:r>
    </w:p>
    <w:p>
      <w:r>
        <w:t xml:space="preserve">  Thus, any record whose true continuous PT lies within $[156.0 - m,\, 156.0 + m]$ is deemed within the psychophysical boundary ambiguity zone and is not counted as an error.</w:t>
      </w:r>
    </w:p>
    <w:p>
      <w:r>
        <w:t>- **(c) Recomputed random and majority baselines under the tolerance margin:** Because $N_{\text{band}}(m)$ samples are automatically accommodated, a 50/50 random guesser achieves an expected accuracy of $p_{\text{band}}(m) + 0.5\times(1 - p_{\text{band}}(m))$, which equals **50.00%** at $m=0$, **53.91%** at $m=5\,\mu\text{s}$, **57.81%** at $m=10\,\mu\text{s}$, and **61.72% (79.0/128)** at $m=15\,\mu\text{s}$. Similarly, the empirical fold-wise majority-class dummy classifier achieves **43.75% (56/128)** at $m=0$ and **57.03% (73/128)** at $m=15\,\mu\text{s}$. Both recomputed baselines are explicitly reported in **Table 3** and plotted in **Figure 11**.</w:t>
      </w:r>
    </w:p>
    <w:p>
      <w:r>
        <w:t>- **(d) Margin-free accuracy (`Margin = 0 μs`) reported as the primary result:** Throughout the revised Abstract, Results, Table 3, Figure 11, and Figure 15, **$\text{margin} = 0\,\mu\text{s}$ is presented as the primary headline metric** (**74.22%** non-cross-subject, **72.66%** cross-subject), while $\text{margin} = 15\,\mu\text{s}$ (**84.38%** non-cross-subject, **81.25%** cross-subject) is clearly designated as a secondary sensitivity metric.</w:t>
      </w:r>
    </w:p>
    <w:p>
      <w:pPr>
        <w:pStyle w:val="Heading3"/>
      </w:pPr>
      <w:r>
        <w:t>Reviewer #2 — Comment 3 (Definition of a Single Record, Non-Independence of 4 Fingers per Participant, and Confusion Matrix Consistency)</w:t>
      </w:r>
    </w:p>
    <w:p>
      <w:r>
        <w:t>&gt; *"3. Non-independence of records and the near-identical sample-wise and subject-wise results. With 128 records from 32 participants, each participant contributes four records. Please clarify what a single record is. Internal inconsistency between the confusion matrices and reported accuracy."*</w:t>
      </w:r>
    </w:p>
    <w:p>
      <w:r>
        <w:t xml:space="preserve">**Response:**  </w:t>
      </w:r>
    </w:p>
    <w:p>
      <w:r>
        <w:t>1. **Definition of a single record (`Section 2.5 [P71]`):** We have clarified in the text that each of the 32 participants was tested on **four specific fingertips**: dominant index finger (`finger = 0`), non-dominant middle finger (`finger = 1`), non-dominant little finger (`finger = 2`), and non-dominant index finger (`finger = 3`), yielding $32 \times 4 = 128$ records. Each single record is a complete multimodal measurement tuple `(PT, EIS spectrum, voltage/current waveforms, finger scan &amp; geometry, and subject body composition)` for one specific `(participant, finger)` pair.</w:t>
      </w:r>
    </w:p>
    <w:p>
      <w:r>
        <w:t>2. **Accounting for within-subject non-independence (`Section 3.1`, Table 4):** In addition to strictly grouping all 4 fingers of each participant into the same fold during cross-subject evaluation (`GroupKFold` by participant ID), we accounted for the within-subject clustering of the 4 fingers in our statistical inference by fitting **subject-clustered Generalized Estimating Equations (GEE)** with an exchangeable working correlation matrix and Huber–White sandwich standard errors (**Table 4**). Furthermore, the modest 1.56% gap between non-cross-subject (**74.22%**) and cross-subject (**72.66%**) accuracy occurs because our within-fold multi-block feature selection restricts the model to a compact 11–12 feature subset dominated by physical interface and morphological properties (`Phase`, `crestf_u`, local finger geometry, and arm lean mass fraction) alongside shallow tree regularisation, preventing participant-identity memorisation in sample-wise splits.</w:t>
      </w:r>
    </w:p>
    <w:p>
      <w:r>
        <w:t>3. **Complete internal consistency between confusion matrices and reported accuracies (`Section 3.2 [P102]`, Figure 15):** We audited the original scripts and discovered that the previous discrepancy (`56+53=109/128 = 85.16%` in old Fig. 15 vs. `85.20%` fold-mean accuracy in the text, as well as `156.0` vs. `156.5 μs` cut-offs across scripts) stemmed from comparing pooled counts against unpooled fold-mean percentages across different script runs. In the revised manuscript, **all metrics and confusion matrices are derived from a single unified out-of-fold prediction table (`out_of_fold_predictions.csv`) under the exact 156.0 μs median cut-off (64 true low-PT and 64 true high-PT records)**:</w:t>
      </w:r>
    </w:p>
    <w:p>
      <w:r>
        <w:t xml:space="preserve">   - **Non-Cross-Subject (`Margin = 0 μs`, Fig. 15a):** $\text{TN} = 40,\ \text{FP} = 24,\ \text{FN} = 9,\ \text{TP} = 55 \implies (40+55)/128 = 95/128 = \mathbf{74.22\%}$. (Under $\text{margin} = 15\,\mu\text{s}$: $\text{TN} = 48,\ \text{FP} = 16,\ \text{FN} = 4,\ \text{TP} = 60 \implies 108/128 = \mathbf{84.38\%}$).</w:t>
      </w:r>
    </w:p>
    <w:p>
      <w:r>
        <w:t xml:space="preserve">   - **Cross-Subject (`Margin = 0 μs`, Fig. 15b):** $\text{TN} = 39,\ \text{FP} = 25,\ \text{FN} = 10,\ \text{TP} = 54 \implies (39+54)/128 = 93/128 = \mathbf{72.66\%}$ (fold mean **72.86% ± 4.29%**). (Under $\text{margin} = 15\,\mu\text{s}$: $\text{TN} = 48,\ \text{FP} = 16,\ \text{FN} = 8,\ \text{TP} = 56 \implies 104/128 = \mathbf{81.25\%}$).</w:t>
      </w:r>
    </w:p>
    <w:p>
      <w:pPr>
        <w:pStyle w:val="Heading3"/>
      </w:pPr>
      <w:r>
        <w:t>Reviewer #2 — Comment 4 (Confounding by Sex and Body Size, Trivial Demographic Baselines, and Sex-Adjusted Associations)</w:t>
      </w:r>
    </w:p>
    <w:p>
      <w:r>
        <w:t>&gt; *"4. Confounding by sex and body size, and the need for a simple baseline. The strongest correlates are strongly sex-dependent, and finger size and several LBP features co-vary with them (Fig. 10). It is possible that much of the predictive signal reduces to sex and body size. The authors should report the performance of a trivial model using only sex, or sex plus height, and report sex-adjusted associations. If the full multimodal pipeline does not clearly outperform such a model, the case for the framework is much weaker."*</w:t>
      </w:r>
    </w:p>
    <w:p>
      <w:r>
        <w:t xml:space="preserve">**Response:**  </w:t>
      </w:r>
    </w:p>
    <w:p>
      <w:r>
        <w:t>We conducted both sets of analyses requested by the reviewer on the exact same cross-subject folds (**Table 3** and **Table 4**), which provide compelling statistical proof that our multimodal framework captures substantial predictive and biophysical signal well beyond sex and body size:</w:t>
      </w:r>
    </w:p>
    <w:p>
      <w:r>
        <w:t>1. **Comparison against `Sex Only` and `Sex + Height` trivial baselines across Classification and Regression (**Table 3**):**</w:t>
      </w:r>
    </w:p>
    <w:p>
      <w:r>
        <w:t xml:space="preserve">   - **Binary Classification (5-Fold Cross-Subject CV):**</w:t>
      </w:r>
    </w:p>
    <w:p>
      <w:r>
        <w:t xml:space="preserve">     - `Sex Only` baseline: **62.50%** (80/128; fold mean **62.38% ± 13.45%**, Macro F1 = **65.71%**, ROC-AUC = **0.6250**) at $\text{margin} = 0\,\mu\text{s}$; **73.44%** (94/128) at $\text{margin} = 15\,\mu\text{s}$.</w:t>
      </w:r>
    </w:p>
    <w:p>
      <w:r>
        <w:t xml:space="preserve">     - `Sex + Height` baseline: **64.06%** (82/128; fold mean **63.87% ± 11.78%**, Macro F1 = **66.18%**, ROC-AUC = **0.6596**) at $\text{margin} = 0\,\mu\text{s}$; **75.00%** (96/128) at $\text{margin} = 15\,\mu\text{s}$.</w:t>
      </w:r>
    </w:p>
    <w:p>
      <w:r>
        <w:t xml:space="preserve">     - **Proposed Multimodal Random Forest ($k=11$):** **72.66%** (93/128; fold mean **72.86% ± 4.29%**, Macro F1 = **75.52%**) at $\text{margin} = 0\,\mu\text{s}$, and **81.25%** (104/128) at $\text{margin} = 15\,\mu\text{s}$.</w:t>
      </w:r>
    </w:p>
    <w:p>
      <w:r>
        <w:t xml:space="preserve">     - **Statistical Significance:** On paired out-of-fold predictions, the multimodal model achieves **+10.16 percentage points** higher accuracy than `Sex Only` (13 net additional correct predictions; discordant pairs $b/c = 17/4$, exact two-sided McNemar $p = 0.0072 &lt; 0.01$) and **+8.59 percentage points** higher accuracy than `Sex + Height` ($b/c = 16/5$, exact two-sided McNemar $p = 0.0266$, mid-$p = 0.0192 &lt; 0.05$).</w:t>
      </w:r>
    </w:p>
    <w:p>
      <w:r>
        <w:t xml:space="preserve">   - **Continuous PT Regression (5-Fold Cross-Subject CV):**</w:t>
      </w:r>
    </w:p>
    <w:p>
      <w:r>
        <w:t xml:space="preserve">     - `Dummy (Mean)` baseline: $R^2 = -0.0260,\ \text{MAE} = 59.35\,\mu\text{s},\ \text{MAPE} = 38.78\%$</w:t>
      </w:r>
    </w:p>
    <w:p>
      <w:r>
        <w:t xml:space="preserve">     - `Sex Only` Ridge regression: $R^2 = 0.0782,\ \text{MAE} = 55.28\,\mu\text{s},\ \text{MAPE} = 35.81\%$</w:t>
      </w:r>
    </w:p>
    <w:p>
      <w:r>
        <w:t xml:space="preserve">     - `Sex + Height` Ridge regression: $R^2 = 0.1451,\ \text{MAE} = 53.48\,\mu\text{s},\ \text{MAPE} = 35.12\%$</w:t>
      </w:r>
    </w:p>
    <w:p>
      <w:r>
        <w:t xml:space="preserve">     - **Proposed Multimodal Random Forest:** **$R^2 = 0.3574 \pm 0.1087,\ \text{MAE} = 48.24 \pm 7.11\,\mu\text{s},\ \text{MAPE} = 31.84\% \pm 7.00\%$**—more than doubling the explained variance ($\Delta R^2 = +0.2123$ over `Sex + Height`).</w:t>
      </w:r>
    </w:p>
    <w:p>
      <w:r>
        <w:t>2. **Sex-adjusted and Sex+Height-adjusted associations via Subject-Clustered GEE (**Table 4**):**</w:t>
      </w:r>
    </w:p>
    <w:p>
      <w:r>
        <w:t xml:space="preserve">   - Using subject-clustered GEE (`groups = participant ID`, exchangeable working correlation across the 4 fingers) with Benjamini–Hochberg FDR correction across the 20 within-fold selected candidate features, **8 features across all three modalities remain statistically significant at $q_{\text{FDR}} &lt; 0.05$ after controlling for Sex (and also remain $p &lt; 0.05$ after controlling for both Sex and Height)**:</w:t>
      </w:r>
    </w:p>
    <w:p>
      <w:r>
        <w:t xml:space="preserve">     - **Bioelectrical:** `Phase` ($\beta_{\text{adj}} = +15.10\,\mu\text{s/SD}, p = 5.2\times 10^{-5}, q_{\text{FDR}} = 0.0010$, selected in 5/5 folds) and `crestf_u` ($\beta_{\text{adj}} = +15.59\,\mu\text{s/SD}, p = 0.0026, q_{\text{FDR}} = 0.0088$, 4/5 folds);</w:t>
      </w:r>
    </w:p>
    <w:p>
      <w:r>
        <w:t xml:space="preserve">     - **Global Physiological:** `45. FFM% of Right Arm` ($\beta_{\text{adj}} = +23.94\,\mu\text{s/SD}, p = 0.00024, q_{\text{FDR}} = 0.0024$, 5/5 folds);</w:t>
      </w:r>
    </w:p>
    <w:p>
      <w:r>
        <w:t xml:space="preserve">     - **Local Finger Morphology:** `Finger Cross-Sectional Area` ($q_{\text{FDR}} = 0.0042$), `Circumference − Length` ($q_{\text{FDR}} = 0.0042$), and `Area − Length` ($q_{\text{FDR}} = 0.0042$);</w:t>
      </w:r>
    </w:p>
    <w:p>
      <w:r>
        <w:t xml:space="preserve">     - **Local Skin Texture:** `BP_wt_norm_moments_14__79` ($\beta_{\text{adj}} = +15.85\,\mu\text{s/SD}, p = 0.0112, q_{\text{FDR}} = 0.0320$, 4/5 folds) and `BP_Perimeter_12` ($q_{\text{FDR}} = 0.0388$).</w:t>
      </w:r>
    </w:p>
    <w:p>
      <w:pPr>
        <w:pStyle w:val="Heading3"/>
      </w:pPr>
      <w:r>
        <w:t>Reviewer #2 — Comment 5 (Scoping Claims, Transferability to Other Stimulation Parameters/Sites, and Code/Data Reproducibility)</w:t>
      </w:r>
    </w:p>
    <w:p>
      <w:r>
        <w:t>&gt; *"5. Limited scope and generalizability and reproducibility. The cohort is small (n = 32), narrow in age (21-27), healthy, and tested at a single site with only ONE electrode configuration n stimulation parameter set. The authors acknowledge some of this, but the abstract and conclusion still present the framework as supporting 'adaptive calibration' generally. The claims should be scoped to this population and stimulation configuration, and the authors should discuss whether the learned relationships would be expected to transfer to other amplitudes, waveforms (e.g., biphasic), electrode sizes, and body sites. It is fine the data is not public but the method and toy data should be well maintained and released, repeatable. no code is provided."*</w:t>
      </w:r>
    </w:p>
    <w:p>
      <w:r>
        <w:t xml:space="preserve">**Response:**  </w:t>
      </w:r>
    </w:p>
    <w:p>
      <w:r>
        <w:t>1. **Scoping of claims:** We have revised the **Abstract (`[P12]`)**, **Discussion (`[P113a]`)**, and **Conclusion (`[P115]`)** to explicitly scope our findings to **healthy young adults (aged 21–27 years) at the volar fingertip under the tested constant-current monophasic stimulation configuration ($0.5\,\text{mA}$, $200\,\text{Hz}$, $1\,\text{mm}$ active electrode)**.</w:t>
      </w:r>
    </w:p>
    <w:p>
      <w:r>
        <w:t>2. **Transferability across amplitudes, waveforms, electrode geometries, and body sites (`Discussion [P113a]`):** We added a dedicated paragraph analyzing how physical changes in stimulation parameters affect the learned relationships: (i) higher current amplitudes shift pulse-width thresholds downward along the Lapicque–Weiss hyperbolic strength–duration curve ($I_{\text{th}}(PW) = I_{\text{rh}}(1 + \tau_c/PW)$); (ii) charge-balanced biphasic waveforms slightly elevate threshold pulse width due to anodic/cathodic phase cancellation while mitigating electrochemical interface polarization; (iii) larger active electrodes ($&gt;1\,\text{mm}$) reduce superficial current density and alter spatial summation [9, 19], shifting predictive weight from fine epidermal LBP texture toward bulk impedance; and (iv) moving from glabrous fingertip skin to hairy skin (e.g., forearm or residual limb) alters stratum corneum thickness and mechanoreceptor density, requiring site-specific model recalibration while preserving the three-modality physical formulation.</w:t>
      </w:r>
    </w:p>
    <w:p>
      <w:r>
        <w:t>3. **Code and Reproducibility (`Availability of data and materials [P121]`):** We have organized and documented the complete, end-to-end leak-free training, nested cross-validation, GEE statistical analysis, and figure-generation codebase (`run_all_unified_revision_closure.py` and `generate_manuscript_style_figures.py`), together with preprocessed feature matrices and verification scripts, and updated the Data and Code Availability statement accordingly.</w:t>
      </w:r>
    </w:p>
    <w:p>
      <w:pPr>
        <w:pStyle w:val="Heading3"/>
      </w:pPr>
      <w:r>
        <w:t>Reviewer #2 — Comment 6 (Discussion of Clinical Applications in Rehabilitation/Prosthetics and Future Multimodal Expansion)</w:t>
      </w:r>
    </w:p>
    <w:p>
      <w:r>
        <w:t>&gt; *"6. Lack of discussion of clinical applications. The Introduction motivates the work with rehabilitation and prosthetics, but the Discussion does not return to these. In addition, multimodal expansion should be discussed. The three mentioned modalities don't reflect the potential clinical applications. Models can be further integrated with genomic, clinical, pathological information."*</w:t>
      </w:r>
    </w:p>
    <w:p>
      <w:r>
        <w:t xml:space="preserve">**Response:**  </w:t>
      </w:r>
    </w:p>
    <w:p>
      <w:r>
        <w:t>We thank the reviewer for this valuable suggestion. We have added a dedicated paragraph in the **Discussion (`[P113b]`)** that explicitly connects our framework back to **clinical sensory substitution in upper-limb myoelectric prostheses [3, 4, 11, 12, 18] and post-stroke or peripheral neuropathy sensory rehabilitation**, explaining how rapid non-contact imaging and sub-second bioimpedance probing can warm-start daily clinical stimulation sessions without inducing sensory fatigue or aversive over-stimulation. Furthermore, we discuss how translating this framework from healthy young adults to clinical cohorts requires **expanding the multimodal representation to integrate clinical phenotyping, pathological staging (e.g., nerve conduction velocity, small-fibre epidermal nerve density, neuropathy severity scores), systemic metabolic biomarkers (e.g., $\text{HbA}_{1\text{c}}$), and genomic/molecular profiles (e.g., ion-channel polymorphisms such as *SCN9A* / $\text{Na}_{\text{v}}1.7$ affecting peripheral axon excitability)**.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